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10-K</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63"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38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78"/>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99"/>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97"/>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52"/>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1"/>
                <w:szCs w:val="21"/>
                <w:color w:val="auto"/>
              </w:rPr>
            </w:pPr>
          </w:p>
        </w:tc>
      </w:tr>
      <w:tr>
        <w:trPr>
          <w:trHeight w:val="22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6"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60" w:type="dxa"/>
        <w:tblCellMar>
          <w:top w:w="0" w:type="dxa"/>
          <w:left w:w="0" w:type="dxa"/>
          <w:bottom w:w="0" w:type="dxa"/>
          <w:right w:w="0" w:type="dxa"/>
        </w:tblCellMar>
      </w:tblPr>
      <w:tr>
        <w:trPr>
          <w:trHeight w:val="19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5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0"/>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Common Stock, $0.001 par value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8.00% Series D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7.875% Series E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7.80% Series F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7.65% Series G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7.50% Series I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bl>
    <w:p>
      <w:pPr>
        <w:spacing w:after="0" w:line="1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Securities registered pursuant to Section 12(g) of the Act:</w:t>
      </w:r>
    </w:p>
    <w:p>
      <w:pPr>
        <w:sectPr>
          <w:pgSz w:w="11900" w:h="16838" w:orient="portrait"/>
          <w:cols w:equalWidth="0" w:num="1">
            <w:col w:w="10980"/>
          </w:cols>
          <w:pgMar w:left="240" w:top="229" w:right="679" w:bottom="1440" w:gutter="0" w:footer="0" w:header="0"/>
        </w:sectPr>
      </w:pPr>
    </w:p>
    <w:p>
      <w:pPr>
        <w:spacing w:after="0" w:line="200" w:lineRule="exact"/>
        <w:rPr>
          <w:sz w:val="24"/>
          <w:szCs w:val="24"/>
          <w:color w:val="auto"/>
        </w:rPr>
      </w:pPr>
    </w:p>
    <w:p>
      <w:pPr>
        <w:spacing w:after="0" w:line="310" w:lineRule="exact"/>
        <w:rPr>
          <w:sz w:val="24"/>
          <w:szCs w:val="24"/>
          <w:color w:val="auto"/>
        </w:rPr>
      </w:pPr>
    </w:p>
    <w:p>
      <w:pPr>
        <w:jc w:val="center"/>
        <w:ind w:left="9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931545</wp:posOffset>
            </wp:positionH>
            <wp:positionV relativeFrom="paragraph">
              <wp:posOffset>23495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9" w:lineRule="exact"/>
        <w:rPr>
          <w:sz w:val="24"/>
          <w:szCs w:val="24"/>
          <w:color w:val="auto"/>
        </w:rPr>
      </w:pPr>
    </w:p>
    <w:p>
      <w:pPr>
        <w:ind w:left="2420"/>
        <w:spacing w:after="0"/>
        <w:rPr>
          <w:sz w:val="20"/>
          <w:szCs w:val="20"/>
          <w:color w:val="auto"/>
        </w:rPr>
      </w:pPr>
      <w:r>
        <w:rPr>
          <w:rFonts w:ascii="Arial" w:cs="Arial" w:eastAsia="Arial" w:hAnsi="Arial"/>
          <w:sz w:val="12"/>
          <w:szCs w:val="12"/>
          <w:color w:val="auto"/>
        </w:rPr>
        <w:t>4.50% Series J Convertible Perpetual</w:t>
      </w:r>
    </w:p>
    <w:p>
      <w:pPr>
        <w:spacing w:after="0" w:line="23" w:lineRule="exact"/>
        <w:rPr>
          <w:sz w:val="24"/>
          <w:szCs w:val="24"/>
          <w:color w:val="auto"/>
        </w:rPr>
      </w:pPr>
    </w:p>
    <w:p>
      <w:pPr>
        <w:ind w:left="2520"/>
        <w:spacing w:after="0"/>
        <w:rPr>
          <w:sz w:val="20"/>
          <w:szCs w:val="20"/>
          <w:color w:val="auto"/>
        </w:rPr>
      </w:pPr>
      <w:r>
        <w:rPr>
          <w:rFonts w:ascii="Arial" w:cs="Arial" w:eastAsia="Arial" w:hAnsi="Arial"/>
          <w:sz w:val="13"/>
          <w:szCs w:val="13"/>
          <w:color w:val="auto"/>
        </w:rPr>
        <w:t>Preferred Stock, $0.001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0" w:lineRule="exact"/>
        <w:rPr>
          <w:sz w:val="24"/>
          <w:szCs w:val="24"/>
          <w:color w:val="auto"/>
        </w:rPr>
      </w:pPr>
    </w:p>
    <w:p>
      <w:pPr>
        <w:jc w:val="center"/>
        <w:ind w:right="182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38100</wp:posOffset>
            </wp:positionV>
            <wp:extent cx="257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2"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N/A</w:t>
      </w:r>
    </w:p>
    <w:p>
      <w:pPr>
        <w:sectPr>
          <w:pgSz w:w="11900" w:h="16838" w:orient="portrait"/>
          <w:cols w:equalWidth="0" w:num="2">
            <w:col w:w="6000" w:space="720"/>
            <w:col w:w="4260"/>
          </w:cols>
          <w:pgMar w:left="240" w:top="229" w:right="679" w:bottom="1440" w:gutter="0" w:footer="0" w:header="0"/>
          <w:type w:val="continuous"/>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No o</w:t>
      </w:r>
    </w:p>
    <w:p>
      <w:pPr>
        <w:spacing w:after="0" w:line="200" w:lineRule="exact"/>
        <w:rPr>
          <w:sz w:val="20"/>
          <w:szCs w:val="20"/>
          <w:color w:val="auto"/>
        </w:rPr>
      </w:pPr>
    </w:p>
    <w:p>
      <w:pPr>
        <w:sectPr>
          <w:pgSz w:w="11900" w:h="16838" w:orient="portrait"/>
          <w:cols w:equalWidth="0" w:num="2">
            <w:col w:w="7760" w:space="160"/>
            <w:col w:w="3500"/>
          </w:cols>
          <w:pgMar w:left="240" w:top="121" w:right="239" w:bottom="1440" w:gutter="0" w:footer="0" w:header="0"/>
          <w:type w:val="continuous"/>
        </w:sectPr>
      </w:pPr>
    </w:p>
    <w:p>
      <w:pPr>
        <w:spacing w:after="0" w:line="44" w:lineRule="exact"/>
        <w:rPr>
          <w:sz w:val="20"/>
          <w:szCs w:val="20"/>
          <w:color w:val="auto"/>
        </w:rPr>
      </w:pPr>
    </w:p>
    <w:p>
      <w:pPr>
        <w:ind w:left="60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99" w:lineRule="exact"/>
        <w:rPr>
          <w:sz w:val="20"/>
          <w:szCs w:val="20"/>
          <w:color w:val="auto"/>
        </w:rPr>
      </w:pPr>
    </w:p>
    <w:p>
      <w:pPr>
        <w:ind w:right="20" w:firstLine="594"/>
        <w:spacing w:after="0" w:line="180" w:lineRule="exact"/>
        <w:rPr>
          <w:sz w:val="20"/>
          <w:szCs w:val="20"/>
          <w:color w:val="auto"/>
        </w:rPr>
      </w:pPr>
      <w:r>
        <w:rPr>
          <w:rFonts w:ascii="Arial" w:cs="Arial" w:eastAsia="Arial" w:hAnsi="Arial"/>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0"/>
          <w:szCs w:val="20"/>
          <w:color w:val="auto"/>
        </w:rPr>
      </w:pPr>
    </w:p>
    <w:p>
      <w:pPr>
        <w:ind w:firstLine="59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ectPr>
          <w:pgSz w:w="11900" w:h="16838" w:orient="portrait"/>
          <w:cols w:equalWidth="0" w:num="1">
            <w:col w:w="11420"/>
          </w:cols>
          <w:pgMar w:left="240" w:top="121" w:right="239" w:bottom="1440" w:gutter="0" w:footer="0" w:header="0"/>
          <w:type w:val="continuous"/>
        </w:sectPr>
      </w:pPr>
    </w:p>
    <w:p>
      <w:pPr>
        <w:spacing w:after="0" w:line="234" w:lineRule="exact"/>
        <w:rPr>
          <w:sz w:val="20"/>
          <w:szCs w:val="20"/>
          <w:color w:val="auto"/>
        </w:rPr>
      </w:pPr>
    </w:p>
    <w:p>
      <w:pPr>
        <w:ind w:firstLine="59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5" w:lineRule="exact"/>
        <w:rPr>
          <w:sz w:val="20"/>
          <w:szCs w:val="20"/>
          <w:color w:val="auto"/>
        </w:rPr>
      </w:pPr>
    </w:p>
    <w:p>
      <w:pPr>
        <w:ind w:firstLine="59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0" w:lineRule="exact"/>
        <w:rPr>
          <w:sz w:val="20"/>
          <w:szCs w:val="20"/>
          <w:color w:val="auto"/>
        </w:rPr>
      </w:pP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3"/>
              </w:rPr>
              <w:t>Non-accelerated filer o</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680" w:type="dxa"/>
            <w:vAlign w:val="bottom"/>
          </w:tcPr>
          <w:p>
            <w:pPr>
              <w:spacing w:after="0"/>
              <w:rPr>
                <w:sz w:val="15"/>
                <w:szCs w:val="15"/>
                <w:color w:val="auto"/>
              </w:rPr>
            </w:pPr>
          </w:p>
        </w:tc>
        <w:tc>
          <w:tcPr>
            <w:tcW w:w="3380" w:type="dxa"/>
            <w:vAlign w:val="bottom"/>
          </w:tcPr>
          <w:p>
            <w:pPr>
              <w:ind w:left="1180"/>
              <w:spacing w:after="0"/>
              <w:rPr>
                <w:sz w:val="20"/>
                <w:szCs w:val="20"/>
                <w:color w:val="auto"/>
              </w:rPr>
            </w:pPr>
            <w:r>
              <w:rPr>
                <w:rFonts w:ascii="Arial" w:cs="Arial" w:eastAsia="Arial" w:hAnsi="Arial"/>
                <w:sz w:val="14"/>
                <w:szCs w:val="14"/>
                <w:color w:val="auto"/>
              </w:rPr>
              <w:t>(Do not check if a</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0" w:type="dxa"/>
            <w:vAlign w:val="bottom"/>
            <w:vMerge w:val="continue"/>
          </w:tcPr>
          <w:p>
            <w:pPr>
              <w:spacing w:after="0"/>
              <w:rPr>
                <w:sz w:val="16"/>
                <w:szCs w:val="16"/>
                <w:color w:val="auto"/>
              </w:rPr>
            </w:pPr>
          </w:p>
        </w:tc>
        <w:tc>
          <w:tcPr>
            <w:tcW w:w="2680" w:type="dxa"/>
            <w:vAlign w:val="bottom"/>
          </w:tcPr>
          <w:p>
            <w:pPr>
              <w:ind w:left="740"/>
              <w:spacing w:after="0"/>
              <w:rPr>
                <w:sz w:val="20"/>
                <w:szCs w:val="20"/>
                <w:color w:val="auto"/>
              </w:rPr>
            </w:pPr>
            <w:r>
              <w:rPr>
                <w:rFonts w:ascii="Arial" w:cs="Arial" w:eastAsia="Arial" w:hAnsi="Arial"/>
                <w:sz w:val="14"/>
                <w:szCs w:val="14"/>
                <w:color w:val="auto"/>
              </w:rPr>
              <w:t>Accelerated filer o</w:t>
            </w:r>
          </w:p>
        </w:tc>
        <w:tc>
          <w:tcPr>
            <w:tcW w:w="338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2600" w:type="dxa"/>
            <w:vAlign w:val="bottom"/>
          </w:tcPr>
          <w:p>
            <w:pPr>
              <w:ind w:left="920"/>
              <w:spacing w:after="0"/>
              <w:rPr>
                <w:sz w:val="20"/>
                <w:szCs w:val="20"/>
                <w:color w:val="auto"/>
              </w:rPr>
            </w:pPr>
            <w:r>
              <w:rPr>
                <w:rFonts w:ascii="Arial" w:cs="Arial" w:eastAsia="Arial" w:hAnsi="Arial"/>
                <w:sz w:val="14"/>
                <w:szCs w:val="14"/>
                <w:color w:val="auto"/>
                <w:w w:val="92"/>
              </w:rPr>
              <w:t>Smaller reporting company o</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00"/>
        <w:spacing w:after="0" w:line="161" w:lineRule="exact"/>
        <w:tabs>
          <w:tab w:leader="none" w:pos="70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99" w:lineRule="exact"/>
        <w:rPr>
          <w:sz w:val="20"/>
          <w:szCs w:val="20"/>
          <w:color w:val="auto"/>
        </w:rPr>
      </w:pPr>
    </w:p>
    <w:p>
      <w:pPr>
        <w:ind w:right="20" w:firstLine="594"/>
        <w:spacing w:after="0" w:line="273" w:lineRule="auto"/>
        <w:rPr>
          <w:sz w:val="20"/>
          <w:szCs w:val="20"/>
          <w:color w:val="auto"/>
        </w:rPr>
      </w:pPr>
      <w:r>
        <w:rPr>
          <w:rFonts w:ascii="Arial" w:cs="Arial" w:eastAsia="Arial" w:hAnsi="Arial"/>
          <w:sz w:val="14"/>
          <w:szCs w:val="14"/>
          <w:color w:val="auto"/>
        </w:rPr>
        <w:t>As of June 30, 2015 the aggregate market value of iStar Inc. common stock, $0.001 par value per share, held by non-affiliates (1) of the registrant was approximately $1.1 billion, based upon the closing price of $13.32 on the New York Stock Exchange composite tape on such date.</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As of February 19, 2016, there were 76,069,038 shares of common stock outstanding.</w:t>
      </w:r>
    </w:p>
    <w:p>
      <w:pPr>
        <w:spacing w:after="0" w:line="1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Annual Report only, includes all outstanding common stock other than common stock held directly by the registrant's directors and executive officers.</w:t>
      </w:r>
    </w:p>
    <w:p>
      <w:pPr>
        <w:spacing w:after="0" w:line="132" w:lineRule="exact"/>
        <w:rPr>
          <w:rFonts w:ascii="Arial" w:cs="Arial" w:eastAsia="Arial" w:hAnsi="Arial"/>
          <w:sz w:val="14"/>
          <w:szCs w:val="14"/>
          <w:color w:val="auto"/>
        </w:rPr>
      </w:pPr>
    </w:p>
    <w:p>
      <w:pPr>
        <w:ind w:left="4060"/>
        <w:spacing w:after="0"/>
        <w:rPr>
          <w:rFonts w:ascii="Arial" w:cs="Arial" w:eastAsia="Arial" w:hAnsi="Arial"/>
          <w:sz w:val="14"/>
          <w:szCs w:val="14"/>
          <w:color w:val="auto"/>
        </w:rPr>
      </w:pPr>
      <w:r>
        <w:rPr>
          <w:rFonts w:ascii="Arial" w:cs="Arial" w:eastAsia="Arial" w:hAnsi="Arial"/>
          <w:sz w:val="14"/>
          <w:szCs w:val="14"/>
          <w:b w:val="1"/>
          <w:bCs w:val="1"/>
          <w:color w:val="auto"/>
        </w:rPr>
        <w:t>DOCUMENTS INCORPORATED BY REFERENCE</w:t>
      </w:r>
    </w:p>
    <w:p>
      <w:pPr>
        <w:spacing w:after="0" w:line="275" w:lineRule="exact"/>
        <w:rPr>
          <w:sz w:val="20"/>
          <w:szCs w:val="20"/>
          <w:color w:val="auto"/>
        </w:rPr>
      </w:pPr>
    </w:p>
    <w:p>
      <w:pPr>
        <w:ind w:left="660" w:right="4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Portions of the registrant's definitive proxy statement for the registrant's 2016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77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20" w:type="dxa"/>
            <w:vAlign w:val="bottom"/>
            <w:gridSpan w:val="10"/>
          </w:tcPr>
          <w:p>
            <w:pPr>
              <w:ind w:left="3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1160" w:type="dxa"/>
            <w:vAlign w:val="bottom"/>
            <w:gridSpan w:val="6"/>
          </w:tcPr>
          <w:p>
            <w:pPr>
              <w:spacing w:after="0" w:line="170" w:lineRule="exact"/>
              <w:rPr>
                <w:sz w:val="20"/>
                <w:szCs w:val="20"/>
                <w:color w:val="auto"/>
              </w:rPr>
            </w:pPr>
            <w:r>
              <w:rPr>
                <w:rFonts w:ascii="Arial" w:cs="Arial" w:eastAsia="Arial" w:hAnsi="Arial"/>
                <w:sz w:val="18"/>
                <w:szCs w:val="18"/>
                <w:b w:val="1"/>
                <w:bCs w:val="1"/>
                <w:color w:val="0000EE"/>
              </w:rPr>
              <w:t>PART I</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gridSpan w:val="5"/>
          </w:tcPr>
          <w:p>
            <w:pPr>
              <w:jc w:val="right"/>
              <w:ind w:right="2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57"/>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2"/>
                <w:szCs w:val="22"/>
                <w:color w:val="auto"/>
              </w:rPr>
            </w:pPr>
          </w:p>
        </w:tc>
        <w:tc>
          <w:tcPr>
            <w:tcW w:w="580" w:type="dxa"/>
            <w:vAlign w:val="bottom"/>
            <w:gridSpan w:val="4"/>
          </w:tcPr>
          <w:p>
            <w:pPr>
              <w:spacing w:after="0"/>
              <w:rPr>
                <w:sz w:val="22"/>
                <w:szCs w:val="22"/>
                <w:color w:val="auto"/>
              </w:rPr>
            </w:pPr>
          </w:p>
        </w:tc>
        <w:tc>
          <w:tcPr>
            <w:tcW w:w="95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3"/>
          </w:tcPr>
          <w:p>
            <w:pPr>
              <w:spacing w:after="0"/>
              <w:rPr>
                <w:sz w:val="22"/>
                <w:szCs w:val="22"/>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2"/>
                <w:szCs w:val="22"/>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95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27">
              <w:r>
                <w:rPr>
                  <w:rFonts w:ascii="Arial" w:cs="Arial" w:eastAsia="Arial" w:hAnsi="Arial"/>
                  <w:sz w:val="18"/>
                  <w:szCs w:val="18"/>
                  <w:color w:val="0000EE"/>
                  <w:w w:val="82"/>
                </w:rPr>
                <w:t>Item 1b.</w:t>
              </w:r>
            </w:hyperlink>
          </w:p>
        </w:tc>
        <w:tc>
          <w:tcPr>
            <w:tcW w:w="580" w:type="dxa"/>
            <w:vAlign w:val="bottom"/>
            <w:gridSpan w:val="4"/>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Item 2.</w:t>
              </w:r>
            </w:hyperlink>
          </w:p>
        </w:tc>
        <w:tc>
          <w:tcPr>
            <w:tcW w:w="80" w:type="dxa"/>
            <w:vAlign w:val="bottom"/>
          </w:tcPr>
          <w:p>
            <w:pPr>
              <w:spacing w:after="0"/>
              <w:rPr>
                <w:sz w:val="21"/>
                <w:szCs w:val="21"/>
                <w:color w:val="auto"/>
              </w:rPr>
            </w:pPr>
          </w:p>
        </w:tc>
        <w:tc>
          <w:tcPr>
            <w:tcW w:w="580" w:type="dxa"/>
            <w:vAlign w:val="bottom"/>
            <w:gridSpan w:val="4"/>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Properties</w:t>
              </w:r>
            </w:hyperlink>
          </w:p>
        </w:tc>
        <w:tc>
          <w:tcPr>
            <w:tcW w:w="1300" w:type="dxa"/>
            <w:vAlign w:val="bottom"/>
            <w:gridSpan w:val="5"/>
          </w:tcPr>
          <w:p>
            <w:pPr>
              <w:spacing w:after="0"/>
              <w:rPr>
                <w:sz w:val="21"/>
                <w:szCs w:val="21"/>
                <w:color w:val="auto"/>
              </w:rPr>
            </w:pPr>
          </w:p>
        </w:tc>
        <w:tc>
          <w:tcPr>
            <w:tcW w:w="752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Item 3.</w:t>
              </w:r>
            </w:hyperlink>
          </w:p>
        </w:tc>
        <w:tc>
          <w:tcPr>
            <w:tcW w:w="660" w:type="dxa"/>
            <w:vAlign w:val="bottom"/>
            <w:gridSpan w:val="5"/>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8220" w:type="dxa"/>
            <w:vAlign w:val="bottom"/>
            <w:gridSpan w:val="1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Item 4.</w:t>
              </w:r>
            </w:hyperlink>
          </w:p>
        </w:tc>
        <w:tc>
          <w:tcPr>
            <w:tcW w:w="660" w:type="dxa"/>
            <w:vAlign w:val="bottom"/>
            <w:gridSpan w:val="5"/>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20" w:type="dxa"/>
            <w:vAlign w:val="bottom"/>
            <w:gridSpan w:val="3"/>
          </w:tcPr>
          <w:p>
            <w:pPr>
              <w:spacing w:after="0"/>
              <w:rPr>
                <w:rFonts w:ascii="Arial" w:cs="Arial" w:eastAsia="Arial" w:hAnsi="Arial"/>
                <w:sz w:val="18"/>
                <w:szCs w:val="18"/>
                <w:b w:val="1"/>
                <w:bCs w:val="1"/>
                <w:color w:val="0000EE"/>
                <w:w w:val="90"/>
              </w:rPr>
            </w:pPr>
            <w:hyperlink w:anchor="page28">
              <w:r>
                <w:rPr>
                  <w:rFonts w:ascii="Arial" w:cs="Arial" w:eastAsia="Arial" w:hAnsi="Arial"/>
                  <w:sz w:val="18"/>
                  <w:szCs w:val="18"/>
                  <w:b w:val="1"/>
                  <w:bCs w:val="1"/>
                  <w:color w:val="0000EE"/>
                  <w:w w:val="90"/>
                </w:rPr>
                <w:t>PART II</w:t>
              </w:r>
            </w:hyperlink>
          </w:p>
        </w:tc>
        <w:tc>
          <w:tcPr>
            <w:tcW w:w="540" w:type="dxa"/>
            <w:vAlign w:val="bottom"/>
            <w:gridSpan w:val="3"/>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Item 5.</w:t>
              </w:r>
            </w:hyperlink>
          </w:p>
        </w:tc>
        <w:tc>
          <w:tcPr>
            <w:tcW w:w="120" w:type="dxa"/>
            <w:vAlign w:val="bottom"/>
            <w:gridSpan w:val="2"/>
          </w:tcPr>
          <w:p>
            <w:pPr>
              <w:spacing w:after="0"/>
              <w:rPr>
                <w:sz w:val="21"/>
                <w:szCs w:val="21"/>
                <w:color w:val="auto"/>
              </w:rPr>
            </w:pPr>
          </w:p>
        </w:tc>
        <w:tc>
          <w:tcPr>
            <w:tcW w:w="540" w:type="dxa"/>
            <w:vAlign w:val="bottom"/>
            <w:gridSpan w:val="3"/>
          </w:tcPr>
          <w:p>
            <w:pPr>
              <w:spacing w:after="0"/>
              <w:rPr>
                <w:sz w:val="21"/>
                <w:szCs w:val="21"/>
                <w:color w:val="auto"/>
              </w:rPr>
            </w:pPr>
          </w:p>
        </w:tc>
        <w:tc>
          <w:tcPr>
            <w:tcW w:w="4120" w:type="dxa"/>
            <w:vAlign w:val="bottom"/>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Market for Registrant's Equity and Related Share Matters</w:t>
              </w:r>
            </w:hyperlink>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0">
              <w:r>
                <w:rPr>
                  <w:rFonts w:ascii="Arial" w:cs="Arial" w:eastAsia="Arial" w:hAnsi="Arial"/>
                  <w:sz w:val="18"/>
                  <w:szCs w:val="18"/>
                  <w:color w:val="0000EE"/>
                  <w:w w:val="83"/>
                </w:rPr>
                <w:t>Item 6.</w:t>
              </w:r>
            </w:hyperlink>
          </w:p>
        </w:tc>
        <w:tc>
          <w:tcPr>
            <w:tcW w:w="660" w:type="dxa"/>
            <w:vAlign w:val="bottom"/>
            <w:gridSpan w:val="5"/>
          </w:tcPr>
          <w:p>
            <w:pPr>
              <w:spacing w:after="0"/>
              <w:rPr>
                <w:sz w:val="21"/>
                <w:szCs w:val="21"/>
                <w:color w:val="auto"/>
              </w:rPr>
            </w:pPr>
          </w:p>
        </w:tc>
        <w:tc>
          <w:tcPr>
            <w:tcW w:w="1700" w:type="dxa"/>
            <w:vAlign w:val="bottom"/>
            <w:gridSpan w:val="5"/>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2420" w:type="dxa"/>
            <w:vAlign w:val="bottom"/>
            <w:gridSpan w:val="4"/>
          </w:tcPr>
          <w:p>
            <w:pPr>
              <w:spacing w:after="0"/>
              <w:rPr>
                <w:sz w:val="21"/>
                <w:szCs w:val="21"/>
                <w:color w:val="auto"/>
              </w:rPr>
            </w:pPr>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2">
              <w:r>
                <w:rPr>
                  <w:rFonts w:ascii="Arial" w:cs="Arial" w:eastAsia="Arial" w:hAnsi="Arial"/>
                  <w:sz w:val="18"/>
                  <w:szCs w:val="18"/>
                  <w:color w:val="0000EE"/>
                  <w:w w:val="83"/>
                </w:rPr>
                <w:t>Item 7.</w:t>
              </w:r>
            </w:hyperlink>
          </w:p>
        </w:tc>
        <w:tc>
          <w:tcPr>
            <w:tcW w:w="660" w:type="dxa"/>
            <w:vAlign w:val="bottom"/>
            <w:gridSpan w:val="5"/>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7a.</w:t>
              </w:r>
            </w:hyperlink>
          </w:p>
        </w:tc>
        <w:tc>
          <w:tcPr>
            <w:tcW w:w="954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Item 8.</w:t>
              </w:r>
            </w:hyperlink>
          </w:p>
        </w:tc>
        <w:tc>
          <w:tcPr>
            <w:tcW w:w="80" w:type="dxa"/>
            <w:vAlign w:val="bottom"/>
          </w:tcPr>
          <w:p>
            <w:pPr>
              <w:spacing w:after="0"/>
              <w:rPr>
                <w:sz w:val="21"/>
                <w:szCs w:val="21"/>
                <w:color w:val="auto"/>
              </w:rPr>
            </w:pPr>
          </w:p>
        </w:tc>
        <w:tc>
          <w:tcPr>
            <w:tcW w:w="580" w:type="dxa"/>
            <w:vAlign w:val="bottom"/>
            <w:gridSpan w:val="4"/>
          </w:tcPr>
          <w:p>
            <w:pPr>
              <w:spacing w:after="0"/>
              <w:rPr>
                <w:sz w:val="21"/>
                <w:szCs w:val="21"/>
                <w:color w:val="auto"/>
              </w:rPr>
            </w:pPr>
          </w:p>
        </w:tc>
        <w:tc>
          <w:tcPr>
            <w:tcW w:w="3220" w:type="dxa"/>
            <w:vAlign w:val="bottom"/>
            <w:gridSpan w:val="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Financial Statements and Supplemental Data</w:t>
              </w:r>
            </w:hyperlink>
          </w:p>
        </w:tc>
        <w:tc>
          <w:tcPr>
            <w:tcW w:w="1080" w:type="dxa"/>
            <w:vAlign w:val="bottom"/>
            <w:gridSpan w:val="2"/>
          </w:tcPr>
          <w:p>
            <w:pPr>
              <w:spacing w:after="0"/>
              <w:rPr>
                <w:sz w:val="21"/>
                <w:szCs w:val="21"/>
                <w:color w:val="auto"/>
              </w:rPr>
            </w:pPr>
          </w:p>
        </w:tc>
        <w:tc>
          <w:tcPr>
            <w:tcW w:w="5240" w:type="dxa"/>
            <w:vAlign w:val="bottom"/>
            <w:gridSpan w:val="8"/>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119">
              <w:r>
                <w:rPr>
                  <w:rFonts w:ascii="Arial" w:cs="Arial" w:eastAsia="Arial" w:hAnsi="Arial"/>
                  <w:sz w:val="18"/>
                  <w:szCs w:val="18"/>
                  <w:color w:val="0000EE"/>
                  <w:w w:val="83"/>
                </w:rPr>
                <w:t>Item 9.</w:t>
              </w:r>
            </w:hyperlink>
          </w:p>
        </w:tc>
        <w:tc>
          <w:tcPr>
            <w:tcW w:w="660" w:type="dxa"/>
            <w:vAlign w:val="bottom"/>
            <w:gridSpan w:val="5"/>
          </w:tcPr>
          <w:p>
            <w:pPr>
              <w:spacing w:after="0"/>
              <w:rPr>
                <w:sz w:val="21"/>
                <w:szCs w:val="21"/>
                <w:color w:val="auto"/>
              </w:rPr>
            </w:pPr>
          </w:p>
        </w:tc>
        <w:tc>
          <w:tcPr>
            <w:tcW w:w="79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Changes and Disagreements with Registered Public Accounting Firm on Accounting and Financial Disclosure</w:t>
              </w:r>
            </w:hyperlink>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116</w:t>
              </w:r>
            </w:hyperlink>
          </w:p>
        </w:tc>
        <w:tc>
          <w:tcPr>
            <w:tcW w:w="20" w:type="dxa"/>
            <w:vAlign w:val="bottom"/>
          </w:tcPr>
          <w:p>
            <w:pPr>
              <w:spacing w:after="0"/>
              <w:rPr>
                <w:sz w:val="21"/>
                <w:szCs w:val="21"/>
                <w:color w:val="auto"/>
              </w:rPr>
            </w:pPr>
          </w:p>
        </w:tc>
      </w:tr>
      <w:tr>
        <w:trPr>
          <w:trHeight w:val="250"/>
        </w:trPr>
        <w:tc>
          <w:tcPr>
            <w:tcW w:w="116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9a.</w:t>
              </w:r>
            </w:hyperlink>
          </w:p>
        </w:tc>
        <w:tc>
          <w:tcPr>
            <w:tcW w:w="9540" w:type="dxa"/>
            <w:vAlign w:val="bottom"/>
            <w:gridSpan w:val="1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Controls and Procedures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Item 9b.</w:t>
              </w:r>
            </w:hyperlink>
          </w:p>
        </w:tc>
        <w:tc>
          <w:tcPr>
            <w:tcW w:w="540" w:type="dxa"/>
            <w:vAlign w:val="bottom"/>
            <w:gridSpan w:val="3"/>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Other Information</w:t>
              </w:r>
            </w:hyperlink>
          </w:p>
        </w:tc>
        <w:tc>
          <w:tcPr>
            <w:tcW w:w="8220" w:type="dxa"/>
            <w:vAlign w:val="bottom"/>
            <w:gridSpan w:val="14"/>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116</w:t>
              </w:r>
            </w:hyperlink>
          </w:p>
        </w:tc>
        <w:tc>
          <w:tcPr>
            <w:tcW w:w="20" w:type="dxa"/>
            <w:vAlign w:val="bottom"/>
          </w:tcPr>
          <w:p>
            <w:pPr>
              <w:spacing w:after="0"/>
              <w:rPr>
                <w:sz w:val="21"/>
                <w:szCs w:val="21"/>
                <w:color w:val="auto"/>
              </w:rPr>
            </w:pPr>
          </w:p>
        </w:tc>
      </w:tr>
      <w:tr>
        <w:trPr>
          <w:trHeight w:val="25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III</w:t>
              </w:r>
            </w:hyperlink>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21">
              <w:r>
                <w:rPr>
                  <w:rFonts w:ascii="Arial" w:cs="Arial" w:eastAsia="Arial" w:hAnsi="Arial"/>
                  <w:sz w:val="18"/>
                  <w:szCs w:val="18"/>
                  <w:color w:val="0000EE"/>
                  <w:w w:val="82"/>
                </w:rPr>
                <w:t>Item 10.</w:t>
              </w:r>
            </w:hyperlink>
          </w:p>
        </w:tc>
        <w:tc>
          <w:tcPr>
            <w:tcW w:w="580" w:type="dxa"/>
            <w:vAlign w:val="bottom"/>
            <w:gridSpan w:val="4"/>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Directors, Executive Officers and Corporate Governance of the Registrant</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21">
              <w:r>
                <w:rPr>
                  <w:rFonts w:ascii="Arial" w:cs="Arial" w:eastAsia="Arial" w:hAnsi="Arial"/>
                  <w:sz w:val="18"/>
                  <w:szCs w:val="18"/>
                  <w:color w:val="0000EE"/>
                </w:rPr>
                <w:t>117</w:t>
              </w:r>
            </w:hyperlink>
          </w:p>
        </w:tc>
      </w:tr>
      <w:tr>
        <w:trPr>
          <w:trHeight w:val="250"/>
        </w:trPr>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121">
              <w:r>
                <w:rPr>
                  <w:rFonts w:ascii="Arial" w:cs="Arial" w:eastAsia="Arial" w:hAnsi="Arial"/>
                  <w:sz w:val="18"/>
                  <w:szCs w:val="18"/>
                  <w:color w:val="0000EE"/>
                  <w:w w:val="82"/>
                </w:rPr>
                <w:t>Item 11.</w:t>
              </w:r>
            </w:hyperlink>
          </w:p>
        </w:tc>
        <w:tc>
          <w:tcPr>
            <w:tcW w:w="580" w:type="dxa"/>
            <w:vAlign w:val="bottom"/>
            <w:gridSpan w:val="4"/>
          </w:tcPr>
          <w:p>
            <w:pPr>
              <w:spacing w:after="0"/>
              <w:rPr>
                <w:sz w:val="21"/>
                <w:szCs w:val="21"/>
                <w:color w:val="auto"/>
              </w:rPr>
            </w:pPr>
          </w:p>
        </w:tc>
        <w:tc>
          <w:tcPr>
            <w:tcW w:w="5320" w:type="dxa"/>
            <w:vAlign w:val="bottom"/>
            <w:tcBorders>
              <w:top w:val="single" w:sz="8" w:color="0000EE"/>
            </w:tcBorders>
            <w:gridSpan w:val="14"/>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422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Item 12.</w:t>
              </w:r>
            </w:hyperlink>
          </w:p>
        </w:tc>
        <w:tc>
          <w:tcPr>
            <w:tcW w:w="540" w:type="dxa"/>
            <w:vAlign w:val="bottom"/>
            <w:gridSpan w:val="3"/>
          </w:tcPr>
          <w:p>
            <w:pPr>
              <w:spacing w:after="0"/>
              <w:rPr>
                <w:sz w:val="21"/>
                <w:szCs w:val="21"/>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21">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r>
      <w:tr>
        <w:trPr>
          <w:trHeight w:val="250"/>
        </w:trPr>
        <w:tc>
          <w:tcPr>
            <w:tcW w:w="620" w:type="dxa"/>
            <w:vAlign w:val="bottom"/>
            <w:gridSpan w:val="3"/>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Item 13.</w:t>
              </w:r>
            </w:hyperlink>
          </w:p>
        </w:tc>
        <w:tc>
          <w:tcPr>
            <w:tcW w:w="540" w:type="dxa"/>
            <w:vAlign w:val="bottom"/>
            <w:gridSpan w:val="3"/>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Certain Relationships, Related Transactions and Director Independence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21">
              <w:r>
                <w:rPr>
                  <w:rFonts w:ascii="Arial" w:cs="Arial" w:eastAsia="Arial" w:hAnsi="Arial"/>
                  <w:sz w:val="18"/>
                  <w:szCs w:val="18"/>
                  <w:color w:val="0000EE"/>
                </w:rPr>
                <w:t>117</w:t>
              </w:r>
            </w:hyperlink>
          </w:p>
        </w:tc>
      </w:tr>
      <w:tr>
        <w:trPr>
          <w:trHeight w:val="250"/>
        </w:trPr>
        <w:tc>
          <w:tcPr>
            <w:tcW w:w="620" w:type="dxa"/>
            <w:vAlign w:val="bottom"/>
            <w:tcBorders>
              <w:top w:val="single" w:sz="8" w:color="0000EE"/>
            </w:tcBorders>
            <w:gridSpan w:val="3"/>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Item 14.</w:t>
              </w:r>
            </w:hyperlink>
          </w:p>
        </w:tc>
        <w:tc>
          <w:tcPr>
            <w:tcW w:w="540" w:type="dxa"/>
            <w:vAlign w:val="bottom"/>
            <w:gridSpan w:val="3"/>
          </w:tcPr>
          <w:p>
            <w:pPr>
              <w:spacing w:after="0"/>
              <w:rPr>
                <w:sz w:val="21"/>
                <w:szCs w:val="21"/>
                <w:color w:val="auto"/>
              </w:rPr>
            </w:pPr>
          </w:p>
        </w:tc>
        <w:tc>
          <w:tcPr>
            <w:tcW w:w="5120" w:type="dxa"/>
            <w:vAlign w:val="bottom"/>
            <w:tcBorders>
              <w:top w:val="single" w:sz="8" w:color="0000EE"/>
            </w:tcBorders>
            <w:gridSpan w:val="13"/>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Principal Registered Public Accounting Firm Fees and Services</w:t>
              </w:r>
            </w:hyperlink>
          </w:p>
        </w:tc>
        <w:tc>
          <w:tcPr>
            <w:tcW w:w="442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PART IV</w:t>
              </w:r>
            </w:hyperlink>
          </w:p>
        </w:tc>
        <w:tc>
          <w:tcPr>
            <w:tcW w:w="44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Item 15.</w:t>
              </w:r>
            </w:hyperlink>
          </w:p>
        </w:tc>
        <w:tc>
          <w:tcPr>
            <w:tcW w:w="540" w:type="dxa"/>
            <w:vAlign w:val="bottom"/>
            <w:gridSpan w:val="3"/>
          </w:tcPr>
          <w:p>
            <w:pPr>
              <w:spacing w:after="0"/>
              <w:rPr>
                <w:sz w:val="21"/>
                <w:szCs w:val="21"/>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Exhibits, Financial Statement Schedules and Reports on Form 8-K</w:t>
              </w:r>
            </w:hyperlink>
          </w:p>
        </w:tc>
        <w:tc>
          <w:tcPr>
            <w:tcW w:w="4760" w:type="dxa"/>
            <w:vAlign w:val="bottom"/>
            <w:gridSpan w:val="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r>
      <w:tr>
        <w:trPr>
          <w:trHeight w:val="250"/>
        </w:trPr>
        <w:tc>
          <w:tcPr>
            <w:tcW w:w="116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125">
              <w:r>
                <w:rPr>
                  <w:rFonts w:ascii="Arial" w:cs="Arial" w:eastAsia="Arial" w:hAnsi="Arial"/>
                  <w:sz w:val="18"/>
                  <w:szCs w:val="18"/>
                  <w:b w:val="1"/>
                  <w:bCs w:val="1"/>
                  <w:color w:val="0000EE"/>
                  <w:w w:val="94"/>
                </w:rPr>
                <w:t>SIGNATURES</w:t>
              </w:r>
            </w:hyperlink>
          </w:p>
        </w:tc>
        <w:tc>
          <w:tcPr>
            <w:tcW w:w="9540" w:type="dxa"/>
            <w:vAlign w:val="bottom"/>
            <w:gridSpan w:val="18"/>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121</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for Purposes of the "Safe Harbor Provisions" of Section 21E of the Securities Exchange Act of 1934, as amended</w:t>
      </w:r>
    </w:p>
    <w:p>
      <w:pPr>
        <w:spacing w:after="0" w:line="28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iStar Inc.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iStar Inc. (the "Company") finances, invests in and develops real estate and real estate related projects as part of its fully-integrated investment platform.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net lease, operating properties and land and development.</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real estate finance portfolio is comprised of senior and mezzanine real estate loans that may be either fixed-rate or variable-rate and are structured to meet the specific financing needs of borrowers. The Company's portfolio also includes preferred equity investments and senior and subordinated loans to business entities, particularly entities engaged in real estate or real estate related businesses, and may be either secured or unsecured. The Company's loan portfolio includes whole loans and loan participations.</w:t>
      </w:r>
    </w:p>
    <w:p>
      <w:pPr>
        <w:spacing w:after="0" w:line="1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net lease portfolio is primarily comprised of properties owned by the Company and leased to single creditworthy tenants where the properties are subject to long-term leases. Most of the leases provide for expenses at the facilities to be paid by the tenants on a triple net lease basis. The properties in this portfolio are diversified by property type and geographic location. In addition to net lease properties owned by the Company, the Company partnered with a sovereign wealth fund in 2014 to form a venture to acquire and develop net lease assets (the "Net Lease Venture").</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land and development portfolio is primarily comprised of land entitled for master planned communities as well as waterfront and urban infill land parcels located throughout the U.S. Master planned communities represent large-scale residential projects that the Company will entitle, plan and/or develop and may sell through retail channels to home builders or in bulk. Waterfront parcels are generally entitled for residential projects and urban infill parcels are generally entitled for mixed-use projects. The Company may develop these properties itself, or in partnership with commercial real estate developers, or may sell the properties.</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primary sources of revenues are operating lease income, which is the rent and reimbursements that tenants pay to lease the Company's properties, and interest income, which is the interest that borrowers pay on loans. The Company primarily generates income through a “spread” or “margin,” which is the difference between the revenues generated from leases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loans and interest expense and the cost of real estate operations. In addition, the Company generates income from commercial operating property revenue, sales of real estate and land development assets and equity in earnings of unconsolidated ventures.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Recent Developments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began its business in 1993 through the management of private investment funds and became publicly traded in 1998. Since that time, the Company has grown through the origination of new lending and leasing transactions, as well as through corporate acquisitions. During the economic downturn, the composition of the Company's portfolio changed as loans were repaid and the Company acquired title to assets of defaulting borrowers. The composition of the Company's real estate portfolio expanded to include operating properties and land and development assets. The Company has been originating new lending and net lease investments, repositioning or redeveloping its operating properties and progressing on the entitlement, development and sales of its land and development assets. We intend to continue these efforts, with the objective of having these assets contribute positively to earnings in the future. The Company's business segments are discussed further in "Industry Segments."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has continued to strengthen its balance sheet through its financing activities. The Company has used proceeds from the issuance of unsecured notes in the capital markets over the past two years to repay secured and unsecured debt, which extended the Company's debt maturity profile, lowered its cost of capital and unencumbered a significant portion of the Company's assets allowing it to become primarily an unsecured borrower. In March 2015, the Company entered into a secured revolving credit facility with a maximum capacity of $250.0 million. Going forward, the Company will seek to raise capital through a variety of means, which may include unsecured and secured debt financing, debt refinancings, asset sales, issuances of equity, joint ventures and other third party capital arrangements. A more detailed discussion of the Company's current liquidity and capital resources is provided in Item 7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2015, the Company committed to new investments totaling $756.9 million. The Company funded $662.5 million associated with new investments, prior financing commitments as well as ongoing development. The fundings included $479.6 million in lending and other investments, $95.3 million to develop its land and development assets and $87.6 million of capital to reposition or redevelop its operating properties and invest in net lease assets.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originating new investments, the Company's strategy is to focus on the following:</w:t>
      </w:r>
    </w:p>
    <w:p>
      <w:pPr>
        <w:spacing w:after="0" w:line="18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Targeting the origination of custom-tailored mortgage, corporate and lease financings where customers require flexible financial solutions and "one-call" responsiveness;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Avoiding commodity businesses where there is significant direct competition from other providers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direct relationships with borrowers and corporate customers in addition to sourcing transactions through intermediaries;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Taking advantage of market anomalies in the real estate financing markets when, in the Company's view, credit is mispriced by other providers of capital;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relative risk adjusted returns across multiple investment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Process</w:t>
      </w:r>
    </w:p>
    <w:p>
      <w:pPr>
        <w:spacing w:after="0" w:line="14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reviews investment opportunities with its investment professionals, as well as representatives from its legal, credit, risk management and capital markets areas. The Company has developed a process for screening potential investments called the Six Point Methodology</w:t>
      </w:r>
      <w:r>
        <w:rPr>
          <w:rFonts w:ascii="Arial" w:cs="Arial" w:eastAsia="Arial" w:hAnsi="Arial"/>
          <w:sz w:val="16"/>
          <w:szCs w:val="16"/>
          <w:color w:val="auto"/>
          <w:vertAlign w:val="superscript"/>
        </w:rPr>
        <w:t>sm</w:t>
      </w:r>
      <w:r>
        <w:rPr>
          <w:rFonts w:ascii="Arial" w:cs="Arial" w:eastAsia="Arial" w:hAnsi="Arial"/>
          <w:sz w:val="16"/>
          <w:szCs w:val="16"/>
          <w:color w:val="auto"/>
        </w:rPr>
        <w:t>. Through this process, the Company evaluates an investment opportunity prior to beginning its formal due diligence process by: (1) evaluating the source of the opportunity;</w:t>
      </w:r>
    </w:p>
    <w:p>
      <w:pPr>
        <w:jc w:val="both"/>
        <w:ind w:firstLine="8"/>
        <w:spacing w:after="0" w:line="292" w:lineRule="auto"/>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evaluating the quality of the collateral, corporate credit or lessee, as well as the market and industry dynamics; (3) evaluating the borrower equity, corporate sponsorship and/or guarantors; (4) determining the optimal legal and financial structure for the transaction given its risk profile; (5) performing an alternative investment test; and (6) evaluating the liquidity of the investment. Participation is encouraged from professionals in all disciplines throughout the entire origination process, from the initial consideration of the opportunity, through the Six Point Methodology,</w:t>
      </w:r>
      <w:r>
        <w:rPr>
          <w:rFonts w:ascii="Arial" w:cs="Arial" w:eastAsia="Arial" w:hAnsi="Arial"/>
          <w:sz w:val="16"/>
          <w:szCs w:val="16"/>
          <w:color w:val="auto"/>
          <w:vertAlign w:val="superscript"/>
        </w:rPr>
        <w:t>sm</w:t>
      </w:r>
      <w:r>
        <w:rPr>
          <w:rFonts w:ascii="Arial" w:cs="Arial" w:eastAsia="Arial" w:hAnsi="Arial"/>
          <w:sz w:val="16"/>
          <w:szCs w:val="16"/>
          <w:color w:val="auto"/>
        </w:rPr>
        <w:t xml:space="preserve"> the preparation and distribution of an approval memorandum for the Company's internal investment committee and/or Board of Directors and into the documentation and closing process.</w:t>
      </w:r>
    </w:p>
    <w:p>
      <w:pPr>
        <w:spacing w:after="0" w:line="12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Any commitment to make an investment of $25 million or less in any transaction or series of related transactions requires the approval of the Chief Executive Officer and Chief Investment Officer. Any commitment in excess of $25 million but less than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or equal to $60 million requires the further approval of the Company's internal investment committee, consisting of senior management representatives from all of the Company's key disciplines. Any commitment in excess of $60 million, and any strategic investment such as a corporate merger, acquisition or material transaction involving the Company's entry into a new line of business, requires the approval of the 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finances its business with a combination of fixed-rate and variable-rate debt and its asset base consists of fixed-rate and variable-rate investments. Its variable-rate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significantly from its variable-rate lending assets, the Company may utilize derivative instruments to limit the impact of changing interest rates on its net income. The Company also uses derivative instruments to limit its exposure to changes in currency rates in respect of certain investments denominated in foreign currencies. The derivative instruments the Company uses are typically in the form of interest rate swaps, interest rate caps and foreign exchange contracts.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148"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As of December 31, 2015, based on current gross carrying values, the Company's total investment portfolio has the following characteristics ($ in millions)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120650</wp:posOffset>
            </wp:positionV>
            <wp:extent cx="4305300" cy="3327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530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Property Type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Land and</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1,153,045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Office / Industrial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153,947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854,085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135,738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1,143,770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256,630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802,993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348,824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136,080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55,137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540,041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Entertainment / Leisure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501,995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501,995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249,832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137,278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387,110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259,738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Other Property Types</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216,259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225,742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73,533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1,637,985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1,558,991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709,044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1,108,414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5,087,967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rPr>
              <w:t>Geography</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24"/>
                <w:szCs w:val="24"/>
                <w:color w:val="auto"/>
              </w:rPr>
            </w:pP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Land and</w:t>
            </w: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383,197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1,539,861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78,356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410,028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57,943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356,328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902,655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234,878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276,859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799,657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226,878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139,572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141,564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204,001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712,015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169,340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515,002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155,284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79,998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57,961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299,558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61,352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141,978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30,954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245,686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73,533</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1,637,985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1,558,991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709,044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1,108,414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5,087,967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$18.6 million of international assets.</w:t>
      </w: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121" w:right="6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has four business segments: Real Estate Finance, Net Lease, Operating Properties and Land and Development. The following describes the Company's reportable segments ($ in thousands) as of December 31,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0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 Lease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Land and</w:t>
            </w: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 /</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Development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2,050,541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481,504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137,274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Land and development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1,001,963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1,001,963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net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1,601,985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73,533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254,172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portfolio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1,601,985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1,181,575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629,902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1,102,382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73,533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4,589,377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Corporate/Other includes certain joint venture and strategic investments that are not included in the other reportable segments. See Item 8—"Financial Statements and Supplemental Data —Note 7" for further detail on these investments.</w:t>
      </w:r>
    </w:p>
    <w:p>
      <w:pPr>
        <w:spacing w:after="0" w:line="13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 information regarding segment revenue and profit information as well as prior period information is presented in Item 8—"Financial Statements and Supplemental Data—Note 17" and a discussion of operating results is presented in Item 7—"Management's Discussion and Analysis of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Finance</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real estate finance portfolio consists of senior mortgage loans that are secured by commercial real estate assets where the Company is the first lien holder. The portfolio also consists of subordinated mortgage loans that are secured by second lien or junior interests in commercial and residential real estate assets, and corporate/partnership loans, which represent mezzanine or subordinated loans to entities for which the Company does not have a lien on the underlying asset, but may have a pledge of underlying equity ownership of such assets. In addition, the Company has preferred equity investments and debt securities classified as other lending investments.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real estate finance portfolio included the following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spacing w:after="0"/>
              <w:rPr>
                <w:sz w:val="22"/>
                <w:szCs w:val="22"/>
                <w:color w:val="auto"/>
              </w:rPr>
            </w:pPr>
          </w:p>
        </w:tc>
      </w:tr>
      <w:tr>
        <w:trPr>
          <w:trHeight w:val="264"/>
        </w:trPr>
        <w:tc>
          <w:tcPr>
            <w:tcW w:w="5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 Total</w:t>
            </w:r>
          </w:p>
        </w:tc>
        <w:tc>
          <w:tcPr>
            <w:tcW w:w="600" w:type="dxa"/>
            <w:vAlign w:val="bottom"/>
          </w:tcPr>
          <w:p>
            <w:pPr>
              <w:spacing w:after="0"/>
              <w:rPr>
                <w:sz w:val="22"/>
                <w:szCs w:val="22"/>
                <w:color w:val="auto"/>
              </w:rPr>
            </w:pPr>
          </w:p>
        </w:tc>
        <w:tc>
          <w:tcPr>
            <w:tcW w:w="13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 of Total</w:t>
            </w:r>
          </w:p>
        </w:tc>
      </w:tr>
      <w:tr>
        <w:trPr>
          <w:trHeight w:val="270"/>
        </w:trPr>
        <w:tc>
          <w:tcPr>
            <w:tcW w:w="50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Performing loans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849,161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608,048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53,331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1,515,369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70"/>
        </w:trPr>
        <w:tc>
          <w:tcPr>
            <w:tcW w:w="5060" w:type="dxa"/>
            <w:vAlign w:val="bottom"/>
          </w:tcPr>
          <w:p>
            <w:pPr>
              <w:ind w:left="40"/>
              <w:spacing w:after="0" w:line="270" w:lineRule="exact"/>
              <w:rPr>
                <w:sz w:val="20"/>
                <w:szCs w:val="20"/>
                <w:color w:val="auto"/>
              </w:rPr>
            </w:pPr>
            <w:r>
              <w:rPr>
                <w:rFonts w:ascii="Arial" w:cs="Arial" w:eastAsia="Arial" w:hAnsi="Arial"/>
                <w:sz w:val="18"/>
                <w:szCs w:val="18"/>
                <w:color w:val="auto"/>
              </w:rPr>
              <w:t>Non-performing loans</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Total carrying value of loans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1,575,696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1,223,672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97"/>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carrying value</w:t>
            </w:r>
          </w:p>
        </w:tc>
        <w:tc>
          <w:tcPr>
            <w:tcW w:w="380" w:type="dxa"/>
            <w:vAlign w:val="bottom"/>
            <w:tcBorders>
              <w:top w:val="single" w:sz="8" w:color="auto"/>
              <w:bottom w:val="single" w:sz="8" w:color="CCEEFF"/>
            </w:tcBorders>
          </w:tcPr>
          <w:p>
            <w:pPr>
              <w:spacing w:after="0"/>
              <w:rPr>
                <w:sz w:val="24"/>
                <w:szCs w:val="24"/>
                <w:color w:val="auto"/>
              </w:rPr>
            </w:pPr>
          </w:p>
        </w:tc>
        <w:tc>
          <w:tcPr>
            <w:tcW w:w="12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1,637,985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1,411,343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reserve for loan losses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0"/>
        </w:trPr>
        <w:tc>
          <w:tcPr>
            <w:tcW w:w="506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1,601,985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1,377,843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8890</wp:posOffset>
            </wp:positionV>
            <wp:extent cx="1012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8890</wp:posOffset>
            </wp:positionV>
            <wp:extent cx="1012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-98425</wp:posOffset>
            </wp:positionV>
            <wp:extent cx="1012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-98425</wp:posOffset>
            </wp:positionV>
            <wp:extent cx="1012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6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Performing loans are presented net of asset-specific loan loss reserves of $0.8 million as of December 31, 2014. See Item 8—"Financial Statements and Supplemental Data—Note 3" for a discussion of the Company's policies regarding non-performing loans and reserves for loan losses.</w:t>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Non-performing loans are presented net of asset-specific loan loss reserves of $72.2 million and $64.2 million, respectively, as of December 31, 2015 and 2014.</w:t>
      </w: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2015, the Company's performing loans and other lending investments had a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loan to value ratio of 67%. Additionally, the Company's performing loans were comprised of 31% fixed-rate loans and 69% variable-rate loans that had a weighted average yield of 8% and a weighted average remaining term of 2.3 years.</w:t>
      </w:r>
    </w:p>
    <w:p>
      <w:pPr>
        <w:spacing w:after="0" w:line="3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2015, the Company funded $478.7 million of loan investments, received principal repayments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$273.5 million and sold a loan with a carrying value of $5.5 million. In June 2015, the Company received a loan with a fair value of $146.7 million as a non-cash paydown on an existing loan and reduced the principal balance by the same amount. The loan has been recorded as a loan receivable and is included in "Loans receivable and other lending investments, net" on the Company’s consolidated balance sheet.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Summary of Interest Rate Characteristics</w:t>
      </w:r>
      <w:r>
        <w:rPr>
          <w:rFonts w:ascii="Arial" w:cs="Arial" w:eastAsia="Arial" w:hAnsi="Arial"/>
          <w:sz w:val="18"/>
          <w:szCs w:val="18"/>
          <w:color w:val="auto"/>
        </w:rPr>
        <w:t>—The Company's loans receivable and other lending investments had the following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Carrying</w:t>
            </w:r>
          </w:p>
        </w:tc>
        <w:tc>
          <w:tcPr>
            <w:tcW w:w="96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Carrying</w:t>
            </w: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of Total</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Accrual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of Total</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Accrual Rate</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Fixed-rate loans and other lending investments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487,514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751,590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18"/>
                <w:szCs w:val="18"/>
                <w:color w:val="auto"/>
              </w:rPr>
              <w:t>Variable-rate loans</w:t>
            </w:r>
            <w:r>
              <w:rPr>
                <w:rFonts w:ascii="Arial" w:cs="Arial" w:eastAsia="Arial" w:hAnsi="Arial"/>
                <w:sz w:val="25"/>
                <w:szCs w:val="25"/>
                <w:color w:val="auto"/>
                <w:vertAlign w:val="superscript"/>
              </w:rPr>
              <w:t>(1)(2)</w:t>
            </w:r>
          </w:p>
        </w:tc>
        <w:tc>
          <w:tcPr>
            <w:tcW w:w="2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99"/>
              </w:rPr>
              <w:t>1,090,144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594,706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Non-performing loans</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60,327</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65,047</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440" w:type="dxa"/>
            <w:vAlign w:val="bottom"/>
          </w:tcPr>
          <w:p>
            <w:pPr>
              <w:ind w:left="20"/>
              <w:spacing w:after="0"/>
              <w:rPr>
                <w:sz w:val="20"/>
                <w:szCs w:val="20"/>
                <w:color w:val="auto"/>
              </w:rPr>
            </w:pPr>
            <w:r>
              <w:rPr>
                <w:rFonts w:ascii="Arial" w:cs="Arial" w:eastAsia="Arial" w:hAnsi="Arial"/>
                <w:sz w:val="18"/>
                <w:szCs w:val="18"/>
                <w:color w:val="auto"/>
              </w:rPr>
              <w:t>Total carrying value</w:t>
            </w:r>
          </w:p>
        </w:tc>
        <w:tc>
          <w:tcPr>
            <w:tcW w:w="2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99"/>
              </w:rPr>
              <w:t>1,637,985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1,411,343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reserve for loan losses</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w w:val="96"/>
              </w:rPr>
              <w:t>Total loans receivable and other lending investments,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1,601,985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1,377,843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8890</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-98425</wp:posOffset>
            </wp:positionV>
            <wp:extent cx="720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-98425</wp:posOffset>
            </wp:positionV>
            <wp:extent cx="720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Performing loans are presented net of asset-specific loan loss reserves of $0.8 million as of December 31, 2014.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December 31, 2015 and 2014, includes $807.8 million and $282.5 million, respectively, of loans with a weighted average interest rate floor of 0.8% and 0.4%, respectively.</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Non-performing loans are presented net of asset-specific loan loss reserves of $72.2 million and $64.2 million, respectively, as of December 31, 2015 and 2014.</w:t>
      </w:r>
    </w:p>
    <w:p>
      <w:pPr>
        <w:spacing w:after="0" w:line="1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Summary of Maturities</w:t>
      </w:r>
      <w:r>
        <w:rPr>
          <w:rFonts w:ascii="Arial" w:cs="Arial" w:eastAsia="Arial" w:hAnsi="Arial"/>
          <w:sz w:val="18"/>
          <w:szCs w:val="18"/>
          <w:color w:val="auto"/>
        </w:rPr>
        <w:t>—As of December 31, 2015 the Company's loans receivable and other lending investments had the following maturities ($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Carrying</w:t>
            </w:r>
          </w:p>
        </w:tc>
        <w:tc>
          <w:tcPr>
            <w:tcW w:w="1660" w:type="dxa"/>
            <w:vAlign w:val="bottom"/>
            <w:gridSpan w:val="2"/>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of Maturity</w:t>
            </w:r>
          </w:p>
        </w:tc>
        <w:tc>
          <w:tcPr>
            <w:tcW w:w="100" w:type="dxa"/>
            <w:vAlign w:val="bottom"/>
            <w:vMerge w:val="restart"/>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Loans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Maturing</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294,977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620,654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391,616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92,533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2021 and thereafter</w:t>
            </w: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177,878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performing loans and other lending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1,577,658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Non-performing loans</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60,327</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carrying value</w:t>
            </w: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1,637,985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General reserve for loan losses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loans receivable and other lending investments, net</w:t>
            </w: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1,601,985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Non-performing loans are presented net of asset-specific loan loss reserves of $72.2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Lease</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net lease portfolio is primarily comprised of properties owned by the Company and leased to single creditworthy tenants where the properties are subject to long-term leases. Leases typically provide for expenses at the facility to be paid by the tenant on a triple net lease basis. The Company generally intends to hold its net lease assets for long-term investment. However, the Company may dispose of assets if it deems the disposition to be in the Company's best interests.</w:t>
      </w: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2014, the Company partnered with a sovereign wealth fund to form a venture in which the partners plan to contribute up to an aggregate $500 million of equity to acquire and develop up to $1.25 billion of net lease assets. The Company owns a 51.9% noncontrolling interest in the Net Lease Venture and does not consolidate the Net Lease Venture due to shared control of the entity with its partner.</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a typical net lease agreement, the tenant agrees to pay a base monthly operating lease payment and most or all of the facility operating expenses (including taxes, utilities, maintenance and insurance). The Company generally targets corporate customers with facilities that are critical to their ongoing businesses.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lease portfolio included the following ($ in thousands):</w:t>
      </w:r>
    </w:p>
    <w:p>
      <w:pPr>
        <w:spacing w:after="0" w:line="365"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at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1,489,895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1,552,483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(377,416)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(364,323)</w:t>
            </w:r>
          </w:p>
        </w:tc>
      </w:tr>
      <w:tr>
        <w:trPr>
          <w:trHeight w:val="27"/>
        </w:trPr>
        <w:tc>
          <w:tcPr>
            <w:tcW w:w="4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1,112,479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1,188,160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4,521</w:t>
            </w:r>
          </w:p>
        </w:tc>
      </w:tr>
      <w:tr>
        <w:trPr>
          <w:trHeight w:val="27"/>
        </w:trPr>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69,096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125,360</w:t>
            </w:r>
          </w:p>
        </w:tc>
      </w:tr>
      <w:tr>
        <w:trPr>
          <w:trHeight w:val="257"/>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1,181,575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1,318,041</w:t>
            </w:r>
          </w:p>
        </w:tc>
      </w:tr>
      <w:tr>
        <w:trPr>
          <w:trHeight w:val="20"/>
        </w:trPr>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2015, the Company owned or had interests in 293 facilities, encompassing 17.8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located in 33 states. The Company's net lease assets were 96% leased with a weighted average remaining lease term of approximately 14.9 years. The annual average effective base rent per square foot, net of any tenant concessions, was $9.10 per square foot.</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Portfolio Activity</w:t>
      </w:r>
      <w:r>
        <w:rPr>
          <w:rFonts w:ascii="Arial" w:cs="Arial" w:eastAsia="Arial" w:hAnsi="Arial"/>
          <w:sz w:val="18"/>
          <w:szCs w:val="18"/>
          <w:color w:val="auto"/>
        </w:rPr>
        <w:t>—During the year ended December 31, 2015, the Company funded $4.2 million of capital expenditures on existing net lease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also sold 12 assets with a net carrying value of $60.8 million for proceeds of $100.9 million. See Item 8 —"Financial Statements and Supplemental Data—Note 4" for further details on consolidated net lease asset activities.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the Net Lease Venture's carrying value of total assets was $400.2 million and the Company had a recorded equity interest in the venture of $69.1 million, which is included in "Other investments" on the Company's consolidated balance sheets. In June 2015, the Net Lease Venture placed ten year debt financing of $120.0 million on one of its net lease assets. Net proceeds from the financing were distributed to its members of which we received approximately $61.2 million. See Item 8 —"Financial Statements and Supplemental Data—Note 7" for further details on unconsolidated net lease asset activities.</w:t>
      </w:r>
    </w:p>
    <w:p>
      <w:pPr>
        <w:spacing w:after="0" w:line="24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Summary of Lease Expirations</w:t>
      </w:r>
      <w:r>
        <w:rPr>
          <w:rFonts w:ascii="Arial" w:cs="Arial" w:eastAsia="Arial" w:hAnsi="Arial"/>
          <w:sz w:val="18"/>
          <w:szCs w:val="18"/>
          <w:color w:val="auto"/>
        </w:rPr>
        <w:t>—As of December 31, 2015, lease expirations on the Company's net lease assets, excluding other investments,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Annualized In-Place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of In-Place</w:t>
            </w:r>
          </w:p>
        </w:tc>
        <w:tc>
          <w:tcPr>
            <w:tcW w:w="16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Square Feet of Leases</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00" w:type="dxa"/>
            <w:vAlign w:val="bottom"/>
            <w:vMerge w:val="restart"/>
          </w:tcPr>
          <w:p>
            <w:pPr>
              <w:spacing w:after="0"/>
              <w:rPr>
                <w:sz w:val="12"/>
                <w:szCs w:val="12"/>
                <w:color w:val="auto"/>
              </w:rPr>
            </w:pPr>
          </w:p>
        </w:tc>
        <w:tc>
          <w:tcPr>
            <w:tcW w:w="11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8"/>
              </w:rPr>
              <w:t>Leases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Operating</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6"/>
              </w:rPr>
              <w:t>Expiring</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Lease Income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Lease Income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Expiring (in thousands)</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10,924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2026 and thereafter</w:t>
            </w: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52,308</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5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127,658</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ind w:left="40"/>
              <w:spacing w:after="0"/>
              <w:rPr>
                <w:sz w:val="20"/>
                <w:szCs w:val="20"/>
                <w:color w:val="auto"/>
              </w:rPr>
            </w:pPr>
            <w:r>
              <w:rPr>
                <w:rFonts w:ascii="Arial" w:cs="Arial" w:eastAsia="Arial" w:hAnsi="Arial"/>
                <w:sz w:val="18"/>
                <w:szCs w:val="18"/>
                <w:color w:val="auto"/>
              </w:rPr>
              <w:t>Weighted average remaining lease</w:t>
            </w: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term</w:t>
            </w:r>
          </w:p>
        </w:tc>
        <w:tc>
          <w:tcPr>
            <w:tcW w:w="11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percentage of annualized operating lease income for leases in-place as a percentage of annualized total revenue.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and Development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land and development portfolio included the following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1,001,963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978,962</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100,419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106,155</w:t>
            </w: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1,102,382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1,085,117</w:t>
            </w: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2015, the Company's land and development portfolio included 30 properties,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11 master planned community ("MPC") projects, 13 infill land parcels and 6 waterfront land parcels located throughout the United States. MPCs represent large-scale residential projects that the Company will entitle, plan and/or develop and may sell through retail channels to home builders or in bulk. The remainder of the Company’s land includes infill and waterfront parcels located in and around major cities that the Company will develop, sell to or partner with commercial real estate developers. Waterfront parcels are generally entitled for residential projects and urban infill parcels are generally entitled for mixed-use projects.</w:t>
      </w:r>
    </w:p>
    <w:p>
      <w:pPr>
        <w:spacing w:after="0" w:line="23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—Revenue from the Company's land and development portfolio consists primarily of lot and parcel sales from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recorded as "Land development revenue," as well as the Company's share of earnings from unconsolidated entities in which the Company holds an interest, which is recorded in "Earnings from equity method investments," both in the Company's consolidated statements of operations. For the year ended December 31, 2015, the Company recognized revenue and cost of sales of $100.2 million and $67.4 million, respectively, from its land and development portfolio. The Company also recognized earnings from equity method investments of $16.7 million during 2015 for unconsolidated land and development investments. This resulted in total gross margin from our land and development portfolio increasing to $49.5 million in 2015 from $17.3 million in 2014. In December 2015, the Company sold land parcels for land development revenue of $62.8 million resulting in a gross margin of $24.2 million. Also, during the year ended December 31, 2015, the Company funded $95.3 million of capital expenditures in the land and development portfolio (see Item 8 —"Financial Statements and Supplemental Data—Note 5" for further details).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2015, the Company had 7 land and development projects in production, 10 in development and 13 in the pre-development phase.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land and development projects in production during the year ended December 31, 2015 are listed below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Anticipated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Sales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Units Sold in</w:t>
            </w: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Project</w:t>
            </w:r>
          </w:p>
        </w:tc>
        <w:tc>
          <w:tcPr>
            <w:tcW w:w="140" w:type="dxa"/>
            <w:vAlign w:val="bottom"/>
            <w:vMerge w:val="restart"/>
          </w:tcPr>
          <w:p>
            <w:pPr>
              <w:spacing w:after="0"/>
              <w:rPr>
                <w:sz w:val="12"/>
                <w:szCs w:val="12"/>
                <w:color w:val="auto"/>
              </w:rPr>
            </w:pPr>
          </w:p>
        </w:tc>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vMerge w:val="restart"/>
          </w:tcPr>
          <w:p>
            <w:pPr>
              <w:spacing w:after="0"/>
              <w:rPr>
                <w:sz w:val="12"/>
                <w:szCs w:val="12"/>
                <w:color w:val="auto"/>
              </w:rPr>
            </w:pPr>
          </w:p>
        </w:tc>
        <w:tc>
          <w:tcPr>
            <w:tcW w:w="15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Location</w:t>
            </w:r>
          </w:p>
        </w:tc>
        <w:tc>
          <w:tcPr>
            <w:tcW w:w="1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Completion</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2015 Revenue</w:t>
            </w:r>
          </w:p>
        </w:tc>
        <w:tc>
          <w:tcPr>
            <w:tcW w:w="10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r>
              <w:rPr>
                <w:rFonts w:ascii="Arial" w:cs="Arial" w:eastAsia="Arial" w:hAnsi="Arial"/>
                <w:sz w:val="8"/>
                <w:szCs w:val="8"/>
                <w:b w:val="1"/>
                <w:bCs w:val="1"/>
                <w:color w:val="auto"/>
                <w:w w:val="99"/>
              </w:rPr>
              <w:t>(1)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Land and development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Infill/Mixed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40"/>
              <w:spacing w:after="0"/>
              <w:rPr>
                <w:sz w:val="20"/>
                <w:szCs w:val="20"/>
                <w:color w:val="auto"/>
              </w:rPr>
            </w:pPr>
            <w:r>
              <w:rPr>
                <w:rFonts w:ascii="Arial" w:cs="Arial" w:eastAsia="Arial" w:hAnsi="Arial"/>
                <w:sz w:val="17"/>
                <w:szCs w:val="17"/>
                <w:color w:val="auto"/>
              </w:rPr>
              <w:t>1210 California Circle</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Use</w:t>
            </w:r>
          </w:p>
        </w:tc>
        <w:tc>
          <w:tcPr>
            <w:tcW w:w="1720" w:type="dxa"/>
            <w:vAlign w:val="bottom"/>
            <w:gridSpan w:val="3"/>
          </w:tcPr>
          <w:p>
            <w:pPr>
              <w:ind w:left="20"/>
              <w:spacing w:after="0"/>
              <w:rPr>
                <w:sz w:val="20"/>
                <w:szCs w:val="20"/>
                <w:color w:val="auto"/>
              </w:rPr>
            </w:pPr>
            <w:r>
              <w:rPr>
                <w:rFonts w:ascii="Arial" w:cs="Arial" w:eastAsia="Arial" w:hAnsi="Arial"/>
                <w:sz w:val="17"/>
                <w:szCs w:val="17"/>
                <w:color w:val="auto"/>
              </w:rPr>
              <w:t>Milpitas, CA</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36,900</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Infill/Mixed</w:t>
            </w:r>
          </w:p>
        </w:tc>
        <w:tc>
          <w:tcPr>
            <w:tcW w:w="1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North Hollywood,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Valley Plaza</w:t>
            </w:r>
          </w:p>
        </w:tc>
        <w:tc>
          <w:tcPr>
            <w:tcW w:w="1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Use</w:t>
            </w:r>
          </w:p>
        </w:tc>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25,910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N/A</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Infill/Mixed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40"/>
              <w:spacing w:after="0"/>
              <w:rPr>
                <w:sz w:val="20"/>
                <w:szCs w:val="20"/>
                <w:color w:val="auto"/>
              </w:rPr>
            </w:pPr>
            <w:r>
              <w:rPr>
                <w:rFonts w:ascii="Arial" w:cs="Arial" w:eastAsia="Arial" w:hAnsi="Arial"/>
                <w:sz w:val="17"/>
                <w:szCs w:val="17"/>
                <w:color w:val="auto"/>
              </w:rPr>
              <w:t>Kua</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Use</w:t>
            </w:r>
          </w:p>
        </w:tc>
        <w:tc>
          <w:tcPr>
            <w:tcW w:w="1720" w:type="dxa"/>
            <w:vAlign w:val="bottom"/>
            <w:gridSpan w:val="3"/>
          </w:tcPr>
          <w:p>
            <w:pPr>
              <w:ind w:left="20"/>
              <w:spacing w:after="0"/>
              <w:rPr>
                <w:sz w:val="20"/>
                <w:szCs w:val="20"/>
                <w:color w:val="auto"/>
              </w:rPr>
            </w:pPr>
            <w:r>
              <w:rPr>
                <w:rFonts w:ascii="Arial" w:cs="Arial" w:eastAsia="Arial" w:hAnsi="Arial"/>
                <w:sz w:val="17"/>
                <w:szCs w:val="17"/>
                <w:color w:val="auto"/>
              </w:rPr>
              <w:t>Kailua Kona, HI</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1,601</w:t>
            </w:r>
          </w:p>
        </w:tc>
        <w:tc>
          <w:tcPr>
            <w:tcW w:w="10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Infill/Mixed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Sage Scottsdale</w:t>
            </w:r>
          </w:p>
        </w:tc>
        <w:tc>
          <w:tcPr>
            <w:tcW w:w="1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Use</w:t>
            </w:r>
          </w:p>
        </w:tc>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Scottsdale, AZ</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9,971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17,313</w:t>
            </w:r>
          </w:p>
        </w:tc>
        <w:tc>
          <w:tcPr>
            <w:tcW w:w="0" w:type="dxa"/>
            <w:vAlign w:val="bottom"/>
          </w:tcPr>
          <w:p>
            <w:pPr>
              <w:spacing w:after="0"/>
              <w:rPr>
                <w:sz w:val="1"/>
                <w:szCs w:val="1"/>
                <w:color w:val="auto"/>
              </w:rPr>
            </w:pPr>
          </w:p>
        </w:tc>
      </w:tr>
      <w:tr>
        <w:trPr>
          <w:trHeight w:val="239"/>
        </w:trPr>
        <w:tc>
          <w:tcPr>
            <w:tcW w:w="2800" w:type="dxa"/>
            <w:vAlign w:val="bottom"/>
            <w:gridSpan w:val="2"/>
          </w:tcPr>
          <w:p>
            <w:pPr>
              <w:ind w:left="40"/>
              <w:spacing w:after="0"/>
              <w:rPr>
                <w:sz w:val="20"/>
                <w:szCs w:val="20"/>
                <w:color w:val="auto"/>
              </w:rPr>
            </w:pPr>
            <w:r>
              <w:rPr>
                <w:rFonts w:ascii="Arial" w:cs="Arial" w:eastAsia="Arial" w:hAnsi="Arial"/>
                <w:sz w:val="17"/>
                <w:szCs w:val="17"/>
                <w:color w:val="auto"/>
              </w:rPr>
              <w:t>Magnolia Green</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MPC</w:t>
            </w:r>
          </w:p>
        </w:tc>
        <w:tc>
          <w:tcPr>
            <w:tcW w:w="1720" w:type="dxa"/>
            <w:vAlign w:val="bottom"/>
            <w:gridSpan w:val="3"/>
          </w:tcPr>
          <w:p>
            <w:pPr>
              <w:ind w:left="20"/>
              <w:spacing w:after="0"/>
              <w:rPr>
                <w:sz w:val="20"/>
                <w:szCs w:val="20"/>
                <w:color w:val="auto"/>
              </w:rPr>
            </w:pPr>
            <w:r>
              <w:rPr>
                <w:rFonts w:ascii="Arial" w:cs="Arial" w:eastAsia="Arial" w:hAnsi="Arial"/>
                <w:sz w:val="17"/>
                <w:szCs w:val="17"/>
                <w:color w:val="auto"/>
              </w:rPr>
              <w:t>Richmond, VA</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9,909</w:t>
            </w:r>
          </w:p>
        </w:tc>
        <w:tc>
          <w:tcPr>
            <w:tcW w:w="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2,434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99,105</w:t>
            </w: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Naples Reserve</w:t>
            </w:r>
          </w:p>
        </w:tc>
        <w:tc>
          <w:tcPr>
            <w:tcW w:w="1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MPC</w:t>
            </w:r>
          </w:p>
        </w:tc>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Naples, FL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7,699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66,171</w:t>
            </w:r>
          </w:p>
        </w:tc>
        <w:tc>
          <w:tcPr>
            <w:tcW w:w="0" w:type="dxa"/>
            <w:vAlign w:val="bottom"/>
          </w:tcPr>
          <w:p>
            <w:pPr>
              <w:spacing w:after="0"/>
              <w:rPr>
                <w:sz w:val="1"/>
                <w:szCs w:val="1"/>
                <w:color w:val="auto"/>
              </w:rPr>
            </w:pPr>
          </w:p>
        </w:tc>
      </w:tr>
      <w:tr>
        <w:trPr>
          <w:trHeight w:val="239"/>
        </w:trPr>
        <w:tc>
          <w:tcPr>
            <w:tcW w:w="2800" w:type="dxa"/>
            <w:vAlign w:val="bottom"/>
            <w:gridSpan w:val="2"/>
          </w:tcPr>
          <w:p>
            <w:pPr>
              <w:ind w:left="40"/>
              <w:spacing w:after="0"/>
              <w:rPr>
                <w:sz w:val="20"/>
                <w:szCs w:val="20"/>
                <w:color w:val="auto"/>
              </w:rPr>
            </w:pPr>
            <w:r>
              <w:rPr>
                <w:rFonts w:ascii="Arial" w:cs="Arial" w:eastAsia="Arial" w:hAnsi="Arial"/>
                <w:sz w:val="17"/>
                <w:szCs w:val="17"/>
                <w:color w:val="auto"/>
              </w:rPr>
              <w:t>Heath at Tetherow</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MPC</w:t>
            </w:r>
          </w:p>
        </w:tc>
        <w:tc>
          <w:tcPr>
            <w:tcW w:w="1720" w:type="dxa"/>
            <w:vAlign w:val="bottom"/>
            <w:gridSpan w:val="3"/>
          </w:tcPr>
          <w:p>
            <w:pPr>
              <w:ind w:left="20"/>
              <w:spacing w:after="0"/>
              <w:rPr>
                <w:sz w:val="20"/>
                <w:szCs w:val="20"/>
                <w:color w:val="auto"/>
              </w:rPr>
            </w:pPr>
            <w:r>
              <w:rPr>
                <w:rFonts w:ascii="Arial" w:cs="Arial" w:eastAsia="Arial" w:hAnsi="Arial"/>
                <w:sz w:val="17"/>
                <w:szCs w:val="17"/>
                <w:color w:val="auto"/>
              </w:rPr>
              <w:t>Bend, OR</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4,773</w:t>
            </w:r>
          </w:p>
        </w:tc>
        <w:tc>
          <w:tcPr>
            <w:tcW w:w="10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11,402</w:t>
            </w: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Asbury Park Waterfront</w:t>
            </w:r>
          </w:p>
        </w:tc>
        <w:tc>
          <w:tcPr>
            <w:tcW w:w="1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Waterfront</w:t>
            </w:r>
          </w:p>
        </w:tc>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Asbury Park, NJ</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112,854</w:t>
            </w:r>
          </w:p>
        </w:tc>
        <w:tc>
          <w:tcPr>
            <w:tcW w:w="0" w:type="dxa"/>
            <w:vAlign w:val="bottom"/>
          </w:tcPr>
          <w:p>
            <w:pPr>
              <w:spacing w:after="0"/>
              <w:rPr>
                <w:sz w:val="1"/>
                <w:szCs w:val="1"/>
                <w:color w:val="auto"/>
              </w:rPr>
            </w:pPr>
          </w:p>
        </w:tc>
      </w:tr>
      <w:tr>
        <w:trPr>
          <w:trHeight w:val="219"/>
        </w:trPr>
        <w:tc>
          <w:tcPr>
            <w:tcW w:w="2800" w:type="dxa"/>
            <w:vAlign w:val="bottom"/>
            <w:gridSpan w:val="2"/>
          </w:tcPr>
          <w:p>
            <w:pPr>
              <w:ind w:left="40"/>
              <w:spacing w:after="0"/>
              <w:rPr>
                <w:sz w:val="20"/>
                <w:szCs w:val="20"/>
                <w:color w:val="auto"/>
              </w:rPr>
            </w:pPr>
            <w:r>
              <w:rPr>
                <w:rFonts w:ascii="Arial" w:cs="Arial" w:eastAsia="Arial" w:hAnsi="Arial"/>
                <w:sz w:val="17"/>
                <w:szCs w:val="17"/>
                <w:b w:val="1"/>
                <w:bCs w:val="1"/>
                <w:color w:val="auto"/>
              </w:rPr>
              <w:t>Total land and development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100,216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5,995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306,845</w:t>
            </w: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w w:val="96"/>
              </w:rPr>
              <w:t>Land and development equity method investments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gridSpan w:val="2"/>
          </w:tcPr>
          <w:p>
            <w:pPr>
              <w:ind w:left="40"/>
              <w:spacing w:after="0" w:line="270" w:lineRule="exact"/>
              <w:rPr>
                <w:sz w:val="20"/>
                <w:szCs w:val="20"/>
                <w:color w:val="auto"/>
              </w:rPr>
            </w:pPr>
            <w:r>
              <w:rPr>
                <w:rFonts w:ascii="Arial" w:cs="Arial" w:eastAsia="Arial" w:hAnsi="Arial"/>
                <w:sz w:val="17"/>
                <w:szCs w:val="17"/>
                <w:color w:val="auto"/>
              </w:rPr>
              <w:t>Marina Palms</w:t>
            </w:r>
            <w:r>
              <w:rPr>
                <w:rFonts w:ascii="Arial" w:cs="Arial" w:eastAsia="Arial" w:hAnsi="Arial"/>
                <w:sz w:val="28"/>
                <w:szCs w:val="28"/>
                <w:color w:val="auto"/>
                <w:vertAlign w:val="superscript"/>
              </w:rPr>
              <w:t>(3)(4)</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Waterfront</w:t>
            </w:r>
          </w:p>
        </w:tc>
        <w:tc>
          <w:tcPr>
            <w:tcW w:w="1720" w:type="dxa"/>
            <w:vAlign w:val="bottom"/>
            <w:gridSpan w:val="3"/>
          </w:tcPr>
          <w:p>
            <w:pPr>
              <w:ind w:left="20"/>
              <w:spacing w:after="0"/>
              <w:rPr>
                <w:sz w:val="20"/>
                <w:szCs w:val="20"/>
                <w:color w:val="auto"/>
              </w:rPr>
            </w:pPr>
            <w:r>
              <w:rPr>
                <w:rFonts w:ascii="Arial" w:cs="Arial" w:eastAsia="Arial" w:hAnsi="Arial"/>
                <w:sz w:val="17"/>
                <w:szCs w:val="17"/>
                <w:color w:val="auto"/>
              </w:rPr>
              <w:t>N. Miami Beach, FL</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23,626</w:t>
            </w:r>
          </w:p>
        </w:tc>
        <w:tc>
          <w:tcPr>
            <w:tcW w:w="100" w:type="dxa"/>
            <w:vAlign w:val="bottom"/>
          </w:tcPr>
          <w:p>
            <w:pPr>
              <w:spacing w:after="0"/>
              <w:rPr>
                <w:sz w:val="23"/>
                <w:szCs w:val="23"/>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30,099</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7"/>
                <w:szCs w:val="17"/>
                <w:color w:val="auto"/>
              </w:rPr>
              <w:t>Spring Mountain Ranch Phase 1</w:t>
            </w:r>
            <w:r>
              <w:rPr>
                <w:rFonts w:ascii="Arial" w:cs="Arial" w:eastAsia="Arial" w:hAnsi="Arial"/>
                <w:sz w:val="28"/>
                <w:szCs w:val="28"/>
                <w:color w:val="auto"/>
                <w:vertAlign w:val="superscript"/>
              </w:rPr>
              <w:t>(3)</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MPC</w:t>
            </w:r>
          </w:p>
        </w:tc>
        <w:tc>
          <w:tcPr>
            <w:tcW w:w="1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Riverside, CA</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13,539</w:t>
            </w:r>
          </w:p>
        </w:tc>
        <w:tc>
          <w:tcPr>
            <w:tcW w:w="0" w:type="dxa"/>
            <w:vAlign w:val="bottom"/>
          </w:tcPr>
          <w:p>
            <w:pPr>
              <w:spacing w:after="0"/>
              <w:rPr>
                <w:sz w:val="1"/>
                <w:szCs w:val="1"/>
                <w:color w:val="auto"/>
              </w:rPr>
            </w:pPr>
          </w:p>
        </w:tc>
      </w:tr>
      <w:tr>
        <w:trPr>
          <w:trHeight w:val="219"/>
        </w:trPr>
        <w:tc>
          <w:tcPr>
            <w:tcW w:w="5740" w:type="dxa"/>
            <w:vAlign w:val="bottom"/>
            <w:gridSpan w:val="7"/>
          </w:tcPr>
          <w:p>
            <w:pPr>
              <w:ind w:left="40"/>
              <w:spacing w:after="0"/>
              <w:rPr>
                <w:sz w:val="20"/>
                <w:szCs w:val="20"/>
                <w:color w:val="auto"/>
              </w:rPr>
            </w:pPr>
            <w:r>
              <w:rPr>
                <w:rFonts w:ascii="Arial" w:cs="Arial" w:eastAsia="Arial" w:hAnsi="Arial"/>
                <w:sz w:val="17"/>
                <w:szCs w:val="17"/>
                <w:b w:val="1"/>
                <w:bCs w:val="1"/>
                <w:color w:val="auto"/>
              </w:rPr>
              <w:t>Total land and development equity method investments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23,783</w:t>
            </w:r>
          </w:p>
        </w:tc>
        <w:tc>
          <w:tcPr>
            <w:tcW w:w="1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b w:val="1"/>
                <w:bCs w:val="1"/>
                <w:color w:val="auto"/>
              </w:rPr>
              <w:t>310</w:t>
            </w:r>
          </w:p>
        </w:tc>
        <w:tc>
          <w:tcPr>
            <w:tcW w:w="1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b w:val="1"/>
                <w:bCs w:val="1"/>
                <w:color w:val="auto"/>
              </w:rPr>
              <w:t>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b w:val="1"/>
                <w:bCs w:val="1"/>
                <w:color w:val="auto"/>
              </w:rPr>
              <w:t>43,638</w:t>
            </w:r>
          </w:p>
        </w:tc>
        <w:tc>
          <w:tcPr>
            <w:tcW w:w="0" w:type="dxa"/>
            <w:vAlign w:val="bottom"/>
          </w:tcPr>
          <w:p>
            <w:pPr>
              <w:spacing w:after="0"/>
              <w:rPr>
                <w:sz w:val="1"/>
                <w:szCs w:val="1"/>
                <w:color w:val="auto"/>
              </w:rPr>
            </w:pPr>
          </w:p>
        </w:tc>
      </w:tr>
      <w:tr>
        <w:trPr>
          <w:trHeight w:val="31"/>
        </w:trPr>
        <w:tc>
          <w:tcPr>
            <w:tcW w:w="26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w w:val="94"/>
              </w:rPr>
              <w:t>Total Land and Development Projects in Production</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123,999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350,483</w:t>
            </w:r>
          </w:p>
        </w:tc>
        <w:tc>
          <w:tcPr>
            <w:tcW w:w="0" w:type="dxa"/>
            <w:vAlign w:val="bottom"/>
          </w:tcPr>
          <w:p>
            <w:pPr>
              <w:spacing w:after="0"/>
              <w:rPr>
                <w:sz w:val="1"/>
                <w:szCs w:val="1"/>
                <w:color w:val="auto"/>
              </w:rPr>
            </w:pPr>
          </w:p>
        </w:tc>
      </w:tr>
      <w:tr>
        <w:trPr>
          <w:trHeight w:val="20"/>
        </w:trPr>
        <w:tc>
          <w:tcPr>
            <w:tcW w:w="5740" w:type="dxa"/>
            <w:vAlign w:val="bottom"/>
            <w:gridSpan w:val="7"/>
            <w:vMerge w:val="restart"/>
          </w:tcPr>
          <w:p>
            <w:pPr>
              <w:spacing w:after="0"/>
              <w:rPr>
                <w:sz w:val="20"/>
                <w:szCs w:val="20"/>
                <w:color w:val="auto"/>
              </w:rPr>
            </w:pPr>
            <w:r>
              <w:rPr>
                <w:rFonts w:ascii="Arial" w:cs="Arial" w:eastAsia="Arial" w:hAnsi="Arial"/>
                <w:sz w:val="14"/>
                <w:szCs w:val="14"/>
                <w:color w:val="auto"/>
                <w:w w:val="93"/>
              </w:rPr>
              <w:t>_______________________________________________________________________________</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40" w:type="dxa"/>
            <w:vAlign w:val="bottom"/>
            <w:gridSpan w:val="7"/>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500" w:hanging="492"/>
        <w:spacing w:after="0" w:line="250"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completion dates are subject to change as a result of factors that may be outside of the Company's control, such as economic conditions, uncertainty with rezoning, obtaining governmental permits and approvals, concerns of community associations and reliance on third party contractors.</w:t>
      </w: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Estimated remaining entitled units may include single-family lots, condos, multifamily rental units and hotel keys, as applicable, for the respective properties.</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land and development projects are accounted for under the equity method of accounting. 2015 Revenue represents our share of earnings from these equity method investments. For Spring Mountain Ranch Phase I 2015 Revenue excludes a $4.3 million impairment.</w:t>
      </w: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Sales activity is the result of percentage of completion accounting at the joint venture, 170 closed units and hard contracts on unsold units as of December 31,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1210 California Circle</w:t>
      </w:r>
    </w:p>
    <w:p>
      <w:pPr>
        <w:spacing w:after="0" w:line="32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2015, the Company sold a 9-acre infill parcel at 1210 California Circle in Milpitas, CA to a national homebuilder. The Company recorded revenues of $36.9 million associated with the sale and expects to receive approximately $6.0 million of additional net proceeds upon the completion of certain easement agreements.</w:t>
      </w:r>
    </w:p>
    <w:p>
      <w:pPr>
        <w:spacing w:after="0" w:line="2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parcel was originally entitled for industrial use. The Company recognized the growing demand for residential housing within the local market and worked to re-entitle the site for residential use, ultimately gaining approval for 144 townhome units.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Valley Plaza</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2015, the Company sold its parcels at Valley Plaza, an 18-acre infill development in North Hollywood, CA for $25.9 million.</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existing site consists of 30 improved parcels with a mixture of commercial uses. The Company owned a majority of the site and an additional parcel across the street, but determined assembling the rest of the site was not economically feasible.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Sage Scottsdale</w:t>
      </w:r>
    </w:p>
    <w:p>
      <w:pPr>
        <w:spacing w:after="0" w:line="32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Sage Scottsdale is an infill development project in Scottsdale, AZ comprised of 72 two- and three-bedroom condominiums. The community is located next to the waterfront canal and Old Town Scottsdale and provides residents with a wide array of luxury amenities such as a resort pool, clubhouse, fitness room and wine cellar / tasting room.</w:t>
      </w:r>
    </w:p>
    <w:p>
      <w:pPr>
        <w:spacing w:after="0" w:line="235" w:lineRule="exact"/>
        <w:rPr>
          <w:sz w:val="20"/>
          <w:szCs w:val="20"/>
          <w:color w:val="auto"/>
        </w:rPr>
      </w:pPr>
    </w:p>
    <w:p>
      <w:pPr>
        <w:ind w:right="1620" w:firstLine="432"/>
        <w:spacing w:after="0" w:line="434" w:lineRule="auto"/>
        <w:rPr>
          <w:sz w:val="20"/>
          <w:szCs w:val="20"/>
          <w:color w:val="auto"/>
        </w:rPr>
      </w:pPr>
      <w:r>
        <w:rPr>
          <w:rFonts w:ascii="Arial" w:cs="Arial" w:eastAsia="Arial" w:hAnsi="Arial"/>
          <w:sz w:val="18"/>
          <w:szCs w:val="18"/>
          <w:color w:val="auto"/>
        </w:rPr>
        <w:t xml:space="preserve">Sales at Sage Scottsdale commenced in 2015 and the project sold 19 condominiums for $10.0 million of revenues during the year. </w:t>
      </w:r>
      <w:r>
        <w:rPr>
          <w:rFonts w:ascii="Arial" w:cs="Arial" w:eastAsia="Arial" w:hAnsi="Arial"/>
          <w:sz w:val="18"/>
          <w:szCs w:val="18"/>
          <w:u w:val="single" w:color="auto"/>
          <w:color w:val="auto"/>
        </w:rPr>
        <w:t>Magnolia Green</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Magnolia Green is a 3,500 unit multi-generational master planned community just outside of Richmond, Virginia with distinct phases that include homes for people in different life stages, from those buying their first home to empty nesters. Built on nearly 1,900 acres, Magnolia Green is a community with home designs from the area's top builders. The community’s amenity package features an 18-hole Jack Nicklaus designed golf course and a full-service golf clubhouse, aquatic center and tennis facility which are under construction.</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Magnolia Green sold 146 residential lots for $9.9 million of revenues during the year ended December 31, 2015 as compared to 114 residential lots sold for $7.9 million of revenues during the year ended December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Naples Reserve</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Naples Reserve is a water-themed master planned community in Naples, FL built on 688 acres. The project comprises 1,100 lakefront residences across 22 interconnected lakes, including a 125-acre navigable recreation lake and adjacent resort-style amenity center as its centerpiece. The Company has entered into a development agreement with a regional builder for the first 300 lots within the community. The community also includes a neighborhood, Parrot Cay, designated for custom homes constructed by local builders in the Naples Market.</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Naples Reserve sold 68 residential lots for $7.7 million of revenues during the year ended December 31, 2015 as compared to 7 residential lots sold for $0.7 million of revenues during the year ended December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Heath at Tetherow</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Tetherow is a 700-acre master planned community located in Bend, OR entitled for 378 residential lots, of which the Company originally acquired 159 lots within the Heath neighborhood. Bend has access to a wide array of recreational activities such as Mount Bachelor and the Cascade Mountains for skiing and hiking, as well as the Deschutes River for kayaking and fishing. In addition, the community’s lodge was named “World’s #1 Resort” on Booking.com and its golf course is ranked among Golf Digest’s “Top 100 Greatest Public Courses.”</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Heath at Tetherow sold 19 residential lots for $4.8 million of revenues during the year ended December 31, 2015 as compared to 29 residential lots sold for $6.6 million of revenues during the year ended December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Asbury Park Waterfront</w:t>
      </w:r>
    </w:p>
    <w:p>
      <w:pPr>
        <w:spacing w:after="0" w:line="32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Asbury Park Waterfront represents numerous waterfront parcels situated among 35 acres along a mile of beachfront in Asbury Park, NJ. The Company is the master developer of the project which includes entitlement for over 2,000 residential units including condominiums, townhomes, multi-family and hotels. The Company’s first residential community in Asbury Park was VIVE, a 28-unit townhome project which sold out in 2014. In addition, the Company sold 28 fully entitled and improved townhome lots to a national homebuilder in 2015 for the development of the South Grand project. Collectively, these projects represent the first new residential developments on the Asbury Park waterfront since 2007.</w:t>
      </w:r>
    </w:p>
    <w:p>
      <w:pPr>
        <w:spacing w:after="0" w:line="2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2015, the Company announced the next three projects to be developed in the waterfront. The first of these projects is The Asbury, a 110-key boutique hotel, currently under construction and scheduled to open in the summer of 2016. The Asbury will be the first new hotel in Asbury Park in more than 50 years. The Company's newest residential community is Monroe, a 34-unit condominium project which is expected to be completed during 2016. Construction has also started on 1101 Ocean, a landmark 16-story mixed-use tower, which includes a 56-key luxury boutique hotel, 128 residential condominiums and nearly 22,000 square feet of street-front retail space.</w:t>
      </w:r>
    </w:p>
    <w:p>
      <w:pPr>
        <w:spacing w:after="0" w:line="24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Asbury Park Waterfront sold 28 lots for $3.4 million of revenues during the year ended December 31, 2015 as compared to 14 completed townhomes for $6.7 million of revenues during the year ended December 31, 2014.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Marina Palms</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Marina Palms is a waterfront development in Miami, FL consisting of 468 residential condominium units within two towers and a 110-slip full-service marina. It is the first luxury condominium and yacht club project in Miami in two decades. Situated on 14 acres and over 750 feet of waterfront, Marina Palms offers views over the Intracoastal Waterway, and beyond to the Atlantic Ocean. The Company has partnered with local developers for the development of Marina Palms and contributed its land in return for a 47.5% interest in the venture.</w:t>
      </w:r>
    </w:p>
    <w:p>
      <w:pPr>
        <w:spacing w:after="0" w:line="2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December 31, 2015, the first tower was 99% pre-sold and the second tower was 78% pre-sold. The first tower is nearing completion and the venture has begun closing units while the second tower has commenced vertical construction. For the year ended December 31, 2015, the Company recognized $23.6 million of earnings from equity method investments at the project as compared to $14.7 million of earnings from equity method investments for the year ended December 31, 2014.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Spring Mountain Ranch - Phase 1</w:t>
      </w:r>
    </w:p>
    <w:p>
      <w:pPr>
        <w:spacing w:after="0" w:line="32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Spring Mountain Ranch is a 785-acre master planned community located four miles from Riverside, CA. Spring Mountain Ranch offers convenient freeway access and proximity to local job centers, and has quickly become one of the top performing residential communities in the Inland Empire, nestled between the Blue Mountains to the north and Box Spring Mountain to the south. The community plan includes a total of 1,400 homes across several neighborhoods, designed with an emphasis on outdoor recreation. In late 2013, the Company contributed a portion of its land and entered into a joint venture with a national homebuilder to jointly develop residential lots in the first phase of the project, which comprise 435 homes. Homes are marketed towards first time, move up and empty nester purchasers. The Company owns a 75.6% interest in the first phase of Spring Mountain Ranch. The remaining phases of Spring Mountain Ranch are wholly owned by the Company.</w:t>
      </w:r>
    </w:p>
    <w:p>
      <w:pPr>
        <w:spacing w:after="0" w:line="24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first phase of Spring Mountain Ranch sold 140 lots during the year ended December 31, 2015 as compared to 60 lots during the year ended December 31, 2014. For the year ended December 31, 2015, the Company recognized a $4.2 million loss from equity method investments at the project as compared to $0.2 million of earnings from equity method investments for the year ended December 31, 2014. The Company recorded $4.3 million of impairments in 2015 based on additional costs at the project associated with newly-imposed water regulations implemented by the State of California.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Properties</w:t>
      </w:r>
    </w:p>
    <w:p>
      <w:pPr>
        <w:spacing w:after="0" w:line="14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operating properties portfolio included the following ($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Commercial</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Residential</w:t>
            </w:r>
          </w:p>
        </w:tc>
        <w:tc>
          <w:tcPr>
            <w:tcW w:w="860" w:type="dxa"/>
            <w:vAlign w:val="bottom"/>
            <w:tcBorders>
              <w:bottom w:val="single" w:sz="8" w:color="auto"/>
            </w:tcBorders>
          </w:tcPr>
          <w:p>
            <w:pPr>
              <w:spacing w:after="0"/>
              <w:rPr>
                <w:sz w:val="16"/>
                <w:szCs w:val="16"/>
                <w:color w:val="auto"/>
              </w:rPr>
            </w:pPr>
          </w:p>
        </w:tc>
      </w:tr>
      <w:tr>
        <w:trPr>
          <w:trHeight w:val="250"/>
        </w:trPr>
        <w:tc>
          <w:tcPr>
            <w:tcW w:w="3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21"/>
                <w:szCs w:val="21"/>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at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560,646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724,430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(96,159)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481,504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628,271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6,989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137,274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155,793</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w:t>
            </w: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Total portfolio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492,624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647,792</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137,278</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156,481</w:t>
            </w:r>
          </w:p>
        </w:tc>
      </w:tr>
      <w:tr>
        <w:trPr>
          <w:trHeight w:val="20"/>
        </w:trPr>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Commercial Properties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2015, commercial properties within the operating properties portfolio included 20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encompassing 4.5 million square feet located in 9 states. Commercial properties include office, industrial and retail buildings along with hotels and marinas. The Company’s commercial properties were primarily acquired through either foreclosure or deed in lieu of foreclosure in connection with the resolution of loans.</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commercial properties as either stabilized or transitional. In determining whether a commercial property is stabilized or transitional, the Company analyzes certain performance metrics, primarily occupancy and yield. Stabilized</w:t>
      </w:r>
    </w:p>
    <w:p>
      <w:pPr>
        <w:sectPr>
          <w:pgSz w:w="11900" w:h="16838" w:orient="portrait"/>
          <w:cols w:equalWidth="0" w:num="1">
            <w:col w:w="11420"/>
          </w:cols>
          <w:pgMar w:left="240" w:top="122"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commercial properties generally have occupancy levels above 80% and/or generate yields resulting in a sufficient return based upon the properties’ risk profiles. Transitional commercial properties are generally those properties that do not meet these criteria. As of December 31, 2015, stabilized commercial properties had a total carrying value of $123.8 million, or 22% of the portfolio, generated an unleveraged weighted average effective yield of 8.8% on gross carrying value for the year and were 89% leased. As of December 31, 2015, transitional commercial properties had a total carrying value of $448.0 million, or 78% of the portfolio, generated an unleveraged weighted average effective yield of 2.8% on gross carrying value for the year and were 65% leased.</w:t>
      </w:r>
    </w:p>
    <w:p>
      <w:pPr>
        <w:spacing w:after="0" w:line="21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2015, the Company sold a leasehold interest in a commercial operating property for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of $93.5 million and simultaneously entered into a ground lease with an initial term of 99 years and annual rent starting at $2.5 million with escalations. In connection with this transaction, the Company deferred a gain of $5.3 million. The Company also sold a commercial operating property for $68.5 million to a newly formed unconsolidated entity in which the Company owns a 50.0% equity interest. The Company recognized a gain on sale of $13.6 million, reflecting the Company's share of the interest sold (see Item 8 —"Financial Statements and Supplemental Data—Note 4" for further details). In addition, the Company sold three properties with an aggregate carrying value of $5.3 million which resulted in a net loss of $0.3 million. The Company also funded $32.9 million of capital expenditures on existing commercial operating properties.</w:t>
      </w:r>
    </w:p>
    <w:p>
      <w:pPr>
        <w:spacing w:after="0" w:line="23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lease expirations on commercial properties, excluding hotels, marinas and other investments, within the operating properties portfolio were as follows ($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Annualized In-Place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of In-Place</w:t>
            </w:r>
          </w:p>
        </w:tc>
        <w:tc>
          <w:tcPr>
            <w:tcW w:w="16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5"/>
              </w:rPr>
              <w:t>Square Feet of Leases</w:t>
            </w:r>
          </w:p>
        </w:tc>
        <w:tc>
          <w:tcPr>
            <w:tcW w:w="0" w:type="dxa"/>
            <w:vAlign w:val="bottom"/>
          </w:tcPr>
          <w:p>
            <w:pPr>
              <w:spacing w:after="0"/>
              <w:rPr>
                <w:sz w:val="1"/>
                <w:szCs w:val="1"/>
                <w:color w:val="auto"/>
              </w:rPr>
            </w:pPr>
          </w:p>
        </w:tc>
      </w:tr>
      <w:tr>
        <w:trPr>
          <w:trHeight w:val="149"/>
        </w:trPr>
        <w:tc>
          <w:tcPr>
            <w:tcW w:w="2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00" w:type="dxa"/>
            <w:vAlign w:val="bottom"/>
            <w:vMerge w:val="restart"/>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Leases</w:t>
            </w: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Operating</w:t>
            </w: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Lease Income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Lease Income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Expiring (in thousands)</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4,630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2026 and thereafter</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7"/>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52,696</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Weighted average remaining lease</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term</w:t>
            </w: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6.1 years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699770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the percentage of annualized operating lease income for leases in-place as a percentage of annualized total revenue.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Residential Properties</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2015, residential properties within the operating properties portfolio included 9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representing 210 units located within luxury condominium projects in major cities throughout the United States.</w:t>
      </w:r>
    </w:p>
    <w:p>
      <w:pPr>
        <w:spacing w:after="0" w:line="2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2015, the Company sold 167 residential condominiums for net proceeds of $127.9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gains on sales of $40.1 million. The Company also incurred $14.2 million of net carrying costs that were reflected in "Real estate expenses" in the Company's consolidated statements of operations. The Company acquired, via deed-in-lieu, title to a residential property, which had a total fair value of $13.4 million and previously served as collateral for loans receivable held by the Company. No gain or loss was recorded in connection with this transaction. During the same period, the Company funded $51.3 million of capital expenditures related to these projects.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investment, financing and corporate governance policies (including conflicts of interests policies) are managed under the ultimate supervision of the Company's Board of Directors. The Company can amend, revise or eliminate these policies at any time without a vote of its shareholders. The Company intends to originate and manage investments in a manner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requirements of the Internal Revenue Code of 1986, as amended (the "Code") for the Company to qualify as a REIT.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Restrictions or Limitations</w:t>
      </w:r>
    </w:p>
    <w:p>
      <w:pPr>
        <w:spacing w:after="0" w:line="28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does not have any prescribed allocation among investments or product lines. Instead, the Company focuses on corporate and real estate credit underwriting to develop an analysis of the risk/reward trade-offs in determining the pricing and advisability of each particular transaction.</w:t>
      </w:r>
    </w:p>
    <w:p>
      <w:pPr>
        <w:spacing w:after="0" w:line="20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The Company's senior mortgages, real estate assets and certain of its subordinated mortgages generally constitute Qualifying Interests. Subject to the limitations on ownership of certain types of assets and the gross income tests imposed by the Code, the Company also may invest in the securities of other REITs, other entities engaged in real estate activities or other issuers, including for the purpose of exercising control over such entities.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operates in a competitive market. See Item 1a—Risk factors—"We compete with a variety of financing and leasing sources for our customers," for a discussion of how we may be affected by competition.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 (2) establish maximum interest rates, finance charges and other charges; (3) require disclosures to customers; (4) govern secured transactions; (5) set collection, foreclosure, repossession and claims-handling procedures and other trade practices; (6) govern privacy of customer information; and (7) regulate anti-terror and anti-money laundering activities.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2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judgment of management, existing statutes and regulations have not had a material adverse effect on the business conducted by the Company. It is not possible at this time to forecast the exact nature of any future legislation, regulations, judicial decisions, orders or interpretations, nor their impact upon the future business, financial condition or results of operations or prospects of the Company.</w:t>
      </w:r>
    </w:p>
    <w:p>
      <w:pPr>
        <w:spacing w:after="0" w:line="2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elected and expects to continue to qualify to be taxed as a REIT under Section 856 through 860 of the Code. As a REIT, the Company must generally distribute at least 90% of its net taxable income, excluding capital gains, to its shareholders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18, 2015, President Obama signed into law the Consolidated Appropriations Act, 2016, an omnibus spending bill, with a division referred to as the Protecting Americans From Tax Hikes Act of 2015 (the "PATH Act"). The PATH Act changes certain of the rules affecting REIT qualification and taxation of REITs and REIT shareholders, including the following:</w:t>
      </w:r>
    </w:p>
    <w:p>
      <w:pPr>
        <w:spacing w:after="0" w:line="100"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withholding tax applicable under Foreign Investment in Real Property Tax Act ("FIRPTA") to certain sales and other dispositions of U.S. real property interests ("USRPIs") by non-U.S. persons, and certain distributions from corporations whose stock may constitute a USRPI, is increased from 10% to 15% for dispositions and distributions occurring after February 16, 2016.</w:t>
      </w:r>
    </w:p>
    <w:p>
      <w:pPr>
        <w:spacing w:after="0" w:line="1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dispositions and distributions on or after December 18, 2015, the stock ownership thresholds for exemption from FIRPTA taxation on sale of stock of a publicly traded REIT and for recharacterizing capital gain dividends received from a publicly traded REIT as ordinary dividends is increased from not more than 5% to not more than 10%.</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that the changes will not materially impact our operations and will continue to monitor any potential impact as regulatory guidance is issued.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8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The Company has adopted a code of conduct that sets forth the principles of conduct and ethics to be followed by our directors, officers and employees (the "Code of Conduct"). The purpose of the Code of Conduct is to promote honest and ethical conduct, compliance with applicable governmental rules and regulations, full, fair, accurate, timely and understandable disclosure in periodic reports, prompt internal reporting of violations of the Code of Conduct and a culture of honesty and accountability. A copy of the Code of Conduct has been provided to each of our directors, officers and employees, who are required to acknowledge that they have received and will comply with the Code of Conduct.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6"/>
          <w:szCs w:val="16"/>
          <w:i w:val="1"/>
          <w:iCs w:val="1"/>
          <w:color w:val="auto"/>
        </w:rPr>
        <w:t>www.istar.com</w:t>
      </w:r>
      <w:r>
        <w:rPr>
          <w:rFonts w:ascii="Arial" w:cs="Arial" w:eastAsia="Arial" w:hAnsi="Arial"/>
          <w:sz w:val="16"/>
          <w:szCs w:val="16"/>
          <w:color w:val="auto"/>
        </w:rPr>
        <w:t>. The Company will disclose to shareholders material changes to its Code of Conduct, or any waivers for directors or executive officers, if any, within four business days of any such event. As of December 31, 2015, there have been no amendments to the Code of Conduct and the Company has not granted any waivers from any provision of the Code of Conduct to any directors or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February 19, 2016, the Company had 188 employees and believes it has good relationships with its employees. The Company's employees are not represented by any collective bargaining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8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addition to this Annual Report on Form 10-K, the Company files quarterly and special reports, proxy statements and other information with the SEC. Through the Company's corporate website, </w:t>
      </w:r>
      <w:r>
        <w:rPr>
          <w:rFonts w:ascii="Arial" w:cs="Arial" w:eastAsia="Arial" w:hAnsi="Arial"/>
          <w:sz w:val="16"/>
          <w:szCs w:val="16"/>
          <w:i w:val="1"/>
          <w:iCs w:val="1"/>
          <w:color w:val="auto"/>
        </w:rPr>
        <w:t>www.istar.com</w:t>
      </w:r>
      <w:r>
        <w:rPr>
          <w:rFonts w:ascii="Arial" w:cs="Arial" w:eastAsia="Arial" w:hAnsi="Arial"/>
          <w:sz w:val="16"/>
          <w:szCs w:val="16"/>
          <w:color w:val="auto"/>
        </w:rPr>
        <w:t xml:space="preserve">, the Company makes available free of charge its annual proxy statement, annual reports to stockholders,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via electronic means, including on the SEC's homepage, which can be found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the other information in this report, you should consider carefully the following risk factors in evaluating an investment in our securities. Any of these risks or the occurrence of any one or more of the uncertainties described below could have a material adverse effect on our business, financial condition, results of operations, cash flows and market price of our common stock. The risks set forth below speak only as of the date of this report and we disclaim any duty to update them except as required by law. For purposes of these risk factors, the terms "our Company," "we," "our" and "us" refer to iStar Inc. and its consolidated subsidiaries, unless the context indicates otherwise.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general economic conditions may adversely affect our business.</w:t>
      </w:r>
    </w:p>
    <w:p>
      <w:pPr>
        <w:spacing w:after="0" w:line="2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success is generally dependent upon economic conditions in the U.S., and in particular, the geographic areas in which our investments are located. Substantially all businesses, including ours, were negatively affected by the previous economic recession and resulting illiquidity and volatility in the credit and commercial real estate markets. The commercial real estate and credit markets remain volatile and it is not possible for us to predict whether these trends will continue in the future or quantify the impact of these or other trends on our financial results. Deterioration in economic trends could have a material adverse effect on our financial performance, liquidity and our ability to meet our debt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will impact our borrowing costs.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borrowing costs and our access to the debt capital markets depend significantly on our credit ratings. Our unsecured corporate credit ratings from major national credit rating agencies are currently below investment grade. Having below investment grade credit ratings increases our borrowing costs and caused restrictive covenants in our public debt instruments to become operative. These restrictive covenants are described below in "Covenants in our indebtedness could limit our flexibility and adversely affect our financial condition." These factors have adversely impacted our financial performance and will continue to do so unless our credit ratings improve.</w:t>
      </w:r>
    </w:p>
    <w:p>
      <w:pPr>
        <w:sectPr>
          <w:pgSz w:w="11900" w:h="16838" w:orient="portrait"/>
          <w:cols w:equalWidth="0" w:num="1">
            <w:col w:w="11420"/>
          </w:cols>
          <w:pgMar w:left="240" w:top="122"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indebtedness could limit our flexibility and adversely affect our financial condition.</w:t>
      </w:r>
    </w:p>
    <w:p>
      <w:pPr>
        <w:spacing w:after="0" w:line="2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our ability to incur new indebtedness under the fixed charge coverage ratio is currently limited, which may put limitations on our ability to make new investments, we are permitted to incur indebtedness for the purpose of refinancing existing indebtedness and for other permitted purposes under the indentures governing our debt securities.</w:t>
      </w:r>
    </w:p>
    <w:p>
      <w:pPr>
        <w:spacing w:after="0" w:line="23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March 2012, we entered into an $880.0 million senior secured credit agreement providing for two tranches of term loans (our "2012 Secured Credit Facilities"). In March 2015, we entered into a secured revolving credit facility with a maximum capacity of $250.0 million (our "2015 Revolving Credit Facility"). Our 2012 Secured Credit Facilities and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our 2012 Secured Credit Facilities require us to maintain collateral coverage of at least 1.25x outstanding borrowings on the facilities. Our 2015 Revolving Credit Facility is secured by a borrowing base of assets and requires us to maintain both collateral coverage of at least 1.5x outstanding borrowings on the facility and a consolidated ratio of cash flow to fixed charges of at least 1.5x. Our 2015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our 2012 Secured Credit Facilities and 2015 Revolving Credit Facility permit us to distribute 100% of our REIT taxable income on an annual basis (prior to deducting certain cumulative net operating loss carryforwards in the case of our 2015 Revolving Credit Facility). We may not pay common dividends if the Company ceases to qualify as a REIT.</w:t>
      </w:r>
    </w:p>
    <w:p>
      <w:pPr>
        <w:spacing w:after="0" w:line="22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2012 Secured Credit Facilities and 2015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 A default by us on our indebtedness would have a material adverse effect on our business, liquidity and the market price of our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significant indebtedness and funding commitments and limitations on our liquidity and ability to raise capital may adversely affect us.</w:t>
      </w:r>
    </w:p>
    <w:p>
      <w:pPr>
        <w:spacing w:after="0" w:line="30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Sufficient liquidity is critical to the management of our balance sheet and our ability to meet our scheduled debt payments and our funding commitments to borrowers. We have relied on proceeds from the issuance of unsecured debt, secured borrowings, repayments from our loan assets and proceeds from asset sales to fund our operations and meet our debt maturities, and we expect to continue to rely primarily on these sources of liquidity for the foreseeable future. We have $926.4 million of indebtedness maturing in 2016. While we had access to various sources of capital in 2015, our ability to access capital in 2016 and beyond will be subject to a number of factors, many of which are outside of our control, such as conditions prevailing in the credit and real estate markets. There can be no assurance that we will have access to liquidity when needed or on terms that are acceptable to us. We may also encounter difficulty in selling assets or executing capital raising strategies on acceptable terms in a timely manner, which could impact our ability to make scheduled repayments on our outstanding debt. Failure to repay or refinance our borrowings as they come due would be an event of default under the relevant debt instruments, which could result in a cross default and acceleration of our other outstanding debt obligations. Failure to meet funding commitments could cause us to be in default of our financing commitments to borrowers. Any of the foregoing could have a material adverse effect on our business, liquidity and the market price of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utilize derivative instruments to hedge risk, which may adversely affect our borrowing cost and expose us to other risks.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derivative instruments we may use are typically in the form of interest rate swaps, interest rate caps and foreign exchange contracts. Interest rate swaps effectively change variable-rate debt obligations to fixed-rate debt obligations or fixed-rate debt obligations to variable-rate debt obligations. Interest rate caps limit our exposure to rising interest rates. Foreign exchange contracts limit or offset our exposure to changes in currency rates in respect of certain investments denominated in foreign currencies.</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use of derivative instruments also involves the risk that a counterparty to a hedging arrangement could default on its obligation and the risk that we may have to pay certain costs, such as transaction fees or breakage costs, if a hedging arrangement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terminated by us. As a matter of policy, we enter into hedging arrangements with counterparties that are large, creditworthy financial institutions typically rated at least "A/A2" by S&amp;P and Moody's, respectively.</w:t>
      </w:r>
    </w:p>
    <w:p>
      <w:pPr>
        <w:spacing w:after="0" w:line="2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Developing an effective strategy for dealing with movements in interest rates and foreign currencies is complex and no strategy can completely insulate us from risks associated with such fluctuations. There can be no assurance that any hedging activities will have the desired beneficial impact on our results of operations or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increases in interest rates could have an adverse effect on our operating results.</w:t>
      </w:r>
    </w:p>
    <w:p>
      <w:pPr>
        <w:spacing w:after="0" w:line="2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operating results depend in part on the difference between the interest and related income earned on our assets and the interest expense incurred in connection with our interest bearing liabilities. Changes in the general level of interest rates prevailing in the financial markets will affect the spread between our interest earning assets and interest bearing liabilities subject to the impact of interest rate floors and caps, as well as the amounts of floating rate assets and liabilities. Any significant compression of the spreads between interest earning assets and interest bearing liabilities could have a material adverse effect on us. In the event of a significant rising interest rate environment, rates could exceed the interest rate floors that exist on certain of our floating rate debt and create a mismatch between our floating rate loans and our floating rate debt that could have a significant adverse effect on our operating results. In addition, an increase in interest rates could, among other things, reduce the value of our fixed-rate interest bearing assets and our ability to realize gains from the sale of such assets. Interest rates are highly sensitive to many factors, including governmental monetary and tax policies, domestic and international economic and political conditions, and other factors beyond our control.</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2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reserves for loan losses may prove inadequate, which could have a material adverse effect on our financial results.</w:t>
      </w:r>
    </w:p>
    <w:p>
      <w:pPr>
        <w:spacing w:after="0" w:line="27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maintain loan loss reserves to offset potential future losses. Our general loan loss reserve reflects management's then-current estimation of the probability and severity of losses within our portfolio. In addition, our determination of asset-specific loan loss reserves relies on material estimates regarding the fair value of loan collateral. Estimation of ultimate loan losses, provision expenses and loss reserves is a complex and subjective process. As such, there can be no assurance that 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during the previous financial crisis, the weak economy and disruption of the credit markets adversely impacted the ability and willingness of many of our borrowers to service their debt and refinance our loans to them at maturity. If our reserves for credit losses prove inadequate we may suffer additional losses which would have a material adverse effect on our financial performance, liquidity and the market price of our common stock.</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suffered losses when a borrower defaults on a loan and the underlying collateral value is not sufficient, and we may suffer additional losses in the future.</w:t>
      </w:r>
    </w:p>
    <w:p>
      <w:pPr>
        <w:spacing w:after="0" w:line="2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suffered losses arising from borrower defaults on our loan assets and we may suffer additional losses in the future. In the event of a default by a borrower on a non-recourse loan, we will only have recourse to the real estate-related assets collateralizing the loan. If the underlying collateral value is less than the loan amount,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2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sometimes obtain individual or corporate guarantees from borrowers or their affiliates.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or where the value of the collateral proves insufficient, we will only have recourse as an unsecured creditor to the general assets of the borrower or guarantor, some or all of which may be pledged to satisfy</w:t>
      </w:r>
    </w:p>
    <w:p>
      <w:pPr>
        <w:sectPr>
          <w:pgSz w:w="11900" w:h="16838" w:orient="portrait"/>
          <w:cols w:equalWidth="0" w:num="1">
            <w:col w:w="11420"/>
          </w:cols>
          <w:pgMar w:left="240" w:top="121"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lenders. There can be no assurance that a borrower or guarantor will comply with its financial covenants, or that sufficient assets will be available to pay amounts owed to us under our loans and guarantees. As a result of these factors, we may suffer additional losses which could have a material adverse effect on our financial performance, liquidity and the market price of our common stock.</w:t>
      </w:r>
    </w:p>
    <w:p>
      <w:pPr>
        <w:spacing w:after="0" w:line="2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the event of a borrower bankruptcy, we may not have full recourse to the assets of the borrower in order to satisfy our loan. In addition, certain of our loans are subordinate to other debts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costs and losses and the time necessary to acquire title to the underlying collateral, during which time the collateral may decline in value, causing us to suffer additional losses.</w:t>
      </w:r>
    </w:p>
    <w:p>
      <w:pPr>
        <w:spacing w:after="0" w:line="2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additional loss which may adversely impact our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additional risks associated with loan participations.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additional risk associated with owning and developing real estate.</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obtained title to a number of assets that previously served as collateral on defaulted loans. These assets are predominantly land and development assets and operating properties. These assets expose us to additional risks, including, without limitation:</w:t>
      </w:r>
    </w:p>
    <w:p>
      <w:pPr>
        <w:spacing w:after="0" w:line="89" w:lineRule="exact"/>
        <w:rPr>
          <w:sz w:val="20"/>
          <w:szCs w:val="20"/>
          <w:color w:val="auto"/>
        </w:rPr>
      </w:pPr>
    </w:p>
    <w:p>
      <w:pPr>
        <w:ind w:left="66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must incur costs to carry these assets and in some cases make repairs to defects in construction, make improvements to, or complete the assets, which requires additional liquidity and results in additional expenses that could exceed our original estimates and impact our operating results.</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 estate projects are not liquid and, to the extent we need to raise liquidity through asset sales, we may be limited in our ability to sell these assets in a short-time frame.</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associated with economic conditions, rezoning, obtaining governmental permits and approvals, concerns of community associations, reliance on third party contractors, increasing commodity costs and threatened or pending litigation may materially delay our completion of rehabilitation and development activities and materially increase their cost to us.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values of our real estate investments are subject to a number of factors outside of our control, including changes in the general economic climate, changes in interest rates and the availability of attractive financing, over-building or decreasing demand in the markets where we own assets, and changes in law and governmental regulations.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residential market has experienced significant downturns that could recur and adversely affect us.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2015, we owned land and residential condominiums with a net carrying value of $1.2 billion. The housing market in the United States has previously been affected by weakness in the economy, high unemployment levels and low consumer confidence. It is possible another downturn could occur again in the near future and adversely impact our portfolio, and accordingly our financial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losses if the creditworthiness of our tenants deteriorates and they are unable to meet their lease obligations.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own properties leased to tenants of our real estate assets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our asset concentration.</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portfolio consists primarily of real estate and commercial real estate loans which are generally diversified by asset type, obligor, property type and geographic location. However, as of December 31, 2015, approximately 23% of the gross carrying value of our assets related to office properties, 23% related to land and development properties, 16% related to mixed use/mixed collateral properties and 11% related to hotel properties. All of these property types have been adversely affected by the previous economic recession. In addition, as of December 31, 2015, approximately 30% of the carrying value of our assets related to properties located in the northeastern U.S. (including 20% in New York), 18% related to properties located in the western U.S. (including 14% in California), 14% related to properties located in the mid-Atlantic U.S., 16% related to properties located in the southeastern U.S. and 10% related to properties located in the southwestern U.S. These regions include areas that were particularly hard hit by the prior downturn in the residential real estate markets. In addition, we have $19 million of international assets, which are subject to increased risks due to the economic uncertainty abroad. We may suffer additional losses on our assets due to these concentrations.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customer, the inability of that borrower or tenant to make its payment could have a material adverse effect on us. As of December 31, 2015, our five largest borrowers or tenants of net lease assets collectively accounted for approximately 21% of our 2015 revenues, of which no single customer accounts for more than 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expirations, lease defaults and lease terminations may adversely affect our revenue.</w:t>
      </w:r>
    </w:p>
    <w:p>
      <w:pPr>
        <w:spacing w:after="0" w:line="1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Lease expirations and lease terminations may result in reduced revenues if the lease payments received from replacement tenants are less than the lease payments received from the expiring or terminating corporate tenants. In addition, lease defaults or lease terminations by one or more significant tenants or the failure of tenants under expiring leases to elect to renew their leases could cause us to experience long periods of vacancy with no revenue from a facility and to incur substantial capital expenditures and/or lease concessions in order to obtain replacement tenants. Leases representing approximately 23.7% of our in-place operating lease income are scheduled to expire during the next five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a variety of financing and leasing sources for our customers.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have difficulty competing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 material adverse effect on our financial performance, liquidity and the market price of our common stock.</w:t>
      </w:r>
    </w:p>
    <w:p>
      <w:pPr>
        <w:spacing w:after="0" w:line="1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face significant competition within our net leasing business from other owners, operators and developers of properties, many of which own properties similar to ours in markets where we operate. Such competition may affect our ability to attract and retain tenants and reduce the rents we are able to charge. These competing properties may have vacancy rates higher than our properties, which may result in their owners offering lower rental rates than we would or providing greater tenant improvement allowances or other leasing concessions. This combination of circumstances could adversely affect our revenues and financial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13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spacing w:after="0" w:line="14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Weather conditions and man-made or natural disasters such as hurricanes, tornadoes, earthquakes, floods, droughts, fires and other environmental conditions can damage properties we own. As of December 31, 2015, approximately 21% of the carrying value of our assets was located in the western and northwestern U.S., geographic areas at higher risk for earthquakes.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stock. In addition, there is a risk that one or more of our property insurers may not be able to fulfill their obligations with respect to claims payments due to a deterioration in its financial condition.</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From time to time we make investments in companies over which we do not have sole control. Some of these companies operate in industries that differ from our current operations, with different risks than investing in real estate.</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make debt or equity investments in other companies that we may not control or over which we may not have sole control. Although these businesses generally have a significant real estate component, some of them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market values of our equity investments may adversely affect periodic reported results.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Most of our equity investments are in funds or companies that are not publicly traded and their fair value may not be readily determinable. We may periodically estimate the fair value of these investments, based upon available information and management's judgment. Because such valuations are inherently uncertain, they may fluctuate over short periods of time.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may fluctuate and may not be indicative of future quarterly performance.</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real estate portfolio performance, levels of non-performing assets and related provisions, market values of investments, costs associated with debt, general economic conditions, the state of the real estate and financial markets and the degree to which we encounter competition in our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and attract key personnel is critical to our success.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depends on our ability to retain our senior management and the other key members of our management team and recruit additional qualified personnel. We rely in part on equity compensation to retain and incentivize our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3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and personally identifiable information of our customers and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the services we provide to customers, and damage our reputation, which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certain of our policies without stockholder approval.</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charter does not set forth specific percentages of the types of investments we may make. We can amend, revise or eliminate our investment financing and conflict of interest policies at any time at our discretion without a vote of our shareholders. A change in these policies could have a material adverse effect on our financial performance, liquidity and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charter may inhibit a change in control.</w:t>
      </w:r>
    </w:p>
    <w:p>
      <w:pPr>
        <w:spacing w:after="0" w:line="18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would be subject to adverse consequences if we fail to qualify as a REIT.</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we have been organized and operated in a manner so as to qualify for taxation as a REIT for U.S. federal income tax purposes commencing with our taxable year ended December 31, 1998. However, our qualification as a REIT has depended and will continue to depend on our ability to meet various requirements concerning, among other things, the ownership of our outstanding stock, the nature of our assets, the sources of our income and the amount of our distributions to our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we were to fail to qualify as a REIT for any taxable year, we would not be allowed a deduction for distributions to our shareholders in computing our net taxable income and would be subject to U.S. federal income tax, including any applicable alternative minimum tax on our net taxable income at regular corporate rates, as well as applicable state and local taxes. Unless entitled to relief under certain Code provisions, we would also be disqualified from treatment as a REIT for the four subsequent taxable years following the year during which our REIT qualification was lost. In that case, we may need to borrow money or sell assets to pay taxes. As a result, cash available for distribution would be reduced for each of the years involved. Furthermore, it is possible that future economic, market, legal, tax or other considerations may cause our REIT qualification to be revoked. This could have a material adverse effect on our business and the market price of our common stock.</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2012 Secured Credit Facilities and 2015 Revolving Credit Facility (see Item 8—"Financial Statements and Supplemental Data—Note 10") prohibit us from paying dividends on our common stock if we no longer qualify as a REIT.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qualify as a REIT, we may be forced to borrow funds, sell assets or take other actions during unfavorable market conditions.</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To qualify as a REIT, we generally must distribute to our shareholders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w:t>
      </w:r>
    </w:p>
    <w:p>
      <w:pPr>
        <w:spacing w:after="0" w:line="11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the event that principal, premium or interest payments with respect to a particular debt instrument that we hold are not made when due, we may nonetheless be required to continue to recognize the unpaid amounts as taxable income. In addition, we may be allocated taxable income in excess of cash flow received from some of our partnership investments. Due to these and other potential timing differences between income recognition or expense deduction and cash receipts or disbursements, there is a significant risk that we may have substantial taxable income in excess of cash available for distribution. In order to qualify as a REIT and avoid the payment of income and excise taxes, we may need to borrow funds or take other actions to meet our REIT distribution requirements for the taxable year in which the phantom income is recognized.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cause us to forego and/or liquidate otherwise attractive investments.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order to meet the income, asset and distribution tests under the REIT rules, we may be required to take or forego certain actions. For instance, we may not be able to make certain investments and we may have to liquidate other investments. In addition, we may be required to make distributions to shareholders at disadvantageous times or when we do not have funds readily available for distribution. These actions could have the effect of reducing our income and amounts available for distribution to our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business activities may potentially be subject to the prohibited transaction tax, which could reduce the return on your investment.</w:t>
      </w:r>
    </w:p>
    <w:p>
      <w:pPr>
        <w:spacing w:after="0" w:line="20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so long as we qualify as a REIT, our ability to dispose of certain properties may be restricted under the REIT rules, which generally impose a 100% penalty tax on any gain recognized on "prohibited transactions," which refers to the disposition of property that is deemed to be inventory or held primarily for sale to customers in the ordinary course of our business, subject to certain exceptions. Whether property is inventory or otherwise held primarily for sale depends on the particular facts and circumstances. The Internal Revenue Code provides a safe harbor that, if met, allows a REIT to avoid being treated as engaged in a prohibited transaction. No assurance can be given that any property that we sell will not be treated as property held for sale to customers, or that we can comply with the safe harbor. The 100% tax does not apply to gains from the sale of foreclosure property or to property that is held through a taxable REIT subsidiary ("TRS") or other taxable corporation, although such income will be subject to tax in the hands of the corporation at regular corporate rates. We intend to structure our activities to avoid prohibited transaction characterization.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activities, including our use of taxable REIT subsidiaries, are subject to taxes that could reduce our cash flows.</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Even if we qualify as a REIT for U.S. federal income tax purposes, we will be required to pay some U.S. federal, state, local and non-U.S. taxes on our income and property, including taxes on any undistributed income, taxes on income from certain activities conducted as a result of foreclosures, and property and transfer taxes. We would be required to pay taxes on net taxable income that we fail to distribute to our shareholders. In addition, we may be required to limit certain activities that generate non-qualifying REIT income, such as land development and sales of condominiums, and/or we may be required to conduct such activities through TRS. We hold a significant amount of assets in our TRS, including assets that we have acquired through foreclosure, assets that may be treated as dealer property and other assets that could adversely affect our ability to qualify as a REIT if held at the REIT level. As a result, we will be required to pay income taxes on the taxable income generated by these assets. There are also limitations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ability of TRS to make interest payments to affiliated REITs. Furthermore, we will be subject to a 100% penalty tax to the extent our economic arrangements with our TRS are not comparable to similar arrangements among unrelated parties. We will also be subject to a 100% tax to the extent we derive income from the sale of assets to customers in the ordinary course of business other than through our TRS. To the extent we or our TRS are required to pay U.S. federal, state, local or non-U.S. taxes, we will have less cash available for distribution to our shareholders.</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substantial net operating and net capital loss carry forwards which we use to offset our tax and distribution requirements. In the event that we experience an "ownership change" for purposes of Section 382 of the Internal Revenue Code of 1986, as amended, or the Internal Revenue Code, our ability to use these losses will be limited. An "ownership change" is determined based upon complex rules which track the changes in ownership that occur in our common stock for a trailing three year period. We have experienced volatility and significant trading in our common stock in recent years. The occurrence of an ownership change is generally beyond our control and, if triggered, may increase our tax and distribution obligations for which we may not have sufficient cash flow.</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to comply with the limits on our ownership of and relationship with our TRS would jeopardize our REIT qualification and may result in the application of a 100% excise tax.</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No more than 25% (20% for taxable years beginning after December 31, 2017) of the value of a REIT's total assets may consist of stock or securities of one or more TRS. This requirement limits the extent to which we can conduct activities through TRS or expand the activities that we conduct through TRS. The values of some of our assets, including assets that we hold through TRS may not be subject to precise determination, and values are subject to change in the future. In addition, we hold certain mortgage and mezzanine loans within one or more of our TRS that are secured by real property. We treat these loans as qualifying assets for purposes of the REIT asset tests to the extent that such mortgage loans are secured by real property and such mezzanine loans are secured by an interest in a limited liability company that holds real property, and pursuant to a private letter ruling we received from the IRS we do not treat such loans as subject to the limitation that securities from TRS must constitute no more than 25% (20% for taxable years beginning after December 31, 2017) of our total assets. We are entitled to rely upon this private letter ruling only to the extent that we did not misstate or omit a material fact in the ruling request and that we continue to operate in accordance with the material facts described in such request, and no assurance can be given that we will always be able to do so. To the extent that any loan was recharacterized as equity, it would increase the amount of non-real estate securities that we have in our TRS and could adversely affect our ability to meet the limitation described above. If we were not able to exclude such loans to our TRS from the limitation described above, our ability to meet the REIT asset tests and other REIT requirements could be adversely affected. Accordingly, there can be no assurance that we have met or will be able to continue to comply with the TRS limitation.</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we may from time to time need to make distributions from a TRS in order to keep the value of our TRS below the TRS limitation. However, TRS dividends will generally not constitute qualifying income for purposes of the 75% REIT gross income test. While we will monitor our compliance with both this income test and the limitation on the percentage of our total assets represented by TRS securities, and intend to conduct our affairs so as to comply with both, the two may at times be in conflict with one another. For example, it is possible that we may wish to distribute a dividend from a TRS in order to reduce the value of our TRS, but we may be unable to do so without violating the 75% REIT gross income test.</w:t>
      </w:r>
    </w:p>
    <w:p>
      <w:pPr>
        <w:spacing w:after="0" w:line="13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Although there are other measures we can take in such circumstances in order to remain in compliance with the requirements for REIT qualification, there can be no assurance that we will be able to comply with both of these tests in all market conditions.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Dividends payable by REITs do not qualify for the reduced tax rates on dividend income from regular corporations, which could adversely affect the value of our common stock.</w:t>
      </w:r>
    </w:p>
    <w:p>
      <w:pPr>
        <w:spacing w:after="0" w:line="1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maximum U.S. federal income tax rate for certain qualified dividends payable to U.S. shareholders that are individuals, trusts and estates is 20%. Dividends payable by REITs, however, are generally not eligible for the reduced rates and therefore may be subject to a 39.6% maximum U.S. federal income tax rate on ordinary income when paid to such shareholders. Although the reduced U.S. federal income tax rate applicable to dividend income from regular corporate dividends does not adversely affect the taxation of REITs or dividends paid by REITs, the more favorable rates applicable to regular corporate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our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tax changes related to REITs could materially and adversely affect our business.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any time, the U.S. federal income tax laws or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shareholders could be adversely affected by any such change in, or any new, U.S. federal income tax law, regulation or administrative interpretation.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Company Act exemption limits our investment discretion and loss of the exemption would adversely affect us.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14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6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Obama Administration, Congress and regulators have increased their focus on the regulation of the financial industry. New or modified regulations and related regulatory guidance, including under the Dodd-Frank Wall Street Reform Act (the "Dodd-Frank Act") may have unforeseen or unintended adverse effects on the financial industry. Laws, regulations or policies, including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the enactment of the Dodd-Frank Act, 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2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principal executive and administrative offices are located at 1114 Avenue of the Americas, New York, NY 10036. Its telephone number and web address are (212) 930-9400 and </w:t>
      </w:r>
      <w:r>
        <w:rPr>
          <w:rFonts w:ascii="Arial" w:cs="Arial" w:eastAsia="Arial" w:hAnsi="Arial"/>
          <w:sz w:val="18"/>
          <w:szCs w:val="18"/>
          <w:i w:val="1"/>
          <w:iCs w:val="1"/>
          <w:color w:val="auto"/>
        </w:rPr>
        <w:t>www.istar.com</w:t>
      </w:r>
      <w:r>
        <w:rPr>
          <w:rFonts w:ascii="Arial" w:cs="Arial" w:eastAsia="Arial" w:hAnsi="Arial"/>
          <w:sz w:val="18"/>
          <w:szCs w:val="18"/>
          <w:color w:val="auto"/>
        </w:rPr>
        <w:t>, respectively. The lease for the Company's principal executive and administrative offices expires in February 2021. The Company's principal regional offices are located in Atlanta, Georgia; Dallas, Texas; Hartford, Connecticut; San Francisco, California and two offices in the Los Angeles, California metropolitan area.</w:t>
      </w:r>
    </w:p>
    <w:p>
      <w:pPr>
        <w:spacing w:after="0" w:line="2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Item 1—"Net Lease," and "Operating Properties" for a discussion of properties held by the Company for investment purposes and Item 8 —"Financial Statements and Supplemental Data—Schedule III," for a detailed listing of such facilities.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real estate and real estate related business activities,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Circuit Court granted the defendants’ Motions to Dismiss and plaintiffs’ claims against all of the defendants in this action were dismissed. Plaintiffs filed a notice of appeal of the dismissal of their claims against the Company and all other defendants. Oral argument took place before the Court of Special Appeals of Maryland on December 9, 2015. On January 28, 2016, the Court of Special Appeals affirmed the order of the Circuit Court, holding that the Circuit Court properly dismissed plaintiffs' claims against all defendants, including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 (iii) 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participation interest in all proceeds. Lennar has appealed the Court's judgment. The Court has granted Lennar's motion to stay the judgment pending appeal, subject to Lennar posting a required appeal bond, which has been posted. The Court also clarified the judgment that the unpaid amount will accrue simple interest at a rate of 12% annually, including while the appeal is pending. A court-ordered mediation took place on August 13, 2015, but it was unsuccessful. In the pending appeal before the United States Court of Appeals for the Fourth Circuit, the parties have filed their respective briefs. Oral argument has not yet been scheduled. There can be no assurance as to the timing or actual receipt by the Company of amounts awarded by the Court or the outcome of any appeal.</w:t>
      </w: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Equity and Related Share Matters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common stock trades on the New York Stock Exchange ("NYSE") under the symbol "STAR." The high and low sales prices per share of common stock are set forth below for the periods indicated.</w:t>
      </w:r>
    </w:p>
    <w:p>
      <w:pPr>
        <w:spacing w:after="0" w:line="176"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2015</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spacing w:after="0"/>
              <w:rPr>
                <w:sz w:val="16"/>
                <w:szCs w:val="16"/>
                <w:color w:val="auto"/>
              </w:rPr>
            </w:pPr>
          </w:p>
        </w:tc>
      </w:tr>
      <w:tr>
        <w:trPr>
          <w:trHeight w:val="264"/>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High</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Low</w:t>
            </w: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13.85</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13.79</w:t>
            </w: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On February 19, 2016, the closing sale price of the common stock as reported by the NYSE was $8.55. The Company had 1,960 holders of record of common stock as of February 19,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Board of Directors has not established any minimum distribution level. In order to maintain its qualification as a REIT, the Company intends to pay dividends to its shareholders that, on an annual basis, will represent at least 90% of its taxable income (which may not necessarily equal net income as calculated in accordance with accounting principles generally accepted in the United States ("GAAP")), determined without regard to the deduction for dividends paid and excluding any net capital gains. The Company has recorded net operating losses ("NOLs") and may record NOLs in the future, which may reduce its taxable income in future periods and lower or eliminate entirely the Company's obligation to pay dividends for such periods in order to maintain its REIT qualification.</w:t>
      </w:r>
    </w:p>
    <w:p>
      <w:pPr>
        <w:spacing w:after="0" w:line="24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Holders of common stock, certain unvested restricted stock awards and common share equivalents will be entitled to receive distributions if, as and when the Company's Board of Directors authorizes and declares distributions. However, rights to distributions may be subordinated to the rights of holders of preferred stock, when preferred stock is issued and outstanding. In addition, the Company's 2012 Tranche A-2 Facility and 2015 Revolving Credit Facility (see Item 8—"Financial Statements and Supplemental Data—Note 10") permit the Company to distribute 100% of its REIT taxable income on an annual basis for so long as the Company maintains its qualification as a REIT. The 2012 Tranche A-2 Facility and 2015 Revolving Credit Facility generally restrict the Company from paying any common dividends if it ceases to qualify as a REIT. In any liquidation, dissolution or winding up of the Company, each outstanding share of common stock will entitle its holder to a proportionate share of the assets that remain after the Company pays its liabilities and any preferential distributions owed to preferred shareholders.</w:t>
      </w:r>
    </w:p>
    <w:p>
      <w:pPr>
        <w:spacing w:after="0" w:line="2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did not declare or pay dividends on its common stock for the years ended December 31, 2015 and 2014. The Company declared and paid dividends of $8.0 million, $11.0 million, $7.8 million, $6.1 million, $9.4 million, and $9.0 million on its Series D, E, F, G, I, and J preferred stock, respectively, during each of the years ended December 31, 2015 and 2014. All of the dividends qualified as return of capital for tax reporting purposes. There are no dividend arrearages on any of the preferred shares currently outstanding.</w:t>
      </w:r>
    </w:p>
    <w:p>
      <w:pPr>
        <w:spacing w:after="0" w:line="2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Distributions to shareholders will generally be taxable as ordinary income, although all or a portion of such distributions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2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 assurance can be given as to the amounts or timing of future distributions, as such distributions are subject to the Company's taxable income after giving effect to its NOL carryforwards, financial condition, capital requirements, debt covenants, any change in the Company's intention to maintain its REIT qualification and such other factors as the Company's Board of Directors deems relevant. The Company may elect to satisfy some of its REIT distribution requirements, if any, through qualifying stock dividends.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December 31, 2015.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8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3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w w:val="94"/>
              </w:rPr>
              <w:t>Total Number of Shares</w:t>
            </w:r>
          </w:p>
        </w:tc>
        <w:tc>
          <w:tcPr>
            <w:tcW w:w="1560" w:type="dxa"/>
            <w:vAlign w:val="bottom"/>
            <w:gridSpan w:val="2"/>
          </w:tcPr>
          <w:p>
            <w:pPr>
              <w:ind w:left="60"/>
              <w:spacing w:after="0"/>
              <w:rPr>
                <w:sz w:val="20"/>
                <w:szCs w:val="20"/>
                <w:color w:val="auto"/>
              </w:rPr>
            </w:pPr>
            <w:r>
              <w:rPr>
                <w:rFonts w:ascii="Arial" w:cs="Arial" w:eastAsia="Arial" w:hAnsi="Arial"/>
                <w:sz w:val="18"/>
                <w:szCs w:val="18"/>
                <w:color w:val="auto"/>
                <w:w w:val="96"/>
              </w:rPr>
              <w:t>Average Price Paid</w:t>
            </w: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18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34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370"/>
              <w:spacing w:after="0" w:line="257" w:lineRule="exact"/>
              <w:rPr>
                <w:sz w:val="20"/>
                <w:szCs w:val="20"/>
                <w:color w:val="auto"/>
              </w:rPr>
            </w:pPr>
            <w:r>
              <w:rPr>
                <w:rFonts w:ascii="Arial" w:cs="Arial" w:eastAsia="Arial" w:hAnsi="Arial"/>
                <w:sz w:val="18"/>
                <w:szCs w:val="18"/>
                <w:color w:val="auto"/>
              </w:rPr>
              <w:t>Purchased</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per 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6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 2015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374,510</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12.64</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43,969,952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November 1 to November 30, 2015</w:t>
            </w:r>
          </w:p>
        </w:tc>
        <w:tc>
          <w:tcPr>
            <w:tcW w:w="1860" w:type="dxa"/>
            <w:vAlign w:val="bottom"/>
          </w:tcPr>
          <w:p>
            <w:pPr>
              <w:jc w:val="right"/>
              <w:spacing w:after="0"/>
              <w:rPr>
                <w:sz w:val="20"/>
                <w:szCs w:val="20"/>
                <w:color w:val="auto"/>
              </w:rPr>
            </w:pPr>
            <w:r>
              <w:rPr>
                <w:rFonts w:ascii="Arial" w:cs="Arial" w:eastAsia="Arial" w:hAnsi="Arial"/>
                <w:sz w:val="18"/>
                <w:szCs w:val="18"/>
                <w:color w:val="auto"/>
              </w:rPr>
              <w:t>2,907,196</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12.28</w:t>
            </w:r>
          </w:p>
        </w:tc>
        <w:tc>
          <w:tcPr>
            <w:tcW w:w="2100" w:type="dxa"/>
            <w:vAlign w:val="bottom"/>
          </w:tcPr>
          <w:p>
            <w:pPr>
              <w:jc w:val="right"/>
              <w:spacing w:after="0"/>
              <w:rPr>
                <w:sz w:val="20"/>
                <w:szCs w:val="20"/>
                <w:color w:val="auto"/>
              </w:rPr>
            </w:pPr>
            <w:r>
              <w:rPr>
                <w:rFonts w:ascii="Arial" w:cs="Arial" w:eastAsia="Arial" w:hAnsi="Arial"/>
                <w:sz w:val="18"/>
                <w:szCs w:val="18"/>
                <w:color w:val="auto"/>
              </w:rPr>
              <w:t>2,907,196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8,276,089</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December 1 to December 31, 2015</w:t>
            </w:r>
          </w:p>
        </w:tc>
        <w:tc>
          <w:tcPr>
            <w:tcW w:w="1860" w:type="dxa"/>
            <w:vAlign w:val="bottom"/>
          </w:tcPr>
          <w:p>
            <w:pPr>
              <w:jc w:val="right"/>
              <w:spacing w:after="0"/>
              <w:rPr>
                <w:sz w:val="20"/>
                <w:szCs w:val="20"/>
                <w:color w:val="auto"/>
              </w:rPr>
            </w:pPr>
            <w:r>
              <w:rPr>
                <w:rFonts w:ascii="Arial" w:cs="Arial" w:eastAsia="Arial" w:hAnsi="Arial"/>
                <w:sz w:val="18"/>
                <w:szCs w:val="18"/>
                <w:color w:val="auto"/>
              </w:rPr>
              <w:t>792,355</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12.14</w:t>
            </w:r>
          </w:p>
        </w:tc>
        <w:tc>
          <w:tcPr>
            <w:tcW w:w="2100" w:type="dxa"/>
            <w:vAlign w:val="bottom"/>
          </w:tcPr>
          <w:p>
            <w:pPr>
              <w:jc w:val="right"/>
              <w:spacing w:after="0"/>
              <w:rPr>
                <w:sz w:val="20"/>
                <w:szCs w:val="20"/>
                <w:color w:val="auto"/>
              </w:rPr>
            </w:pPr>
            <w:r>
              <w:rPr>
                <w:rFonts w:ascii="Arial" w:cs="Arial" w:eastAsia="Arial" w:hAnsi="Arial"/>
                <w:sz w:val="18"/>
                <w:szCs w:val="18"/>
                <w:color w:val="auto"/>
              </w:rPr>
              <w:t>792,355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48,660,747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580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500" w:hanging="492"/>
        <w:spacing w:after="0" w:line="245"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has a publicly announced plan that authorizes the repurchase of common stock from time to time in open market and privately negotiated purchases, including pursuant to one or more trading plans. There is no fixed expiration date to this stock repurchase program. The Company's Board of Directors increased the limit to $50.0 million on September 21, 2015 and authorized a new $50.0 million limit on December 21, 2015 after the prior availability was substantially utilized. Subsequent to December 31, 2015, the Company repurchased 5.2 million shares of its outstanding common stock for $52.0 million, at an average cost of $10.10 per share. In February 2016, the Company's Board of Directors authorized a new $50.0 million repurchase program.</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August 2015, the Company repurchased and retired all of its outstanding 14,888 HPUs, representing 2.8 million common stock equivalents. Refer to Note 13 for details on the Company's repurchase of its outstanding HPUs.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Equity Compensation Plan Information</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auto"/>
              </w:rPr>
              <w:t>(a)</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Plans Category</w:t>
            </w:r>
          </w:p>
        </w:tc>
        <w:tc>
          <w:tcPr>
            <w:tcW w:w="35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86"/>
        </w:trPr>
        <w:tc>
          <w:tcPr>
            <w:tcW w:w="2420" w:type="dxa"/>
            <w:vAlign w:val="bottom"/>
            <w:vMerge w:val="continue"/>
          </w:tcPr>
          <w:p>
            <w:pPr>
              <w:spacing w:after="0"/>
              <w:rPr>
                <w:sz w:val="16"/>
                <w:szCs w:val="16"/>
                <w:color w:val="auto"/>
              </w:rPr>
            </w:pPr>
          </w:p>
        </w:tc>
        <w:tc>
          <w:tcPr>
            <w:tcW w:w="3520" w:type="dxa"/>
            <w:vAlign w:val="bottom"/>
          </w:tcPr>
          <w:p>
            <w:pPr>
              <w:jc w:val="center"/>
              <w:ind w:left="788"/>
              <w:spacing w:after="0"/>
              <w:rPr>
                <w:sz w:val="20"/>
                <w:szCs w:val="20"/>
                <w:color w:val="auto"/>
              </w:rPr>
            </w:pPr>
            <w:r>
              <w:rPr>
                <w:rFonts w:ascii="Arial" w:cs="Arial" w:eastAsia="Arial" w:hAnsi="Arial"/>
                <w:sz w:val="14"/>
                <w:szCs w:val="14"/>
                <w:b w:val="1"/>
                <w:bCs w:val="1"/>
                <w:color w:val="auto"/>
                <w:w w:val="93"/>
              </w:rPr>
              <w:t>warrants and rights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28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Equity compensation plans approved by</w:t>
            </w:r>
          </w:p>
        </w:tc>
        <w:tc>
          <w:tcPr>
            <w:tcW w:w="2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8"/>
                <w:szCs w:val="18"/>
                <w:color w:val="auto"/>
              </w:rPr>
              <w:t>security holders-restricted stock awards</w:t>
            </w:r>
            <w:r>
              <w:rPr>
                <w:rFonts w:ascii="Arial" w:cs="Arial" w:eastAsia="Arial" w:hAnsi="Arial"/>
                <w:sz w:val="25"/>
                <w:szCs w:val="25"/>
                <w:color w:val="auto"/>
                <w:vertAlign w:val="superscript"/>
              </w:rPr>
              <w:t>(1)</w:t>
            </w:r>
          </w:p>
        </w:tc>
        <w:tc>
          <w:tcPr>
            <w:tcW w:w="2780" w:type="dxa"/>
            <w:vAlign w:val="bottom"/>
            <w:vMerge w:val="restart"/>
          </w:tcPr>
          <w:p>
            <w:pPr>
              <w:jc w:val="right"/>
              <w:ind w:right="990"/>
              <w:spacing w:after="0"/>
              <w:rPr>
                <w:sz w:val="20"/>
                <w:szCs w:val="20"/>
                <w:color w:val="auto"/>
              </w:rPr>
            </w:pPr>
            <w:r>
              <w:rPr>
                <w:rFonts w:ascii="Arial" w:cs="Arial" w:eastAsia="Arial" w:hAnsi="Arial"/>
                <w:sz w:val="18"/>
                <w:szCs w:val="18"/>
                <w:color w:val="auto"/>
              </w:rPr>
              <w:t>722,204</w:t>
            </w:r>
          </w:p>
        </w:tc>
        <w:tc>
          <w:tcPr>
            <w:tcW w:w="2540" w:type="dxa"/>
            <w:vAlign w:val="bottom"/>
            <w:vMerge w:val="restart"/>
          </w:tcPr>
          <w:p>
            <w:pPr>
              <w:ind w:left="1100"/>
              <w:spacing w:after="0"/>
              <w:rPr>
                <w:sz w:val="20"/>
                <w:szCs w:val="20"/>
                <w:color w:val="auto"/>
              </w:rPr>
            </w:pPr>
            <w:r>
              <w:rPr>
                <w:rFonts w:ascii="Arial" w:cs="Arial" w:eastAsia="Arial" w:hAnsi="Arial"/>
                <w:sz w:val="18"/>
                <w:szCs w:val="18"/>
                <w:color w:val="auto"/>
              </w:rPr>
              <w:t>N/A</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3,726,722</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Arial" w:cs="Arial" w:eastAsia="Arial" w:hAnsi="Arial"/>
                <w:sz w:val="13"/>
                <w:szCs w:val="13"/>
                <w:color w:val="auto"/>
              </w:rPr>
              <w:t>(2)</w:t>
            </w:r>
          </w:p>
        </w:tc>
        <w:tc>
          <w:tcPr>
            <w:tcW w:w="278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420" w:hanging="412"/>
        <w:spacing w:after="0" w:line="260" w:lineRule="auto"/>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Restricted Stock—The amount shown in column (a) includes 327,496 unvested restricted stock units which may vest in the future based on the employees' continued service to the Company and 97,953 unvested performance-based restricted stock units representing the right to receive an equivalent number of shares of the Company's common stock if and when the Units vest. The performance is based on the Company's total shareholder return, measured over a performance period ending on the awards cliff vest date. Vesting will range from 0% to 200% of the target, if the employee remains employed by the Company on the vesting date. None of these unvested units are included in the Company's outstanding share balance (see Item 8—"Financial Statements and Supplemental Data—Note 14" for a more detailed description of the Company's restricted stock grants). Substantially all of the restricted stock units included in column</w:t>
      </w:r>
    </w:p>
    <w:p>
      <w:pPr>
        <w:jc w:val="both"/>
        <w:ind w:left="420"/>
        <w:spacing w:after="0" w:line="241" w:lineRule="auto"/>
        <w:rPr>
          <w:rFonts w:ascii="Arial" w:cs="Arial" w:eastAsia="Arial" w:hAnsi="Arial"/>
          <w:sz w:val="13"/>
          <w:szCs w:val="13"/>
          <w:color w:val="auto"/>
        </w:rPr>
      </w:pPr>
      <w:r>
        <w:rPr>
          <w:rFonts w:ascii="Arial" w:cs="Arial" w:eastAsia="Arial" w:hAnsi="Arial"/>
          <w:sz w:val="14"/>
          <w:szCs w:val="14"/>
          <w:color w:val="auto"/>
        </w:rPr>
        <w:t>(a) are required to be settled on a net, after-tax basis (after deducting shares for minimum required statutory withholdings); therefore, the actual number of shares issued will be less than the gross amount of the awards. The amount shown in column (a) also includes 296,755 of common stock equivalents and restricted stock awarded to our non-employee directors in consideration of their service to the Company as directors. Common stock equivalents represent rights to receive shares of common stock at the date the common stock equivalents are settled. Common stock equivalents have dividend equivalent rights beginning on the date of grant. The amount in column (c) represents the aggregate amount of stock options, shares of restricted stock units or other performance awards that could be granted under compensation plans approved by the Company's security holders after giving effect to previously issued awards of stock options, shares of restricted stock units and other performance awards (see Item 8—"Financial Statements and Supplemental Data—Note 14" for a more detailed description of the Company's Long-Term Incentive Plans).</w:t>
      </w:r>
    </w:p>
    <w:p>
      <w:pPr>
        <w:spacing w:after="0" w:line="2" w:lineRule="exact"/>
        <w:rPr>
          <w:rFonts w:ascii="Arial" w:cs="Arial" w:eastAsia="Arial" w:hAnsi="Arial"/>
          <w:sz w:val="13"/>
          <w:szCs w:val="13"/>
          <w:color w:val="auto"/>
        </w:rPr>
      </w:pPr>
    </w:p>
    <w:p>
      <w:pPr>
        <w:jc w:val="both"/>
        <w:ind w:left="420" w:hanging="412"/>
        <w:spacing w:after="0" w:line="276" w:lineRule="auto"/>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 shown in column (a) does not include a currently indeterminable number of shares that may be issued upon the satisfaction of performance and vesting conditions of awards made under the Company's 2013 Performance Incentive Plan ("iPIP") approved by shareholders. In no event may the number of shares issued exceed the amount available in column (c) unless shareholders authorize additional shares (see Item 8—"Financial Statements and Supplemental Data—Note 14" for a more detailed description of iPIP.)</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w:t>
      </w: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40" w:type="dxa"/>
            <w:vAlign w:val="bottom"/>
            <w:gridSpan w:val="8"/>
          </w:tcPr>
          <w:p>
            <w:pPr>
              <w:ind w:left="180"/>
              <w:spacing w:after="0"/>
              <w:rPr>
                <w:sz w:val="20"/>
                <w:szCs w:val="20"/>
                <w:color w:val="auto"/>
              </w:rPr>
            </w:pPr>
            <w:r>
              <w:rPr>
                <w:rFonts w:ascii="Arial" w:cs="Arial" w:eastAsia="Arial" w:hAnsi="Arial"/>
                <w:sz w:val="14"/>
                <w:szCs w:val="14"/>
                <w:b w:val="1"/>
                <w:bCs w:val="1"/>
                <w:color w:val="auto"/>
              </w:rPr>
              <w:t>(In thousands, except per share data and ratios)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Operating lease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229,720</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243,100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234,567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216,291</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195,872</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134,687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133,410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226,871</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49,931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81,033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48,208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47,838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39,722</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development revenue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100,216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revenue</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514,554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462,028</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390,790</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397,539</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462,465</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224,639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224,483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266,225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355,097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342,186</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Real estate expense</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146,750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163,389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157,441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151,458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138,714</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development cost of sales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65,247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73,571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71,266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68,770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58,091</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81,277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92,114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105,039</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Provision for (recovery of) loan losses</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36,567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5,489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81,740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46,412</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assets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12,589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13,239</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17,266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11,070</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638,760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601,830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613,174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768,965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714,751</w:t>
            </w:r>
          </w:p>
        </w:tc>
        <w:tc>
          <w:tcPr>
            <w:tcW w:w="0" w:type="dxa"/>
            <w:vAlign w:val="bottom"/>
          </w:tcPr>
          <w:p>
            <w:pPr>
              <w:spacing w:after="0"/>
              <w:rPr>
                <w:sz w:val="1"/>
                <w:szCs w:val="1"/>
                <w:color w:val="auto"/>
              </w:rPr>
            </w:pPr>
          </w:p>
        </w:tc>
      </w:tr>
      <w:tr>
        <w:trPr>
          <w:trHeight w:val="137"/>
        </w:trPr>
        <w:tc>
          <w:tcPr>
            <w:tcW w:w="4640" w:type="dxa"/>
            <w:vAlign w:val="bottom"/>
          </w:tcPr>
          <w:p>
            <w:pPr>
              <w:ind w:left="20"/>
              <w:spacing w:after="0" w:line="137" w:lineRule="exact"/>
              <w:rPr>
                <w:sz w:val="20"/>
                <w:szCs w:val="20"/>
                <w:color w:val="auto"/>
              </w:rPr>
            </w:pPr>
            <w:r>
              <w:rPr>
                <w:rFonts w:ascii="Arial" w:cs="Arial" w:eastAsia="Arial" w:hAnsi="Arial"/>
                <w:sz w:val="14"/>
                <w:szCs w:val="14"/>
                <w:color w:val="auto"/>
              </w:rPr>
              <w:t>Income (loss) before earnings from equity method investments and other</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items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(124,206)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(139,802)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(222,384)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(371,426)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(252,286)</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(loss) on early extinguishment of debt, net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(33,190)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101,466</w:t>
            </w:r>
          </w:p>
        </w:tc>
        <w:tc>
          <w:tcPr>
            <w:tcW w:w="0" w:type="dxa"/>
            <w:vAlign w:val="bottom"/>
          </w:tcPr>
          <w:p>
            <w:pPr>
              <w:spacing w:after="0"/>
              <w:rPr>
                <w:sz w:val="1"/>
                <w:szCs w:val="1"/>
                <w:color w:val="auto"/>
              </w:rPr>
            </w:pPr>
          </w:p>
        </w:tc>
      </w:tr>
      <w:tr>
        <w:trPr>
          <w:trHeight w:val="264"/>
        </w:trPr>
        <w:tc>
          <w:tcPr>
            <w:tcW w:w="4640" w:type="dxa"/>
            <w:vAlign w:val="bottom"/>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32,153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94,905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41,520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103,009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95,091</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transfer of interest to unconsolidated subsidiary</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(92,334)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(70,266)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(221,427)</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(306,233)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(55,729)</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4,719</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28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(74,178)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(220,768)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(314,678)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(51,010)</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from discontinued operations</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w:t>
            </w:r>
          </w:p>
        </w:tc>
        <w:tc>
          <w:tcPr>
            <w:tcW w:w="0" w:type="dxa"/>
            <w:vAlign w:val="bottom"/>
          </w:tcPr>
          <w:p>
            <w:pPr>
              <w:spacing w:after="0"/>
              <w:rPr>
                <w:sz w:val="1"/>
                <w:szCs w:val="1"/>
                <w:color w:val="auto"/>
              </w:rPr>
            </w:pPr>
          </w:p>
        </w:tc>
      </w:tr>
      <w:tr>
        <w:trPr>
          <w:trHeight w:val="264"/>
        </w:trPr>
        <w:tc>
          <w:tcPr>
            <w:tcW w:w="4640" w:type="dxa"/>
            <w:vAlign w:val="bottom"/>
          </w:tcPr>
          <w:p>
            <w:pPr>
              <w:ind w:left="160"/>
              <w:spacing w:after="0"/>
              <w:rPr>
                <w:sz w:val="20"/>
                <w:szCs w:val="20"/>
                <w:color w:val="auto"/>
              </w:rPr>
            </w:pPr>
            <w:r>
              <w:rPr>
                <w:rFonts w:ascii="Arial" w:cs="Arial" w:eastAsia="Arial" w:hAnsi="Arial"/>
                <w:sz w:val="14"/>
                <w:szCs w:val="14"/>
                <w:color w:val="auto"/>
              </w:rPr>
              <w:t>Gain from discontinued operations</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22,233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27,257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25,110</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from sales of real estate</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93,816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89,943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86,658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63,472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5,721</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(111,233)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(25,693)</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(111,951)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(239,930)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(22,064)</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57"/>
        </w:trPr>
        <w:tc>
          <w:tcPr>
            <w:tcW w:w="4640" w:type="dxa"/>
            <w:vAlign w:val="bottom"/>
          </w:tcPr>
          <w:p>
            <w:pPr>
              <w:ind w:left="160"/>
              <w:spacing w:after="0" w:line="157" w:lineRule="exact"/>
              <w:rPr>
                <w:sz w:val="20"/>
                <w:szCs w:val="20"/>
                <w:color w:val="auto"/>
              </w:rPr>
            </w:pPr>
            <w:r>
              <w:rPr>
                <w:rFonts w:ascii="Arial" w:cs="Arial" w:eastAsia="Arial" w:hAnsi="Arial"/>
                <w:sz w:val="14"/>
                <w:szCs w:val="14"/>
                <w:color w:val="auto"/>
              </w:rPr>
              <w:t>Net (income) loss allocable to HPU holders and Participating Security</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holders</w:t>
            </w:r>
            <w:r>
              <w:rPr>
                <w:rFonts w:ascii="Arial" w:cs="Arial" w:eastAsia="Arial" w:hAnsi="Arial"/>
                <w:sz w:val="8"/>
                <w:szCs w:val="8"/>
                <w:color w:val="auto"/>
              </w:rPr>
              <w:t>(1)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9,253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allocable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(272,997)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(62,387)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Arial" w:cs="Arial" w:eastAsia="Arial" w:hAnsi="Arial"/>
                <w:sz w:val="14"/>
                <w:szCs w:val="14"/>
                <w:color w:val="auto"/>
              </w:rPr>
              <w:t>Per common share data</w:t>
            </w:r>
            <w:r>
              <w:rPr>
                <w:rFonts w:ascii="Arial" w:cs="Arial" w:eastAsia="Arial" w:hAnsi="Arial"/>
                <w:sz w:val="8"/>
                <w:szCs w:val="8"/>
                <w:color w:val="auto"/>
              </w:rPr>
              <w:t>(2)</w:t>
            </w:r>
            <w:r>
              <w:rPr>
                <w:rFonts w:ascii="Arial" w:cs="Arial" w:eastAsia="Arial" w:hAnsi="Arial"/>
                <w:sz w:val="14"/>
                <w:szCs w:val="14"/>
                <w:color w:val="auto"/>
              </w:rPr>
              <w:t>:</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attributable to iStar Inc. from continuing operations: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26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26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per common share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w w:val="92"/>
              </w:rPr>
              <w:t>For the Years Ended December 31,</w:t>
            </w: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00" w:type="dxa"/>
            <w:vAlign w:val="bottom"/>
            <w:gridSpan w:val="7"/>
          </w:tcPr>
          <w:p>
            <w:pPr>
              <w:jc w:val="center"/>
              <w:ind w:right="8"/>
              <w:spacing w:after="0"/>
              <w:rPr>
                <w:sz w:val="20"/>
                <w:szCs w:val="20"/>
                <w:color w:val="auto"/>
              </w:rPr>
            </w:pPr>
            <w:r>
              <w:rPr>
                <w:rFonts w:ascii="Arial" w:cs="Arial" w:eastAsia="Arial" w:hAnsi="Arial"/>
                <w:sz w:val="14"/>
                <w:szCs w:val="14"/>
                <w:b w:val="1"/>
                <w:bCs w:val="1"/>
                <w:color w:val="auto"/>
                <w:w w:val="92"/>
              </w:rPr>
              <w:t>(In thousands, except per share data and ratios)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DATA:</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Adjusted income allocable to common shareholders</w:t>
            </w:r>
            <w:r>
              <w:rPr>
                <w:rFonts w:ascii="Arial" w:cs="Arial" w:eastAsia="Arial" w:hAnsi="Arial"/>
                <w:sz w:val="8"/>
                <w:szCs w:val="8"/>
                <w:color w:val="auto"/>
              </w:rPr>
              <w:t>(3)</w:t>
            </w:r>
          </w:p>
        </w:tc>
        <w:tc>
          <w:tcPr>
            <w:tcW w:w="3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83,977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109,377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8"/>
              <w:spacing w:after="0"/>
              <w:rPr>
                <w:sz w:val="20"/>
                <w:szCs w:val="20"/>
                <w:color w:val="auto"/>
              </w:rPr>
            </w:pPr>
            <w:r>
              <w:rPr>
                <w:rFonts w:ascii="Arial" w:cs="Arial" w:eastAsia="Arial" w:hAnsi="Arial"/>
                <w:sz w:val="14"/>
                <w:szCs w:val="14"/>
                <w:color w:val="auto"/>
              </w:rPr>
              <w:t>(21,677)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(53,847)</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(3,316)</w:t>
            </w: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Ratio of earnings to fixed charges</w:t>
            </w:r>
            <w:r>
              <w:rPr>
                <w:rFonts w:ascii="Arial" w:cs="Arial" w:eastAsia="Arial" w:hAnsi="Arial"/>
                <w:sz w:val="8"/>
                <w:szCs w:val="8"/>
                <w:color w:val="auto"/>
              </w:rPr>
              <w:t>(4)</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w w:val="99"/>
              </w:rPr>
              <w:t>Ratio of earnings to fixed charges and preferred dividends</w:t>
            </w:r>
            <w:r>
              <w:rPr>
                <w:rFonts w:ascii="Arial" w:cs="Arial" w:eastAsia="Arial" w:hAnsi="Arial"/>
                <w:sz w:val="8"/>
                <w:szCs w:val="8"/>
                <w:color w:val="auto"/>
                <w:w w:val="99"/>
              </w:rPr>
              <w:t>(4)</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8"/>
              </w:rPr>
              <w:t>Weighted average common shares outstanding—basic and diluted</w:t>
            </w: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84,987</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85,031</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84,990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83,742</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88,688</w:t>
            </w:r>
          </w:p>
        </w:tc>
        <w:tc>
          <w:tcPr>
            <w:tcW w:w="100" w:type="dxa"/>
            <w:vAlign w:val="bottom"/>
            <w:shd w:val="clear" w:color="auto" w:fill="CCEEFF"/>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Cash flows (used in) from:</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(59,947)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(10,342)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(180,465)</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(191,932)</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(28,577)</w:t>
            </w:r>
          </w:p>
        </w:tc>
      </w:tr>
      <w:tr>
        <w:trPr>
          <w:trHeight w:val="264"/>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184,028</w:t>
            </w:r>
          </w:p>
        </w:tc>
        <w:tc>
          <w:tcPr>
            <w:tcW w:w="2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159,793</w:t>
            </w:r>
          </w:p>
        </w:tc>
        <w:tc>
          <w:tcPr>
            <w:tcW w:w="320" w:type="dxa"/>
            <w:vAlign w:val="bottom"/>
          </w:tcPr>
          <w:p>
            <w:pPr>
              <w:spacing w:after="0"/>
              <w:rPr>
                <w:sz w:val="22"/>
                <w:szCs w:val="22"/>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893,447</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1,267,047</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1,461,257</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114,481</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(190,958)</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(455,758)</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(1,175,597)</w:t>
            </w:r>
          </w:p>
        </w:tc>
        <w:tc>
          <w:tcPr>
            <w:tcW w:w="4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(1,580,719)</w:t>
            </w:r>
          </w:p>
        </w:tc>
      </w:tr>
      <w:tr>
        <w:trPr>
          <w:trHeight w:val="561"/>
        </w:trPr>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96"/>
              </w:rPr>
              <w:t>2015</w:t>
            </w: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Total real estate</w:t>
            </w:r>
            <w:r>
              <w:rPr>
                <w:rFonts w:ascii="Arial" w:cs="Arial" w:eastAsia="Arial" w:hAnsi="Arial"/>
                <w:sz w:val="8"/>
                <w:szCs w:val="8"/>
                <w:color w:val="auto"/>
              </w:rPr>
              <w:t>(5)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1,731,257</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1,983,734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2,224,664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2,409,864</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2,597,735</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and development</w:t>
            </w:r>
            <w:r>
              <w:rPr>
                <w:rFonts w:ascii="Arial" w:cs="Arial" w:eastAsia="Arial" w:hAnsi="Arial"/>
                <w:sz w:val="8"/>
                <w:szCs w:val="8"/>
                <w:color w:val="auto"/>
              </w:rPr>
              <w:t>(5)</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1,001,963</w:t>
            </w: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978,962</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932,034</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965,100</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973,205</w:t>
            </w:r>
          </w:p>
        </w:tc>
        <w:tc>
          <w:tcPr>
            <w:tcW w:w="100" w:type="dxa"/>
            <w:vAlign w:val="bottom"/>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Loans receivable and other lending investments, net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1,601,985</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1,377,843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1,370,109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1,829,985</w:t>
            </w:r>
          </w:p>
        </w:tc>
        <w:tc>
          <w:tcPr>
            <w:tcW w:w="4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2,860,762</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5,622,892</w:t>
            </w: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5,463,133</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5,642,011</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6,159,999</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7,523,083</w:t>
            </w:r>
          </w:p>
        </w:tc>
        <w:tc>
          <w:tcPr>
            <w:tcW w:w="100" w:type="dxa"/>
            <w:vAlign w:val="bottom"/>
          </w:tcPr>
          <w:p>
            <w:pPr>
              <w:spacing w:after="0"/>
              <w:rPr>
                <w:sz w:val="24"/>
                <w:szCs w:val="24"/>
                <w:color w:val="auto"/>
              </w:rPr>
            </w:pPr>
          </w:p>
        </w:tc>
      </w:tr>
      <w:tr>
        <w:trPr>
          <w:trHeight w:val="258"/>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Debt obligations, net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4,143,683</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4,022,684</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4,158,125</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4,691,494</w:t>
            </w:r>
          </w:p>
        </w:tc>
        <w:tc>
          <w:tcPr>
            <w:tcW w:w="4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5,837,540</w:t>
            </w:r>
          </w:p>
        </w:tc>
        <w:tc>
          <w:tcPr>
            <w:tcW w:w="100" w:type="dxa"/>
            <w:vAlign w:val="bottom"/>
          </w:tcPr>
          <w:p>
            <w:pPr>
              <w:spacing w:after="0"/>
              <w:rPr>
                <w:sz w:val="22"/>
                <w:szCs w:val="22"/>
                <w:color w:val="auto"/>
              </w:rPr>
            </w:pPr>
          </w:p>
        </w:tc>
      </w:tr>
      <w:tr>
        <w:trPr>
          <w:trHeight w:val="270"/>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Total equity</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1,101,330</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1,248,348</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1,301,465</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1,313,154</w:t>
            </w:r>
          </w:p>
        </w:tc>
        <w:tc>
          <w:tcPr>
            <w:tcW w:w="4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1,573,604</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37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6" w:lineRule="exact"/>
        <w:rPr>
          <w:sz w:val="20"/>
          <w:szCs w:val="20"/>
          <w:color w:val="auto"/>
        </w:rPr>
      </w:pPr>
    </w:p>
    <w:p>
      <w:pPr>
        <w:jc w:val="both"/>
        <w:ind w:left="660" w:hanging="652"/>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(see Item 8—"Financial Statements and Supplemental Data—Note 13). Participating Security holders are non-employee directors who hold unvested common stock equivalents and restricted stock awards granted under the Company's Long Term Incentive Plans that are eligible to participate in dividends (see Item 8—"Financial Statements and Supplemental Data—Note 14 and 15).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Item 8—"Financial Statements and Supplemental Data—Note 15."</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Income should be examined in conjunction with net income (loss) as shown in our consolidated statements of operations. Adjusted Income should not be considered as an alternative to net income (loss) (determined in accordance with GAAP), as an indicator of our performance, or to cash flows from operating activities (determined in accordance with GAAP) as a measure of our liquidity, nor is Adjusted Income indicative of funds available to fund our cash needs or available for distribution to shareholders. Rather, Adjusted Income is an additional measure for us to use to analyze how our business is performing. It should be noted that our manner of calculating Adjusted Income may differ from the calculations of similarly-titled measures by other companies. See computation of Adjusted Income on page 38.</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ratio of earnings to fixed charges is calculated in accordance with SEC Regulation S-K Item 503. For the years ended December 31, 2015, 2014, 2013, 2012 and 2011, earnings were not sufficient to cover fixed charges by $99,825, $89,948, $240,912, $305,450 and $65,842, respectively, and earnings were not sufficient to cover fixed charges and preferred dividends by $151,145, $141,268, $289,932, $347,770 and $108,162, respectively. The Company's unsecured debt securities have a fixed charge coverage covenant which is calculated differently in accordance with the terms of the agreements governing such securities.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prior year amounts have been reclassified to conform to the current period presentation.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and Section 21E of the Exchange Act. Forward-looking statements are included with respect to, among other things,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 For purposes of this Management's Discussion and Analysis of Financial Condition and Results of Operations, the terms "we," "our" and "us" refer to iStar Inc. and its consolidated subsidiaries, unless the context indicates otherwise.</w:t>
      </w:r>
    </w:p>
    <w:p>
      <w:pPr>
        <w:spacing w:after="0" w:line="24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discussion summarizes the significant factors affecting our consolidated operating results, financial condition and liquidity during the three-year period ended December 31, 2015. This discussion should be read in conjunction with our consolidated financial statements and related notes for the three-year period ended December 31, 2015 included elsewhere in this Annual Report on Form 10-K. These historical financial statements may not be indicative of our future performance. Certain prior year amounts have been reclassified in the Company's consolidated financial statements and the related notes to conform to the current period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iStar Inc., doing business as "iStar," finances, invests in and develops real estate and real estate related projects as part of its fully-integrated investment platform. We have invested more than $35 billion over the past two decades and are structured as a REIT with a diversified portfolio focused on larger assets located in major metropolitan markets. Our primary business segments are real estate finance, net lease, operating properties and land and development.</w:t>
      </w:r>
    </w:p>
    <w:p>
      <w:pPr>
        <w:spacing w:after="0" w:line="20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real estate finance portfolio is comprised of senior and mezzanine real estate loans that may be either fixed-rate or variable-rate and are structured to meet the specific financing needs of borrowers. Our portfolio also includes preferred equity investments and senior and subordinated loans to business entities, particularly entities engaged in real estate or real estate related businesses, and may be either secured or unsecured. Our loan portfolio includes whole loans and loan participations.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net lease portfolio is primarily comprised of properties owned by us and leased to single creditworthy tenants where the properties are subject to long-term leases. Most of the leases provide for expenses at the facilities to be paid by the tenants on a triple net lease basis. The properties in this portfolio are diversified by property type and geographic location. In 2014, the Company partnered with a sovereign wealth fund to form a venture in which the partners plan to contribute equity to acquire and develop net lease assets.</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properties portfolio is comprised of commercial and residential properties which represent a diverse pool of assets across a broad range of geographies and property types. We generally seek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our strategy is to sell individual units through retail distribution channels.</w:t>
      </w:r>
    </w:p>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land and development portfolio is primarily comprised of land entitled for master planned communities as well as waterfront and urban infill land parcels located throughout the U.S. Master planned communities represent large-scale residential projects that we will entitle, plan and/or develop and may sell through retail channels to home builders or in bulk. Waterfront parcels are generally entitled for residential projects and urban infill parcels are generally entitled for mixed-use projects. We may develop these properties ourself or sell to or partner with commercial real estate developers.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continued to originate investments within our core business segments of real estate finance and net lease, which we anticipate should drive future revenue growth. In addition, we have made significant investments within our operating property and land and development portfolios in order to better position assets for sale. Through strategic ventures, we have partnered with other providers of capital within our net lease segment and with developers with residential building expertise within our land and development segment. These partnerships have had a positive impact on our business, particularly in our land and development segment, which experienced an increase in revenue in 2015.</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Access to the capital markets has allowed us to extend our debt maturity profile, lower our cost of capital and become primarily an unsecured borrower. In 2015, we entered into the 2015 Revolving Credit Facility with a maximum capacity of $250.0 million. In 2014, we fully repaid our largest secured credit facility using proceeds from unsecured notes issuances. This repayment unencumbered $2.0 billion of collateral and provides us with additional liquidity as we now retain 100% of the proceeds from sales and repayments of these previously encumbered assets, rather than directing them to repay the facility. As of December 31, 2015, we had $711.1 million of cash, which we expect to use primarily to fund future investment activities, pay down debt, and for general corporate purposes.</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year ended December 31, 2015,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and development assets in order to maximize their value. We intend to continue these efforts, with the objective of having these assets contribute positively to earnings in the future. For the year ended December 31, 2015, we recorded a net loss allocable to common shareholders of $52.7 million, compared to a net loss of $33.7 million during the prior year. Adjusted income allocable to common shareholders for the year ended December 31, 2015 was $84.0 million, compared to $109.4 million during the prior year. During the year ended December 31, 2015, we recognized $62.8 million less in equity method earnings than we did in the prior year, primarily associated with the sales of certain investments in 2014. This decrease was partially offset by an increase in total gross margin from our land and development portfolio, which improved to $49.5 million in 2015 from $17.3 million in 2014.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2015 compared to the Year Ended December 31, 2014</w:t>
      </w:r>
    </w:p>
    <w:p>
      <w:pPr>
        <w:spacing w:after="0" w:line="3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229,720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134,687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122,704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11,983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development revenue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100,216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85,025</w:t>
            </w:r>
          </w:p>
        </w:tc>
        <w:tc>
          <w:tcPr>
            <w:tcW w:w="170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514,554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462,028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52,526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224,639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224,483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development cost of sales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54,542</w:t>
            </w:r>
          </w:p>
        </w:tc>
        <w:tc>
          <w:tcPr>
            <w:tcW w:w="170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88,287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38,281</w:t>
            </w:r>
          </w:p>
        </w:tc>
        <w:tc>
          <w:tcPr>
            <w:tcW w:w="17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&lt;(100%)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638,760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601,830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25,088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94,905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from sales of real estate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93,816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89,943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3,873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7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&lt;(100%)</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$229.7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2015 from $243.1 million in 2014.</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Operating lease income from net lease assets decreased slightly to $151.5 million in 2015 from $151.9 million in 2014. The net lease portfolio generated an unleveraged yield of 7.8% for 2015 as compared to 7.9% for 2014 as rental rates for new leases were lower than rental rates for leases that terminated since December 31, 2014. The decrease in operating lease income was driven primarily by a decrease related to asset sales offset by an increase in operating lease income from same store net lease assets. Operating lease income for same store net lease assets, defined as net lease assets we owned on or prior to January 1, 2014 and were in service through December 31, 2015, increased to $140.3 million in 2015 from $137.3 million in 2014 due primarily to an increase in rent per occupied square foot, which was $9.84 for 2015 and $9.56 for 2014, and an increase in the occupancy rate, which was 95.7% as of December 31, 2015 and 95.0% as of December 31, 2014.</w:t>
      </w:r>
    </w:p>
    <w:p>
      <w:pPr>
        <w:spacing w:after="0" w:line="1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Operating lease income from commercial operating properties decreased to $77.0 million in 2015 from $87.7 million in 2014. This decrease was primarily due to the sale of a leasehold interest in an operating property and other asset sales, partially offset by additional income in 2015 for three commercial operating properties acquired in 2014 and an increase in leasing activity at other properties. Operating lease income for same store commercial operating properties, defined as commercial operating properties, excluding hotels, we owned on or prior to January 1, 2014 and were in service through December 31, 2015, increased to $60.7 million in 2015 from $56.8 million in 2014 due primarily to an increase in occupancy rates, which increased to 74.7% as of December 31, 2015 from 68.2% as of December 31, 2014. The increase was partially offset by a decline in rent per occupied square foot for same store commercial operating properties, which was $21.64 for 2015 and $23.01 for 2014. Ancillary operating lease income for residential operating properties and land and development assets decreased to $1.2 million in 2015 from $3.5 million in 2014.</w:t>
      </w:r>
    </w:p>
    <w:p>
      <w:pPr>
        <w:spacing w:after="0" w:line="1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increased to $134.7 million in 2015 as compared to $122.7 million in 2014 due primarily to an increase in the size of the loan portfolio, partially offset by $6.3 million of income recognized in 2014 from the acquisition and repayment of a loan. New investment originations and additional fundings on existing loans raised our average balance of performing loans to $1.52 billion for 2015 from $1.27 billion for 2014. The weighted average yield of our performing loans decreased to 8.8% for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2015 from 9.1% for 2014, excluding $6.3 million of income recognized from the acquisition and repayment of a loan, due primarily to lower interest rates on loan originations in 2015 and payoffs of loans with higher interest rates.</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income decreased to $49.9 million in 2015 as compared to $81.0 million in 2014. The decrease in 2015 was due to gains on sales of non-performing loans of $19.1 million, income related to a lease modification fee of $5.3 million and income related to an early termination fee of $3.4 million all recognized in 2014. The decrease was partially offset by a $5.5 million financing commitment termination fee recognized in 2015.</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—In 2015, we sold residential lots, units and parcels for proceeds of $100.2 million which had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sales of $67.4 million. In 2014, we sold residential lots and units for proceeds of $15.2 million which had associated cost of sales of $12.8 million. The increase in 2015 as compared to 2014 was primarily due to the progression of our land and development projects in 2015, including the sale of two land parcels for land development revenue of $62.8 million resulting in a gross margin of $24.2 million.</w:t>
      </w:r>
    </w:p>
    <w:p>
      <w:pPr>
        <w:spacing w:after="0" w:line="14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remained constant at $224.6 million in 2015 as compared to $224.5 million in 2014. This was due to a higher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outstanding debt balance offset by a lower weighted average cost of debt. The average outstanding balance of our debt increased to $4.18 billion for 2015 from $4.08 billion for 2014. Our weighted average cost of debt decreased to 5.4% for 2015 from 5.5% for 2014.</w:t>
      </w:r>
    </w:p>
    <w:p>
      <w:pPr>
        <w:spacing w:after="0" w:line="1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Real estate expenses decreased to $146.8 million in 2015 as compared to $163.4 million in 2014. The decrease was primarily related to expenses associated with residential units, which decreased to $14.2 million in 2015 from $25.6 million in 2014 due to unit sales. The decrease was also related to a decline in expenses for commercial operating properties to $81.7 million in 2015 from $87.9 million in 2014 which was primarily due to the sale of operating properties in 2015 and late 2014. Expenses for same store commercial operating properties, excluding hotels, increased slightly to $39.7 million from $39.2 million in 2015. Expenses for net lease assets decreased to $21.9 million in 2015 from $23.0 million in 2014. This decrease was primarily due to asset sales during 2014. Expenses for same store net lease assets increased to $20.2 million in 2015 from $19.9 million for 2014. Carry costs and other expenses on our land and development assets increased to $29.0 million in 2015 as compared to $26.9 million in 2014, primarily related to an increase in costs incurred on certain land and development projects and an increase in marketing costs.</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decreased to $65.2 million during the year ended December 31, 2015 from $73.6 million for the same period in 2014. The decrease was primarily due to the sale of a leasehold interest in an operating property and other asset sales in 2015 and accelerated depreciation related to terminated leases during 2014.</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decreased to $81.3 million in 2015 as compared to $88.3 million in 2015, primarily due to a decrease in compensation related costs pertaining to annual performance based bonuses.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net provision for loan losses was $36.6 million in 2015 as compared to a net recovery of loan losses of $1.7 million in 2014. Included in the net provision for 2015 were provisions for specific reserves of $34.1 million due primarily to one new non-performing loan and an increase in the general reserve of $2.5 million due primarily to new investment originations. Included in the net recovery for 2014 were recoveries of previously recorded loan loss reserves of $10.1 million, provisions for specific reserves of $4.1 million and an increase of $4.3 million in the general reserve due primarily to new investment originations.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2015, we recorded impairments on real estate assets totaling $10.5 million resulting from a change in business strategy on one land and development asset and two commercial operating properties and unfavorable local market conditions for one residential property. In 2014, we recorded impairments on real estate assets totaling $34.6 million resulting from changes in business strategies for one residential property and one land and development asset, continued unfavorable local market conditions at two real estate properties and the sale of net lease assets.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Loss on early extinguishment of debt, net</w:t>
      </w:r>
      <w:r>
        <w:rPr>
          <w:rFonts w:ascii="Arial" w:cs="Arial" w:eastAsia="Arial" w:hAnsi="Arial"/>
          <w:sz w:val="17"/>
          <w:szCs w:val="17"/>
          <w:color w:val="auto"/>
        </w:rPr>
        <w:t>—In 2015 and 2014, we incurred losses on early extinguishment of debt of $0.3 million and $25.4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In 2015, net losses on the early extinguishment of debt related to accelerated amortization of discounts and fees in connection with amortization payments of our 2012 Secured Credit Facilities. In 2014, together with cash on hand, net proceeds from the 2014 issuances of our 4.00% senior unsecured notes due November 2017 and our 5.00% senior unsecured notes due July 2019 were used to fully repay and terminate our secured credit facility entered into in February 2013. As a result, in 2014, we expensed $22.8 million relating to accelerated amortization of discount and fees associated with the payoff of that secured credit facility. We also recorded $2.6 million of losses in 2014 related to the accelerated amortization of discounts and fees in connection with amortization payments that we made on our secured credit facilities.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$32.2 million in 2015 as compared to $94.9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2014. In 2015, we recognized $23.6 million related to sales activity on a land development venture, $5.2 million related to leasing operations at our Net Lease Venture and an aggregate $3.4 million in earnings from our remaining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 method investments. In 2014, we recognized $56.8 million of income resulting from asset sales by two of our equity method investees and a legal settlement received by one of the investees. We also recognized $14.7 million of earnings related to sales activity on a land and development venture, $9.0 million of income related to carried interest from a previously held strategic investment and an aggregate $14.4 million related to earnings from our remaining equity method investments.</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—Income taxes are primarily generated by assets held in our TRS. Income tax expense increased to $7.6 million in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to $3.9 million in 2014. The increase in current income tax expense relates primarily to taxable income generated by the sales of TRS properties.</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Income from sales of real estate</w:t>
      </w:r>
      <w:r>
        <w:rPr>
          <w:rFonts w:ascii="Arial" w:cs="Arial" w:eastAsia="Arial" w:hAnsi="Arial"/>
          <w:sz w:val="16"/>
          <w:szCs w:val="16"/>
          <w:color w:val="auto"/>
        </w:rPr>
        <w:t>—Income from sales of real estate increased to $93.8 million in 2015 from $89.9 million in 2014. In 2015, we sold 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lease assets resulting in gains of $40.1 million. We also sold a commercial operating property for $68.5 million to a newly formed unconsolidated entity in which we own a 50% equity interest and recognized a gain on sale of $13.6 million, reflecting our share of the interest sold. In 2015 and 2014, we sold residential condominiums that resulted in income of $40.1 million and $79.1 million, respectively. In 2014, we sold net lease assets with a carrying value of $8.0 million resulting in a gain of $6.2 million and a commercial operating property with a carrying value of $29.4 million resulting in a gain of $4.6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2014 compared to the Year Ended December 31, 2013</w:t>
      </w:r>
    </w:p>
    <w:p>
      <w:pPr>
        <w:spacing w:after="0" w:line="3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122,704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108,015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14,689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development revenue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15,191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462,028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224,483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266,225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(41,742)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development cost of sales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12,840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92,114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&lt;(100%)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22,045</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601,830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613,174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94,905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41,520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53,385</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transfer of interest to unconsolidated subsidiary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(4,571)</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&lt;(100%)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22,233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(22,233)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sales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126,998</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increased to $243.1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2014 from $234.6 million in 2013.</w:t>
      </w:r>
    </w:p>
    <w:p>
      <w:pPr>
        <w:spacing w:after="0" w:line="1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Operating lease income from net lease assets increased to $151.9 million in 2014 from $147.3 million in 2013. The net lease portfolio generated an unleveraged yield of 7.9% for 2014 as compared to 7.2% for 2013 as rental rates for new leases were greater than rental rates for leases that terminated since December 31, 2013. Operating lease income for same store net lease assets, defined as net lease assets we owned on or prior to January 1, 2013 and were in service through December 31, 2014, increased to $148.3 million in 2014 from $146.2 million in 2013 due primarily to an increase in rent per occupied square foot for same store net lease assets, which was $9.86 for 2014 as compared to $9.62 for 2013. The increase in operating lease income was also due to higher occupancy rates for same store net lease assets, which was 95.2% as of December 31, 2014 as compared to 93.0% as of December 31, 2013. We had two net lease assets which were sold to our Net Lease Venture in 2014 that, prior to their sale, contributed an additional $2.0 million of operating lease income in 2014 as compared to 2013.</w:t>
      </w:r>
    </w:p>
    <w:p>
      <w:pPr>
        <w:spacing w:after="0" w:line="1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Operating lease income from commercial operating properties increased to $87.7 million in 2014 from $86.4 million in 2013 as rental rates for new leases were greater than leases that terminated since December 31, 2013. Operating lease income for same store commercial operating properties, defined as commercial operating properties, excluding hotels, we owned on or prior to January 1, 2013 and were in service through December 31, 2014, decreased to $81.6 million in 2014 from $84.9 million in 2013 due primarily to a decline in rent per occupied square foot for same store commercial operating properties, which was $24.52 for 2014 and $26.06 for 2013. The decline was partially offset by an increase in occupancy rates for same store commercial operating properties, which increased to 65.0% as of December 31, 2014 from 62.8% as of December 31, 2013. In addition, we acquired title to additional commercial operating properties in 2014, which contributed $4.5 million to operating lease income in 2014. Ancillary operating lease income for residential operating properties increased $2.6 million in 2014 as compared to 2013.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income increased to $122.7 million in 2014 as compared to $108.0 million in 2013 due primarily to increases in the volume and interest rates of performing loans. New investment originations and additional fundings of existing loans raised our average balance of performing loans to $1.27 billion for 2014 from $1.23 billion for 2013. The weighted average yield of our performing loans increased to 9.1%, excluding $6.3 million of income recognized from the acquisition and repayment of a loan, for 2014 from 7.6% for 2013 due primarily to higher interest rates for new loan originations in 2014 and payoffs of loans with lower interest rates.</w:t>
      </w:r>
    </w:p>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Other income increased to $81.0 million in 2014 as compared to $48.2 million in 2013. The increase was due to gains on sales of non-performing loans of $19.1 million as well as $16.5 million of income related to asset related settlements, $3.8 million of ancillary income from properties acquired in 2014 and $2.3 million of prior year tax refunds. The increases were offset in part by a decline of $7.2 million due primarily to the conversion of hotel rooms to residential units to be sold at a property and $4.0 million received for the settlement of a property-related lawsuit in 2013.</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—In 2014, we sold residential lots and units from three of our master planned community properties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$15.2 million which had associated cost of sales of $12.8 million.</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decreased to $224.5 million in 2014 as compared to $266.2 million in 2013 due to a lower average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balance and a lower weighted average cost of debt. The average outstanding balance of our debt declined to $4.08 billion for 2014 from $4.46 billion for 2013. Our weighted average effective cost of debt decreased to 5.5% for 2014 from 5.9% for 2013. The decline was primarily a result of the refinancing of higher interest rate senior unsecured notes with lower interest rate senior unsecured notes during 2013.</w:t>
      </w:r>
    </w:p>
    <w:p>
      <w:pPr>
        <w:spacing w:after="0" w:line="13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Real estate expenses increased to $163.4 million in 2014 as compared to $157.4 million in 2013. Expenses for commercial operating properties increased to $87.9 million in 2014 from $81.1 million in 2013. In 2014, expenses for same store commercial operating properties, excluding hotels, increased to $53.3 million from $51.7 million in 2013 due primarily to higher operating expenses at two properties. We acquired title to additional commercial operating properties in 2014, which contributed $9.2 million to real estate expenses in 2014. Additionally, expenses for hotel properties decreased to $22.7 million in 2014 from $28.5 million in 2013 due primarily to the conversion of hotel rooms to residential units being sold at a hotel property. Costs associated with residential units increased to $25.6 million in 2014 from $19.8 million in 2013 due to sales assessments at one of our residential properties and carrying costs for additional residential units where construction was completed, offset by a reduction of expenses due to the sale of residential units since December 31, 2013. Carry costs and other expenses on our land and development assets decreased to $26.9 million in 2014 as compared to $33.8 million in 2013, primarily related to a decrease in costs incurred on certain land and development assets prior to development.</w:t>
      </w:r>
    </w:p>
    <w:p>
      <w:pPr>
        <w:spacing w:after="0" w:line="12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expenses decreased to $88.3 million in 2014 as compared to $92.1 million in 2013, primarily due to a reduction in stock-based compensation expense, based on certain previously issued awards becoming fully amortized in 2013.</w:t>
      </w:r>
    </w:p>
    <w:p>
      <w:pPr>
        <w:spacing w:after="0" w:line="13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net recovery of loan losses was $1.7 million in 2014 as compared to a net provision for loan losses of $5.5 million in 2013. Included in the net recovery for 2014 were recoveries of previously recorded loan loss reserves of $10.1 million, provisions for specific reserves of $4.1 million and an increase of $4.3 million in the general reserve due primarily to new investment originations. Included in the net recovery for 2013 were specific reserves of $72.5 million, which were established on non-performing loans, offset by recoveries of previously recorded loan loss reserves of $63.1 million during the year.</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2014, we recorded impairments on real estate assets totaling $34.6 million resulting from changes in business strategies for one residential property and one land and development asset, continued unfavorable local market conditions at two real estate properties and the sale of several net lease assets. In 2013, we recorded $14.4 million of impairments on real estate assets, including $1.8 million recorded in discontinued operations, due primarily to a changes in local market conditions and a change in business strategy for one residential property.</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—In 2014 and 2013, we incurred losses on early extinguishment of debt of $25.4 million and $33.2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 2014, together with cash on hand, net proceeds from the 2014 issuances of our 4.00% senior unsecured notes due November 2017 and our 5.00% senior unsecured notes due July 2019 were used to fully repay and terminate our secured credit facility entered into in February 2013. As a result, in 2014, we expensed $22.8 million relating to accelerated amortization of discount and fees associated with the payoff of that secured credit facility. We also recorded $2.6 million of losses related to the accelerated amortization of discounts and fees in connection with amortization payments that we made on our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2013, we incurred $7.7 million of losses on the early extinguishment of debt due to the accelerated amortization of discounts and fees in connection with the refinancing of a secured credit facility. We also recorded $13.2 million of losses related to the accelerated amortization of discounts and fees in connection with amortization payments that we made on our secured credit facilities. We also redeemed our 5.95% senior unsecured notes due October 2013 and 5.70% senior unsecured notes due March 2014 prior to maturity and incurred $12.3 million of losses related to prepayment penalties and the acceleration of amortization of discounts.</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increased to $94.9 million in 2014 as compared to $41.5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2013. In 2014, we recognized $56.8 million of income resulting from asset sales by two of our equity method investees and a legal settlement received by one of the investees. We also recognized $14.7 million of earnings related to sales activity on a land development venture and $9.0 million of income related to carried interest from a previously held strategic investment. The increase was offset by $12.0 million of income primarily related to asset sales by one of our strategic investments in 2013 and the sale of our interest in LNR Property Corp. in April 2013. We had no equity in earnings from LNR during 2014 as compared to 2013 in which we recorded net equity in earnings of $14.5 million.</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Loss on transfer of interest to unconsolidated subsidiary</w:t>
      </w:r>
      <w:r>
        <w:rPr>
          <w:rFonts w:ascii="Arial" w:cs="Arial" w:eastAsia="Arial" w:hAnsi="Arial"/>
          <w:sz w:val="17"/>
          <w:szCs w:val="17"/>
          <w:color w:val="auto"/>
        </w:rPr>
        <w:t>—In 2013, we entered into a venture with a national homebuilder to jointly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residential lots in the first phase of Spring Mountain Ranch, a 1,400-lot master planned community. We contributed the initial phase of land, which had a carrying value of $24.1 million, to the venture in exchange for a retained interest of $16.7 million, resulting in a $7.4 million loss.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—Income taxes are primarily generated by assets held in our TRS. Income taxes increased to a net tax expense of $3.9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2014 as compared to a tax benefit of $0.7 million in 2013. The period to period difference was due primarily to taxable income generated by sales of TRS properties.</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—In 2014, we adopted ASU 2014-08 (refer to Note 4), which raised the threshold for discontinued operations reporting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disposals of components that are considered strategic shifts in a company's business. There were no disposals that met this threshold during 2014. Income (loss) from discontinued operations in 2013 includes operating results from net lease assets and commercial operating properties held for sale or sold as of December 31, 2013. During 2013, we sold commercial operating properties with a total carrying value of $72.6 million, which resulted in a net gain of $18.6 million and net lease assets with a total carrying value of $18.7 million which resulted in a net gain of $2.2 million.</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Income from sales of real estate</w:t>
      </w:r>
      <w:r>
        <w:rPr>
          <w:rFonts w:ascii="Arial" w:cs="Arial" w:eastAsia="Arial" w:hAnsi="Arial"/>
          <w:sz w:val="18"/>
          <w:szCs w:val="18"/>
          <w:color w:val="auto"/>
        </w:rPr>
        <w:t>—In 2014 and 2013, we sold residential condominiums that resulted in income of $79.1 million and $82.6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 2014, we also sold net lease assets with a carrying value of $8.0 million resulting in a gain of $6.2 million and a commercial operating property with a carrying value of $29.4 million resulting in a gain of $4.6 million. In 2013, we sold land for proceeds of $36.7 million that resulted in income of $4.0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net income (loss) prepared in conformity with GAAP, we use adjusted income, a non-GAAP financial measure, to measure our operating performance. Adjusted income represents net income (loss) allocable to common shareholders, prior to the effect of depreciation and amortization, provision for (recovery of) loan losses, impairment of assets, loss on transfer of interest to unconsolidated subsidiary, stock-based compensation expense, and the non-cash portion of gain (loss) on early extinguishment of debt ("Adjusted Income").</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Adjusted Income is a useful measure to consider, in addition to net income (loss), as it may help investors evaluate our operating performance prior to certain non-cash items. Adjusted Income should be examined in conjunction with net income (loss) as shown in our consolidated statements of operations. Adjusted Income should not be considered as an alternative to net income (loss) (determined in accordance with GAAP), as an indicator of our performance, or to cash flows from operating activities (determined in accordance with GAAP) as a measure of our liquidity, nor is Adjusted Income indicative of funds available to fund our cash needs or available for distribution to shareholders. Rather, Adjusted Income is an additional measure for us to use to analyze how our business is performing. It should be noted that our manner of calculating Adjusted Income may differ from the calculations of similarly-titled measures by other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For the 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(52,675)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(33,722)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(155,769)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8"/>
              </w:rPr>
              <w:t>(272,997)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(62,387)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76,287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72,439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70,786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63,928</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Add/Less: Provision for (recovery of) loan losses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81,740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46,412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Impairment of assets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36,354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22,386</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Add: Loss on transfer of interest to unconsolidated subsidiary</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29,702</w:t>
            </w:r>
          </w:p>
        </w:tc>
      </w:tr>
      <w:tr>
        <w:trPr>
          <w:trHeight w:val="270"/>
        </w:trPr>
        <w:tc>
          <w:tcPr>
            <w:tcW w:w="5260" w:type="dxa"/>
            <w:vAlign w:val="bottom"/>
          </w:tcPr>
          <w:p>
            <w:pPr>
              <w:ind w:left="200"/>
              <w:spacing w:after="0" w:line="270" w:lineRule="exact"/>
              <w:rPr>
                <w:sz w:val="20"/>
                <w:szCs w:val="20"/>
                <w:color w:val="auto"/>
              </w:rPr>
            </w:pPr>
            <w:r>
              <w:rPr>
                <w:rFonts w:ascii="Arial" w:cs="Arial" w:eastAsia="Arial" w:hAnsi="Arial"/>
                <w:sz w:val="18"/>
                <w:szCs w:val="18"/>
                <w:color w:val="auto"/>
              </w:rPr>
              <w:t>Add: Loss (gain) on early extinguishment of debt, net</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19,655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22,405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(101,466)</w:t>
            </w:r>
          </w:p>
        </w:tc>
      </w:tr>
      <w:tr>
        <w:trPr>
          <w:trHeight w:val="27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r>
      <w:tr>
        <w:trPr>
          <w:trHeight w:val="250"/>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(loss) allocable to common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83,977</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109,377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8890</wp:posOffset>
            </wp:positionV>
            <wp:extent cx="3910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-98425</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jc w:val="both"/>
        <w:ind w:left="660" w:right="20" w:hanging="652"/>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years ended December 31, 2013, 2012 and 2011, depreciation and amortization includes $264, $2,016 and $5,837, respectively, of depreciation and amortization reclassified to discontinued operations. Depreciation and amortization also includes our proportionate share of depreciation and amortization expense for equity method investments and excludes the portion of depreciation and amortization expense allocable to noncontrolling interests.</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year ended December 31, 2015, impairment of assets includes impairments on cost and equity method investments recorded in "Other income" and "Earnings from equity method investments", respectively, in our consolidated statements of operations. For the years ended December 31, 2013, 2012 and 2011, impairment of assets includes $1,764, $22,576 and $9,147, respectively, of impairment of assets reclassified to discontinued operations.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years ended December 31, 2013 and 2012, loss on early extinguishment of debt excludes the portion of losses paid in cash of $13,535 and $15,411,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2014</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6220" w:type="dxa"/>
            <w:vAlign w:val="bottom"/>
          </w:tcPr>
          <w:p>
            <w:pPr>
              <w:ind w:left="40"/>
              <w:spacing w:after="0" w:line="270" w:lineRule="exact"/>
              <w:rPr>
                <w:sz w:val="20"/>
                <w:szCs w:val="20"/>
                <w:color w:val="auto"/>
              </w:rPr>
            </w:pPr>
            <w:r>
              <w:rPr>
                <w:rFonts w:ascii="Arial" w:cs="Arial" w:eastAsia="Arial" w:hAnsi="Arial"/>
                <w:sz w:val="18"/>
                <w:szCs w:val="18"/>
                <w:color w:val="auto"/>
              </w:rPr>
              <w:t>Carrying value</w:t>
            </w:r>
            <w:r>
              <w:rPr>
                <w:rFonts w:ascii="Arial" w:cs="Arial" w:eastAsia="Arial" w:hAnsi="Arial"/>
                <w:sz w:val="25"/>
                <w:szCs w:val="25"/>
                <w:color w:val="auto"/>
                <w:vertAlign w:val="superscript"/>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60,327</w:t>
            </w:r>
          </w:p>
        </w:tc>
        <w:tc>
          <w:tcPr>
            <w:tcW w:w="12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65,047</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Asset-specific reserves for loan losses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72,165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64,990</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As a percentage of gross carrying value of impaired loans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reserve for loan losses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108,165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98,490</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82"/>
        </w:trPr>
        <w:tc>
          <w:tcPr>
            <w:tcW w:w="622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December 31, 2015 and 2014, carrying values of non-performing loans are net of asset-specific reserves for loan losses of $72.2 million and $64.2 million, respectively.</w:t>
      </w:r>
    </w:p>
    <w:p>
      <w:pPr>
        <w:spacing w:after="0" w:line="1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Non-Performing Loans</w:t>
      </w:r>
      <w:r>
        <w:rPr>
          <w:rFonts w:ascii="Arial" w:cs="Arial" w:eastAsia="Arial" w:hAnsi="Arial"/>
          <w:sz w:val="17"/>
          <w:szCs w:val="17"/>
          <w:color w:val="auto"/>
        </w:rPr>
        <w:t>—We designate loans as non-performing at such time as: (1) the loan becomes 90 days delinquent; (2) the loan has a maturity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December 31, 2015, we had non-performing loans with an aggregate carrying value of $60.3 million compared to non-performing loans of $65.0 million at December 31, 2014. We expect that our level of non-performing loans will fluctuate from period to period.</w:t>
      </w:r>
    </w:p>
    <w:p>
      <w:pPr>
        <w:spacing w:after="0" w:line="17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Reserve for Loan Losses</w:t>
      </w:r>
      <w:r>
        <w:rPr>
          <w:rFonts w:ascii="Arial" w:cs="Arial" w:eastAsia="Arial" w:hAnsi="Arial"/>
          <w:sz w:val="16"/>
          <w:szCs w:val="16"/>
          <w:color w:val="auto"/>
        </w:rPr>
        <w:t>—The reserve for loan losses was $108.2 million as of December 31, 2015, or 6.6% of total loans, compared to $98.5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7.6% as of December 31, 2014. For the year ended December 31, 2015, the provision for loan losses includes specific reserves of $34.1 million and an increase of $2.5 million in the general reserve due primarily to new investment originations. We expect that our level of reserve for loan losses will fluctuate from period to period. Due to the volatility of the commercial real estate market, the process of estimating collateral values and reserves requires the use of significant judgment. We currently believe there are adequate collateral and reserves to support the carrying values of the loans.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December 31, 2015, asset-specific reserves increased to $72.2 million compared to $65.0 million as of December 31, 2014, primarily due to one new non-performing loan.</w:t>
      </w:r>
    </w:p>
    <w:p>
      <w:pPr>
        <w:spacing w:after="0" w:line="14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increased to $36.0 million or 2.4% of performing loans as of December 31, 2015, compared to $33.5 million or 2.9% of performing loans as of December 31, 2014. This increase was primarily attributable to the increase in the balance of performing loans, which was driven by new investment originations.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—Concentrations of credit risks arise when a number of borrowers or tenants related to our investments are engaged in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activities, or activities in the same geographic region, or have similar economic features that would cause their ability to meet contractual obligations, including those to us, to be similarly affected by changes in economic conditions.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Substantially all of our real estate as well as assets collateralizing our loans receivable are located in the United States. As of December 31, 2015, the only states with a concentration greater than 10.0% were New York with 19.9% and California with 13.6%. As of that date, we also had approximately 30.3% of the carrying value of our assets related to properties located in the northeastern U.S., 17.7% related to properties located in the western U.S., 15.7% related to properties located in the southeastern U.S., 14.0% related to properties located in the mid-Atlantic U.S. and 10.1% related to properties located in the southwestern region of the U.S. In addition, as of December 31, 2015, we had $18.6 million of international assets. As of December 31, 2015, our portfolio contains concentrations in the following asset types: land 22.7%, office/industrial 22.5%, mixed use/mixed collateral 15.8% and hotel 10.6%. Additional information regarding property/collateral type and geographical region for each segment is in Item 1—"Business."</w:t>
      </w:r>
    </w:p>
    <w:p>
      <w:pPr>
        <w:spacing w:after="0" w:line="2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tenant, the inability of that borrower or tenant to make its payment could have a material adverse effect on us. As of December 31, 2015, our five largest borrowers or tenants collectively accounted for approximately 21% of our 2015 revenues, of which no single customer accounts for more than 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During the year ended December 31, 2015, we committed to new investments totaling $756.9 million. We funded a total of $662.5 million associated with new investments, prior financing commitments as well as ongoing development during the year. The fundings included $479.6 million in lending and other investments, $95.3 million to develop our land assets and $87.6 million of capital to reposition or redevelop our operating properties and invest in net lease assets. Also during the year ended December 31, 2015, we generated $1.0 billion of proceeds from loan repayments and asset sales within our portfolio, comprised of $454.8 million from real estate finance, $283.8 million from operating properties, $102.3 million from net lease assets, $98.1 million from land and development assets and $32.2 million from other investments. These amounts are inclusive of fundings and proceeds from both consolidated investments and our pro rata share from equity method investments. As of December 31, 2015, we had unrestricted cash of $711.1 million.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outlines our capital expenditures on real estate and land and development assets as reflected in our consolidated statements of cash flows for the years ended December 31, 2015 and 2014, by segment ($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tcBorders>
              <w:bottom w:val="single" w:sz="8" w:color="auto"/>
            </w:tcBorders>
          </w:tcPr>
          <w:p>
            <w:pPr>
              <w:spacing w:after="0"/>
              <w:rPr>
                <w:sz w:val="16"/>
                <w:szCs w:val="16"/>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74,540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58,631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9,833</w:t>
            </w:r>
          </w:p>
        </w:tc>
      </w:tr>
      <w:tr>
        <w:trPr>
          <w:trHeight w:val="27"/>
        </w:trPr>
        <w:tc>
          <w:tcPr>
            <w:tcW w:w="5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 expenditures on real estate assets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81,525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68,464</w:t>
            </w:r>
          </w:p>
        </w:tc>
      </w:tr>
      <w:tr>
        <w:trPr>
          <w:trHeight w:val="20"/>
        </w:trPr>
        <w:tc>
          <w:tcPr>
            <w:tcW w:w="5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88,219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74,323</w:t>
            </w:r>
          </w:p>
        </w:tc>
      </w:tr>
      <w:tr>
        <w:trPr>
          <w:trHeight w:val="257"/>
        </w:trPr>
        <w:tc>
          <w:tcPr>
            <w:tcW w:w="5580" w:type="dxa"/>
            <w:vAlign w:val="bottom"/>
          </w:tcPr>
          <w:p>
            <w:pPr>
              <w:ind w:left="160"/>
              <w:spacing w:after="0"/>
              <w:rPr>
                <w:sz w:val="20"/>
                <w:szCs w:val="20"/>
                <w:color w:val="auto"/>
              </w:rPr>
            </w:pPr>
            <w:r>
              <w:rPr>
                <w:rFonts w:ascii="Arial" w:cs="Arial" w:eastAsia="Arial" w:hAnsi="Arial"/>
                <w:sz w:val="18"/>
                <w:szCs w:val="18"/>
                <w:color w:val="auto"/>
              </w:rPr>
              <w:t>Total capital expenditures on land and development assets</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88,219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74,323</w:t>
            </w:r>
          </w:p>
        </w:tc>
      </w:tr>
      <w:tr>
        <w:trPr>
          <w:trHeight w:val="20"/>
        </w:trPr>
        <w:tc>
          <w:tcPr>
            <w:tcW w:w="5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primary cash uses over the next 12 months are expected to be funding of investments, repayments of debt, capital expenditures and funding ongoing business operations. We repaid the $105.8 million outstanding balance of our 6.05% senior notes due April 2015 at their maturity. We have other debt maturities of $926.4 million due before December 31, 2016. Over the next 12 months, we currently expect to fund in the range of approximately $225 million to $300 million of capital expenditures within our portfolio. The majority of these amounts relate to our land and development and operating properties business segments and include multifamily and residential development activities which are expected to include approximately $130 million in vertical construction. The amount spent will depend on the pace of our development activities as well as the extent to which we strategically partner with others to complete these projects. As of December 31, 2015, we also had approximately $779 million of maximum unfunded commitments associated with our investments of which we expect to fund the majority of over the next two years, assuming borrowers and tenants meet all milestones and performance hurdles and all other conditions to fundings are met. See "Unfunded Commitments" below. Our capital sources to meet cash uses through the next 12 months and beyond will primarily be expected to include cash on hand, income from our portfolio, loan repayments from borrowers, proceeds from asset sales and capital raised through debt and/or equity capital raising transactions.</w:t>
      </w:r>
    </w:p>
    <w:p>
      <w:pPr>
        <w:spacing w:after="0" w:line="14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b w:val="1"/>
          <w:bCs w:val="1"/>
          <w:i w:val="1"/>
          <w:iCs w:val="1"/>
          <w:color w:val="auto"/>
        </w:rPr>
        <w:t>Contractual Obligations</w:t>
      </w:r>
      <w:r>
        <w:rPr>
          <w:rFonts w:ascii="Arial" w:cs="Arial" w:eastAsia="Arial" w:hAnsi="Arial"/>
          <w:sz w:val="17"/>
          <w:szCs w:val="17"/>
          <w:color w:val="auto"/>
        </w:rPr>
        <w:t>—The following table outlines the contractual obligations related to our long-term debt obligations, loan participations payable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operating lease obligations as of December 31, 2015 (see Item 8—"Financial Statements and Supplemental Data—Note 10").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40" w:type="dxa"/>
            <w:vAlign w:val="bottom"/>
          </w:tcPr>
          <w:p>
            <w:pPr>
              <w:spacing w:after="0"/>
              <w:rPr>
                <w:sz w:val="13"/>
                <w:szCs w:val="13"/>
                <w:color w:val="auto"/>
              </w:rPr>
            </w:pPr>
          </w:p>
        </w:tc>
        <w:tc>
          <w:tcPr>
            <w:tcW w:w="96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3,221,125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926,403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1,524,722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770,000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339,717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4,150,389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2,141,136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101,236</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(1)</w:t>
            </w:r>
          </w:p>
        </w:tc>
        <w:tc>
          <w:tcPr>
            <w:tcW w:w="3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546,526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196,963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243,963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69,183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17,871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18,546</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(2)</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5,722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b w:val="1"/>
                <w:bCs w:val="1"/>
                <w:color w:val="auto"/>
                <w:vertAlign w:val="superscript"/>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4,876,739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1,138,245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2,494,494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938,256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185,234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120,510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-98425</wp:posOffset>
            </wp:positionV>
            <wp:extent cx="50596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ind w:left="660" w:hanging="652"/>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Variable-rate debt assumes 1-month LIBOR of 0.42% and 3-month LIBOR of 0.32% that were in effect as of December 31, 2015.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also have issued letters of credit totaling $2.2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2015 Revolving Credit Facility</w:t>
      </w:r>
      <w:r>
        <w:rPr>
          <w:rFonts w:ascii="Arial" w:cs="Arial" w:eastAsia="Arial" w:hAnsi="Arial"/>
          <w:sz w:val="17"/>
          <w:szCs w:val="17"/>
          <w:color w:val="auto"/>
        </w:rPr>
        <w:t>—On March 27, 2015, we entered into our 2015 Revolving Credit Facility. Borrowings under this credit facility bear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at a floating rate indexed to one of several base rates plus a margin which adjusts upward or downward based upon our corporate credit rating. An undrawn credit facility commitment fee ranges from 0.375% to 0.50%, based on average utilization each quarter. During the year ended December 31, 2015, the weighted average cost of the credit facility was 3.13%. Commitments under the revolving facility mature in March 2018. At maturity, we may convert outstanding borrowings to a one year term loan which matures in quarterly installments through March 2019.</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2012 Secured Credit Facilities</w:t>
      </w:r>
      <w:r>
        <w:rPr>
          <w:rFonts w:ascii="Arial" w:cs="Arial" w:eastAsia="Arial" w:hAnsi="Arial"/>
          <w:sz w:val="16"/>
          <w:szCs w:val="16"/>
          <w:color w:val="auto"/>
        </w:rPr>
        <w:t>—In March 2012, we entered into an $880.0 million senior secured credit agreement providing for two tranches of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a $410.0 million 2012 A-1 tranche due March 2016, which bore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other outstanding debt.</w:t>
      </w:r>
    </w:p>
    <w:p>
      <w:pPr>
        <w:spacing w:after="0" w:line="15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us. We may also make optional prepayments, subject to prepayment fees. The 2012 Tranche A-1 Facility was fully repaid in August 2013. Additionally, through December 31, 2015, we made cumulative amortization repayments of $130.3 million on the 2012 Tranche A-2 Facility. For the years ended December 31, 2015 and 2014, repayments of the 2012 Tranche A-2 Facility prior to maturity resulted in losses on early extinguishment of debt of $0.3 million and $1.5 million, respectively, related to the accelerated amortization of discounts and unamortized deferred financing fees on the portion of the facility that was repaid. For the year ended December 31, 2013, repayments of the 2012 Tranche A-1 Facility prior to scheduled amortization dates resulted in losses on early extinguishment of debt of $4.4 million. These amounts are included in "Loss on early extinguishment of debt, net" in our consolidated statements of operations.</w:t>
      </w:r>
    </w:p>
    <w:p>
      <w:pPr>
        <w:spacing w:after="0" w:line="1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June 2014, we issued $550.0 million aggregate principal amount of 4.00% senior unsecured notes due November 2017 and</w:t>
      </w:r>
      <w:r>
        <w:rPr>
          <w:rFonts w:ascii="Arial" w:cs="Arial" w:eastAsia="Arial" w:hAnsi="Arial"/>
          <w:sz w:val="17"/>
          <w:szCs w:val="17"/>
          <w:b w:val="1"/>
          <w:bCs w:val="1"/>
          <w:color w:val="auto"/>
        </w:rPr>
        <w:t xml:space="preserve"> </w:t>
      </w:r>
      <w:r>
        <w:rPr>
          <w:rFonts w:ascii="Arial" w:cs="Arial" w:eastAsia="Arial" w:hAnsi="Arial"/>
          <w:sz w:val="17"/>
          <w:szCs w:val="17"/>
          <w:color w:val="auto"/>
        </w:rPr>
        <w:t>$770.0 million aggregate principal amount of 5.00% senior unsecured notes due July 2019. Net proceeds from these transactions, together with cash on hand, were used to fully repay and terminate the February 2013 Secured Credit Facility which had an outstanding balance of $1.32 billion.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December 31, 2015 and 2014, the carrying value of our encumbered and unencumbered assets by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3"/>
              </w:rPr>
              <w:t>2015</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2014</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Unencumbered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816,721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777,262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602,471</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1,213,960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126,681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10,496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156,807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984,249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961,055</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170,162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1,314,823</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1,364,828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231,820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336,411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1,033,515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1,037,542</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4,468,350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695,097</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4,801,536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December 31, 2015 and 2014, the amounts presented exclude general reserves for loan losses of $36.0 million and $33.5 million,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December 31, 2015, the amount presented excludes loan participations of $153.0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While our ability to incur additional indebtedness under the fixed charge coverage ratio is currently limited, we are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us to maintain collateral coverage of at least 1.25x outstanding borrowings on the facilities. The 2015 Revolving Credit Facility is secured by a borrowing base of assets and requires us to maintain both collateral coverage of at least 1.5x outstanding borrowings on the facility and a consolidated ratio of cash flow to fixed charges of at least 1.5x. The 2015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the 2012 Secured Credit Facilities and the 2015 Revolving Credit Facility permit us to distribute 100% of our REIT taxable income on an annual basis (prior to deducting certain cumulative NOL carryforwards in the case of the 2015 Revolving Credit Facility). We may not pay common dividends if we cease to qualify as a REIT.</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2012 Secured Credit Facilities and the 2015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2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Item 8—"Financial Statements and Supplemental Data—Note 12" for further details.</w:t>
      </w:r>
    </w:p>
    <w:p>
      <w:pPr>
        <w:spacing w:after="0" w:line="1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—We are not dependent on the use of any off-balance sheet financing arrangements for liquidity. We have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various unconsolidated ventures. See Item 8—"Financial Statements and Supplemental Data—Note 7" for further details of our unconsolidated investments. Our maximum exposure to loss from these investments is limited to the carrying value of our investments and any unfunded commitments (see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December 31, 2015,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and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Lending</w:t>
            </w:r>
          </w:p>
        </w:tc>
        <w:tc>
          <w:tcPr>
            <w:tcW w:w="20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Commitments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689,014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728,000</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Strategic Investments</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45,940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Discretionary Fundings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338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694,014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778,940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Stock Repurchase Program</w:t>
      </w:r>
      <w:r>
        <w:rPr>
          <w:rFonts w:ascii="Arial" w:cs="Arial" w:eastAsia="Arial" w:hAnsi="Arial"/>
          <w:sz w:val="17"/>
          <w:szCs w:val="17"/>
          <w:color w:val="auto"/>
        </w:rPr>
        <w:t>—In September 2015, our Board of Directors approved an increase in the repurchase limit under our previously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repurchase program to $50.0 million. In December 2015, after having substantially utilized the availability approved in September 2015, our Board of Directors authorized a new $50.0 million repurchase program. The program authorizes the repurchase of common stock from time to time in open market and privately negotiated purchases, including pursuant to one or more trading plans. During the year ended December 31, 2015, we repurchased 5.7 million shares of our common stock for $70.4 million, at an average cost of $12.25 per share. There were no stock repurchases during the year ended December 31, 2014. As of December 31, 2015, we had remaining authorization to repurchase up to $48.7 million of common stock under our stock repurchase program. Subsequent to December 31, 2015, we repurchased 5.2 million shares of our outstanding common stock for $52.0 million, at an average cost of $10.10 per share. In February 2016, our Board of Directors authorized a new $50.0 million repurchase program.</w:t>
      </w:r>
    </w:p>
    <w:p>
      <w:pPr>
        <w:spacing w:after="0" w:line="1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HPU Repurchase</w:t>
      </w:r>
      <w:r>
        <w:rPr>
          <w:rFonts w:ascii="Arial" w:cs="Arial" w:eastAsia="Arial" w:hAnsi="Arial"/>
          <w:sz w:val="18"/>
          <w:szCs w:val="18"/>
          <w:color w:val="auto"/>
        </w:rPr>
        <w:t>—In August 2015, we repurchased and retired all of our outstanding 14,888 HPUs, representing 2.8 million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We repurchased these HPUs at fair value from current and former employees through an arms-length exchange offer. HPU holders could elect to receive $9.30 in cash or 0.7 shares of iStar common stock, or a combination thereof, per common stock equivalent underlying the HPUs. Approximately 37% of the outstanding HPUs were exchanged for $9.8 million in cash and approximately 63% of the outstanding HPUs were exchanged for 1.2 million shares of our common stock with a fair value of $15.2 million, representing the number of shares issued at the closing price of our common stock on August 13, 2015. The transaction value in excess of the HPUs carrying value of $9.8 million was recorded as a reduction to retained earnings (deficit) in our consolidated statements of changes in equity.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2015, management reviewed and evaluated these critical accounting estimates and believes they are appropriate. Our significant accounting policies are described in Item 8—"Financial Statements and Supplemental Data—Note 3." The following is a summary of accounting policies that require more significant management estimates and judgments:</w:t>
      </w:r>
    </w:p>
    <w:p>
      <w:pPr>
        <w:spacing w:after="0" w:line="10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Reserve for loan losses—</w:t>
      </w:r>
      <w:r>
        <w:rPr>
          <w:rFonts w:ascii="Arial" w:cs="Arial" w:eastAsia="Arial" w:hAnsi="Arial"/>
          <w:sz w:val="17"/>
          <w:szCs w:val="17"/>
          <w:color w:val="auto"/>
        </w:rPr>
        <w:t>The reserve for loan losses reflects management's estimate of loan losses inherent in the loan portfolio as of the balance sheet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If we determine that the collateral fair value less costs to sell is less than the carrying value of a collateral-dependent loan, we will record a reserve. The reserve is increased (decreased) through "Provision for (recovery of) loan losses" in our consolidated statements of operations and is decreased by charge-offs. During delinquency and the foreclosure process, there are typically numerous points of negotiation with the borrower as we work toward a settlement or other alternative resolution, which can impact the potential for loan repayment or receipt of collateral. Our policy is to charge off a loan when we determine, based on a variety of factors, that all commercially reasonable means of recovering the loan balance have been exhausted. This may occur at different times, including when we receive cash or other assets in a pre-foreclosure sale or take control of the underlying collateral in full satisfaction of the loan upon foreclosure or deed-in-lieu, or when we have otherwise ceased significant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collection efforts. We consider circumstances such as the foregoing to be indicators that the final steps in the loan collection process have occurred and that a loan is uncollectible. At this point, a loss is confirmed and the loan and related reserve will be charged off. We have one portfolio segment, represented by commercial real estate lending, whereby we utilize a uniform process for determining our reserves for loan losses. The reserve for loan losses includes a general, formula-based component and an asset-specific component.</w:t>
      </w:r>
    </w:p>
    <w:p>
      <w:pPr>
        <w:spacing w:after="0" w:line="14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internal and external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4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13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Substantially all of our impaired loans are collateral dependent and impairment is measured using the estimated fair value of collateral, less costs to sell. We generally use the income approach through internally developed valuation models to estimate the fair value of the collateral for such loans. In more limited cases, we obtain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1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 loan is also considered impaired if its terms are modified in a troubled debt restructuring ("TDR"). A TDR occurs when we grant a concession to a debtor that is experiencing financial difficulties. Impairments on TDR loans are generally measured based on the present value of expected future cash flows discounted at the effective interest rate of the original loan.</w:t>
      </w:r>
    </w:p>
    <w:p>
      <w:pPr>
        <w:spacing w:after="0" w:line="27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provision for (recovery of) loan losses for the years ended December 31, 2015, 2014 and 2013 were $36.6 million, $(1.7) million and $5.5 million, respectively. The total reserve for loan losses as of December 31, 2015 and 2014, included asset specific reserves of $72.2 million and $65.0 million, respectively, and general reserves of $36.0 million and $33.5 million, respectively.</w:t>
      </w:r>
    </w:p>
    <w:p>
      <w:pPr>
        <w:spacing w:after="0" w:line="2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Acquisition of real estate</w:t>
      </w:r>
      <w:r>
        <w:rPr>
          <w:rFonts w:ascii="Arial" w:cs="Arial" w:eastAsia="Arial" w:hAnsi="Arial"/>
          <w:sz w:val="17"/>
          <w:szCs w:val="17"/>
          <w:color w:val="auto"/>
        </w:rPr>
        <w:t>—We generally acquire real estate assets or land and development assets through purchases or through foreclosure or deed-in-lieu of foreclosure in full or partial satisfaction of non-performing loans. When we acquire assets these properties are classified as "Real estate, net" or "Land and development" on our consolidated balance sheets. When we intend to hold, operate or develop the property for a period of at least 12 months, assets are classified as "Real estate, net," and when we intend to market these properties for sale in the near term, assets are classified as "Real estate available and held for sale." When we purchase assets the properties are recorded at cost. Foreclosed assets classified as real estate and land and development are initially recorded at their estimated fair value and assets classified as assets held for sale are recorded at their estimated fair value less costs to sell. The excess of the carrying value of the loan over these amounts is charged-off against the reserve for loan losses. In both cases, upon acquisition, tangible and intangible assets and liabilities acquired are recorded at their estimated fair values.</w:t>
      </w:r>
    </w:p>
    <w:p>
      <w:pPr>
        <w:spacing w:after="0" w:line="9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years ended December 31, 2015, 2014 and 2013, we received title to properties in satisfaction of mortgage loans with fair values of $13.4 million, $77.9 million and $31.1 million, respectively, for which those properties had served as collateral.</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Impairment or disposal of long-lived assets</w:t>
      </w:r>
      <w:r>
        <w:rPr>
          <w:rFonts w:ascii="Arial" w:cs="Arial" w:eastAsia="Arial" w:hAnsi="Arial"/>
          <w:sz w:val="18"/>
          <w:szCs w:val="18"/>
          <w:color w:val="auto"/>
        </w:rPr>
        <w:t>—Real estate assets to be disposed of are reported at the lower of their carrying amount or estimated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less costs to sell and are included in "Real estate available and held for sale" on our consolidated balance sheets. The difference between the estimated fair value less costs to sell and the carrying value will be recorded as an impairment charge. Impairment for real estate assets disposed of or classified as held for sale on or before December 31, 2013 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"Income (loss) from discontinued operations" in our consolidated statements of operations. Impairment for real estate assets disposed of or classified as held for sale after December 31, 2013 are included in "Impairment of assets" in our consolidated statements of operations. Once the asset is classified as held for sale, depreciation expense is no longer recorded and historical operating results are reclassified to "Income (loss) from discontinued operations" in our consolidated statements of operations.</w:t>
      </w:r>
    </w:p>
    <w:p>
      <w:pPr>
        <w:spacing w:after="0" w:line="24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periodically review real estate to be held and used and land and development assets for impairment in value whenever events or changes in circumstances indicate that the carrying amount of such assets may not be recoverable. The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and land and development assets are recorded in "Impairment of assets" in our consolidated statements of operations.</w:t>
      </w:r>
    </w:p>
    <w:p>
      <w:pPr>
        <w:spacing w:after="0" w:line="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2015, we recorded impairments on real estate and land and development assets totaling $10.5 million resulting from a change in business strategy and unfavorable local market conditions for certain assets. During the years ended December 31, 2014 and 2013, we recorded impairments on real estate and land and development assets totaling $34.6 million and $14.4 million, respectively, resulting from unfavorable local market conditions and changes in business strategy for certain assets. Of these amounts, $1.8 million for the year ended December 31, 2013 has been recorded in "Income (loss) from discontinued operations" in our consolidated statements of operations due to the assets being disposed of or classified as held for sale as of December 31, 2013.</w:t>
      </w:r>
    </w:p>
    <w:p>
      <w:pPr>
        <w:spacing w:after="0" w:line="32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Identified intangible assets and liabilities</w:t>
      </w:r>
      <w:r>
        <w:rPr>
          <w:rFonts w:ascii="Arial" w:cs="Arial" w:eastAsia="Arial" w:hAnsi="Arial"/>
          <w:sz w:val="18"/>
          <w:szCs w:val="18"/>
          <w:color w:val="auto"/>
        </w:rPr>
        <w:t>—We record intangible assets and liabilities acquired at their estimated fair values, and determine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intangible assets and liabilities have finite or indefinite lives. As of December 31, 2015, all such acquired intangible assets and liabilities have finite lives. We amortize finite lived intangible assets and liabilities over the period which the assets and liabilities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we will record an impairment charge to the extent its carrying value exceeds its estimated fair value. Impairments of intangibles are recorded in "Impairment of assets" in our consolidated statements of operations.</w:t>
      </w:r>
    </w:p>
    <w:p>
      <w:pPr>
        <w:spacing w:after="0" w:line="24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Valuation of deferred tax assets</w:t>
      </w:r>
      <w:r>
        <w:rPr>
          <w:rFonts w:ascii="Arial" w:cs="Arial" w:eastAsia="Arial" w:hAnsi="Arial"/>
          <w:sz w:val="17"/>
          <w:szCs w:val="17"/>
          <w:color w:val="auto"/>
        </w:rPr>
        <w:t>—Deferred income taxes reflect the net tax effects of temporary differences between the carrying amount of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financial reporting purposes and the amounts used for income tax purposes, as well as operating loss and tax credit carryforwards. We evaluate the realizability of our deferred tax assets and recognize a valuation allowance if, based on the available evidence, both positive and negative, it is more likely than not that some portion or all of our deferred tax assets will not be realized. When evaluating the realizability of our deferred tax assets, we consider,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us to forecast our business and general economic environment in future periods. Changes in estimate of deferred tax asset realizability, if any are included in "Income tax (expense) benefit" in the consolidated statements of operations.</w:t>
      </w:r>
    </w:p>
    <w:p>
      <w:pPr>
        <w:spacing w:after="0" w:line="2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While certain entities with NOLs may generate profits in the future, which may allow us to utilize the NOLs, we continue to record a full valuation allowance on the net deferred tax asset due to the history of losses and the uncertainty of the entities' ability to generate such profits. We recorded a full valuation allowance of $53.9 million and $54.3 million as of December 31, 2015 and 2014, respectively.</w:t>
      </w:r>
    </w:p>
    <w:p>
      <w:pPr>
        <w:spacing w:after="0" w:line="2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Variable interest entities</w:t>
      </w:r>
      <w:r>
        <w:rPr>
          <w:rFonts w:ascii="Arial" w:cs="Arial" w:eastAsia="Arial" w:hAnsi="Arial"/>
          <w:sz w:val="17"/>
          <w:szCs w:val="17"/>
          <w:color w:val="auto"/>
        </w:rPr>
        <w:t>—We evaluate our investments and other contractual arrangements to determine if our interests constitute variable interests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which interests create or absorb variability, the contractual terms, the key decision making powers, impact on the VIE's economic performance and related party relationships. An iterative quantitative analysis is required if our qualitative analysis proves inconclusive as to whether the entity is a VIE or we are the primary beneficiary and consolidation is required.</w:t>
      </w:r>
    </w:p>
    <w:p>
      <w:pPr>
        <w:spacing w:after="0" w:line="2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Fair value of assets and liabilities</w:t>
      </w:r>
      <w:r>
        <w:rPr>
          <w:rFonts w:ascii="Arial" w:cs="Arial" w:eastAsia="Arial" w:hAnsi="Arial"/>
          <w:sz w:val="16"/>
          <w:szCs w:val="16"/>
          <w:color w:val="auto"/>
        </w:rPr>
        <w:t>—The degree of management judgment involved in determining the fair value of assets and liabilities is 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availability of quoted market prices or observable market parameters. For financial and nonfinancial assets and liabilities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could result in observable market inputs becoming unavailable. Therefore, when market data is not available, we would use valuation techniques requiring more management judgment to estimate the appropriate fair value measurement.</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Item 8—"Financial Statements and Supplemental Data—Note 16" for a complete discussion on how we determine fair value of financial and non-financial assets and financial liabilities and the related measurement techniques and estimates involved.</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quantifies the potential changes in net income should interest rates increase by 50 or 100 basis points and decrease by 10 basis points, assuming no change in the shape of the yield curve (i.e., relative interest rates). The base interest rate scenario assumes the one-month LIBOR rate of 0.43% as of December 31, 2015. Actual results could differ significantly from those estimated in the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Percentage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 in Interest Rates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8"/>
                <w:szCs w:val="8"/>
                <w:b w:val="1"/>
                <w:bCs w:val="1"/>
                <w:color w:val="auto"/>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8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+50 Basis Points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6,598</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+100 Basis Points</w:t>
            </w:r>
          </w:p>
        </w:tc>
        <w:tc>
          <w:tcPr>
            <w:tcW w:w="38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14,747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3" w:lineRule="exact"/>
        <w:rPr>
          <w:sz w:val="20"/>
          <w:szCs w:val="20"/>
          <w:color w:val="auto"/>
        </w:rPr>
      </w:pPr>
    </w:p>
    <w:p>
      <w:pPr>
        <w:jc w:val="both"/>
        <w:ind w:left="420" w:hanging="412"/>
        <w:spacing w:after="0" w:line="248"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have an overall net variable-rate asset position, which results in an increase in net income when rates increase and a decrease in net income when rates decrease. As of December 31, 2015, $807.8 million of our floating rate loans have a cumulative weighted average interest rate floor of 0.8% and $339.7 million of our floating rate debt has a cumulative weighted average interest rate floor of 1.25%.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Supplemental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Page</w:t>
            </w:r>
          </w:p>
        </w:tc>
      </w:tr>
      <w:tr>
        <w:trPr>
          <w:trHeight w:val="209"/>
        </w:trPr>
        <w:tc>
          <w:tcPr>
            <w:tcW w:w="10320" w:type="dxa"/>
            <w:vAlign w:val="bottom"/>
            <w:gridSpan w:val="14"/>
            <w:shd w:val="clear" w:color="auto" w:fill="CCEEFF"/>
          </w:tcPr>
          <w:p>
            <w:pPr>
              <w:ind w:left="40"/>
              <w:spacing w:after="0" w:line="169" w:lineRule="exact"/>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640" w:type="dxa"/>
            <w:vAlign w:val="bottom"/>
            <w:gridSpan w:val="5"/>
            <w:shd w:val="clear" w:color="auto" w:fill="CCEEFF"/>
          </w:tcPr>
          <w:p>
            <w:pPr>
              <w:jc w:val="right"/>
              <w:ind w:right="20"/>
              <w:spacing w:after="0" w:line="170"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right w:val="single" w:sz="8" w:color="CCEEFF"/>
            </w:tcBorders>
            <w:shd w:val="clear" w:color="auto" w:fill="CCEEFF"/>
          </w:tcPr>
          <w:p>
            <w:pPr>
              <w:spacing w:after="0"/>
              <w:rPr>
                <w:sz w:val="3"/>
                <w:szCs w:val="3"/>
                <w:color w:val="auto"/>
              </w:rPr>
            </w:pPr>
          </w:p>
        </w:tc>
        <w:tc>
          <w:tcPr>
            <w:tcW w:w="31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43"/>
        </w:trPr>
        <w:tc>
          <w:tcPr>
            <w:tcW w:w="10320" w:type="dxa"/>
            <w:vAlign w:val="bottom"/>
            <w:gridSpan w:val="14"/>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2015 and 2014</w:t>
              </w:r>
            </w:hyperlink>
          </w:p>
        </w:tc>
        <w:tc>
          <w:tcPr>
            <w:tcW w:w="64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the years ended December 31, 2015, 2014 and 2013</w:t>
              </w:r>
            </w:hyperlink>
          </w:p>
        </w:tc>
        <w:tc>
          <w:tcPr>
            <w:tcW w:w="640" w:type="dxa"/>
            <w:vAlign w:val="bottom"/>
            <w:gridSpan w:val="5"/>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Comprehensive Income (Loss) for the years ended December 31, 2015, 2014 and 2013</w:t>
              </w:r>
            </w:hyperlink>
          </w:p>
        </w:tc>
        <w:tc>
          <w:tcPr>
            <w:tcW w:w="64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Changes in Equity for the years ended December 31, 2015, 2014 and 2013</w:t>
              </w:r>
            </w:hyperlink>
          </w:p>
        </w:tc>
        <w:tc>
          <w:tcPr>
            <w:tcW w:w="640" w:type="dxa"/>
            <w:vAlign w:val="bottom"/>
            <w:gridSpan w:val="5"/>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the years ended December 31, 2015, 2014 and 2013</w:t>
              </w:r>
            </w:hyperlink>
          </w:p>
        </w:tc>
        <w:tc>
          <w:tcPr>
            <w:tcW w:w="64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80" w:type="dxa"/>
            <w:vAlign w:val="bottom"/>
            <w:gridSpan w:val="8"/>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3160" w:type="dxa"/>
            <w:vAlign w:val="bottom"/>
            <w:gridSpan w:val="3"/>
          </w:tcPr>
          <w:p>
            <w:pPr>
              <w:spacing w:after="0"/>
              <w:rPr>
                <w:sz w:val="17"/>
                <w:szCs w:val="17"/>
                <w:color w:val="auto"/>
              </w:rPr>
            </w:pPr>
          </w:p>
        </w:tc>
        <w:tc>
          <w:tcPr>
            <w:tcW w:w="640" w:type="dxa"/>
            <w:vAlign w:val="bottom"/>
            <w:gridSpan w:val="5"/>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32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 Schedules:</w:t>
            </w: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Schedule II—Valuation and Qualifying Accounts and Reserves</w:t>
              </w:r>
            </w:hyperlink>
          </w:p>
        </w:tc>
        <w:tc>
          <w:tcPr>
            <w:tcW w:w="640" w:type="dxa"/>
            <w:vAlign w:val="bottom"/>
            <w:gridSpan w:val="5"/>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103</w:t>
              </w:r>
            </w:hyperlink>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Schedule III—Real Estate and Accumulated Depreciation</w:t>
              </w:r>
            </w:hyperlink>
          </w:p>
        </w:tc>
        <w:tc>
          <w:tcPr>
            <w:tcW w:w="64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03"/>
        </w:trPr>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140" w:type="dxa"/>
            <w:vAlign w:val="bottom"/>
            <w:tcBorders>
              <w:top w:val="single" w:sz="8" w:color="0000EE"/>
            </w:tcBorders>
            <w:gridSpan w:val="4"/>
          </w:tcPr>
          <w:p>
            <w:pPr>
              <w:spacing w:after="0" w:line="202" w:lineRule="exact"/>
              <w:rPr>
                <w:rFonts w:ascii="Arial" w:cs="Arial" w:eastAsia="Arial" w:hAnsi="Arial"/>
                <w:sz w:val="18"/>
                <w:szCs w:val="18"/>
                <w:color w:val="0000EE"/>
              </w:rPr>
            </w:pPr>
            <w:hyperlink w:anchor="page117">
              <w:r>
                <w:rPr>
                  <w:rFonts w:ascii="Arial" w:cs="Arial" w:eastAsia="Arial" w:hAnsi="Arial"/>
                  <w:sz w:val="18"/>
                  <w:szCs w:val="18"/>
                  <w:color w:val="0000EE"/>
                </w:rPr>
                <w:t>Schedule IV—Mortgage Loans on Real Estate</w:t>
              </w:r>
            </w:hyperlink>
          </w:p>
        </w:tc>
        <w:tc>
          <w:tcPr>
            <w:tcW w:w="5900" w:type="dxa"/>
            <w:vAlign w:val="bottom"/>
            <w:tcBorders>
              <w:top w:val="single" w:sz="8" w:color="CCEEFF"/>
            </w:tcBorders>
            <w:gridSpan w:val="7"/>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114</w:t>
              </w:r>
            </w:hyperlink>
          </w:p>
        </w:tc>
        <w:tc>
          <w:tcPr>
            <w:tcW w:w="20" w:type="dxa"/>
            <w:vAlign w:val="bottom"/>
            <w:tcBorders>
              <w:top w:val="single" w:sz="8" w:color="CCEEFF"/>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240" w:top="122" w:right="69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iStar Inc.:</w:t>
      </w:r>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iStar Inc. and its subsidiaries (the “Company”) at December 31, 2015 and December 31, 2014, and the results of their operations and their cash flows for each of the three years in the period ended December 31, 2015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discussed in Note 4 to the consolidated financial statements, the Company adopted accounting standards update (“ASU”) No. 2014-08, "Reporting Discontinued Operations and Disclosures of Disposals of Components of an Entity", which changed the criteria for reporting discontinued operations in 2014.</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2,050,541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2,276,913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(456,558)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(460,482)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1,593,983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1,816,431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137,274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167,303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1,983,734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1,001,963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978,962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1,601,985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1,377,843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254,172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354,119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18,436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16,367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206,557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181,785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5,622,892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5,463,133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214,835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180,902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4,143,683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4,022,684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4,510,844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4,203,586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 (refer to Note 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Inc.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(refer to Note 13)</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High Performance Units (refer to Note 13)</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$0.001 par value, 200,000 shares authorized, 81,109 and 85,191 shares issued and outstanding as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December 31, 2015 and 2014,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3,689,330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3,744,621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(2,625,474)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(2,556,469)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Inc.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1,197,092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42,218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51,256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1,101,330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1,248,348</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5,622,892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5,463,133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229,720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243,100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234,567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108,015</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49,931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81,033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48,208</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 development revenue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514,554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462,028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390,790</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224,639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224,483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266,225</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157,441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Land development cost of sales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67,382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71,266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81,277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88,287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92,114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(recovery of)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5,489</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10,524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34,634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12,589</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8,050</w:t>
            </w: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638,760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601,830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613,174</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(222,384)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Loss on early extinguishment of debt,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(33,190)</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41,520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Loss on transfer of interest to unconsolidated subsidiary</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(7,373)</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(70,266)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(221,427)</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659</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(220,768)</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22,233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from sales of real estate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93,816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89,943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86,658</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(111,233)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iStar Inc.</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(111,951)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Preferred dividends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(51,320)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(49,020)</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w:t>
            </w:r>
            <w:r>
              <w:rPr>
                <w:rFonts w:ascii="Arial" w:cs="Arial" w:eastAsia="Arial" w:hAnsi="Arial"/>
                <w:sz w:val="21"/>
                <w:szCs w:val="21"/>
                <w:color w:val="auto"/>
                <w:vertAlign w:val="superscript"/>
              </w:rPr>
              <w:t>(2)(3)</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5,202</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(155,769)</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Per common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attributable to iStar Inc. from continuing operations—Basic and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Inc.—Basic and diluted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number of common shares—Basic and diluted</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84,987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85,031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84,990</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Per HPU share data</w:t>
            </w:r>
            <w:r>
              <w:rPr>
                <w:rFonts w:ascii="Arial" w:cs="Arial" w:eastAsia="Arial" w:hAnsi="Arial"/>
                <w:sz w:val="21"/>
                <w:szCs w:val="21"/>
                <w:b w:val="1"/>
                <w:bCs w:val="1"/>
                <w:color w:val="auto"/>
                <w:vertAlign w:val="superscript"/>
              </w:rPr>
              <w:t>(1)(2)</w:t>
            </w:r>
            <w:r>
              <w:rPr>
                <w:rFonts w:ascii="Arial" w:cs="Arial" w:eastAsia="Arial" w:hAnsi="Arial"/>
                <w:sz w:val="16"/>
                <w:szCs w:val="16"/>
                <w:b w:val="1"/>
                <w:bCs w:val="1"/>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attributable to iStar Inc. from continuing operations—Basic and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(75.27)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(396.07)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Inc.—Basic and diluted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(346.80)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number of HPU share—Basic and diluted</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188"/>
        </w:trPr>
        <w:tc>
          <w:tcPr>
            <w:tcW w:w="70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660" w:hanging="652"/>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Inc. was $(96.3) million, $(73.5) million and $(221.5) million for the years ended December 31, 2015, 2014 and 2013, respectively. Refer to Note 15 for details on the calculation of earnings per share.</w:t>
      </w: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of the Company's outstanding High Performance Units ("HPUs") were repurchased and retired on August 13, 2015 (refer to Note 13).</w:t>
      </w:r>
    </w:p>
    <w:p>
      <w:pPr>
        <w:spacing w:after="0" w:line="1"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Participating Security holders are non-employee directors who hold common stock equivalents and restricted stock awards granted under the Company's Long Term Incentive Plans that are eligible to participate in dividends (refer to Note 14 and Note 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(gains)/losses on available-for-sale securities into earnings upon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realization</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line="270" w:lineRule="exact"/>
              <w:rPr>
                <w:sz w:val="20"/>
                <w:szCs w:val="20"/>
                <w:color w:val="auto"/>
              </w:rPr>
            </w:pPr>
            <w:r>
              <w:rPr>
                <w:rFonts w:ascii="Arial" w:cs="Arial" w:eastAsia="Arial" w:hAnsi="Arial"/>
                <w:sz w:val="18"/>
                <w:szCs w:val="18"/>
                <w:color w:val="auto"/>
                <w:w w:val="99"/>
              </w:rPr>
              <w:t>Reclassification of (gains)/losses on cash flow hedges into earnings upon realization</w:t>
            </w:r>
            <w:r>
              <w:rPr>
                <w:rFonts w:ascii="Arial" w:cs="Arial" w:eastAsia="Arial" w:hAnsi="Arial"/>
                <w:sz w:val="25"/>
                <w:szCs w:val="25"/>
                <w:color w:val="auto"/>
                <w:w w:val="99"/>
                <w:vertAlign w:val="superscript"/>
              </w:rPr>
              <w:t>(2)</w:t>
            </w:r>
          </w:p>
        </w:tc>
        <w:tc>
          <w:tcPr>
            <w:tcW w:w="34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(gains)/losses on cumulative translation adjustment into earnings upon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realization</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19,070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19,780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(115,042)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660" w:hanging="652"/>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years ended December 31, 2015 , 2014 and 2013, $2,576, $90 and $266, respectively, is included in "Other income" in the Company's consolidated statements of operations which was reclassified out of accumulated other comprehensive income ("AOCI"). For the year ended December 31, 2013, $593 is included in "Earnings from equity method investments" in the Company's consolidated statements of operations which was reclassified out of AOCI.</w:t>
      </w:r>
    </w:p>
    <w:p>
      <w:pPr>
        <w:spacing w:after="0" w:line="1" w:lineRule="exact"/>
        <w:rPr>
          <w:rFonts w:ascii="Arial" w:cs="Arial" w:eastAsia="Arial" w:hAnsi="Arial"/>
          <w:sz w:val="14"/>
          <w:szCs w:val="14"/>
          <w:color w:val="auto"/>
        </w:rPr>
      </w:pPr>
    </w:p>
    <w:p>
      <w:pPr>
        <w:jc w:val="both"/>
        <w:ind w:left="660" w:hanging="652"/>
        <w:spacing w:after="0" w:line="260" w:lineRule="auto"/>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Included in "Interest expense" in the Company's consolidated statements of operations are $456, $62 and $310 for the years ended December 31, 2015, 2014 and 2013, respectively, which was reclassified out of AOCI. For the year ended December 31, 2014, $3,634 is included in "Other expense" in the Company's consolidated statements of operations (refer to Note</w:t>
      </w:r>
    </w:p>
    <w:p>
      <w:pPr>
        <w:ind w:left="660" w:hanging="4"/>
        <w:spacing w:after="0" w:line="241" w:lineRule="auto"/>
        <w:tabs>
          <w:tab w:leader="none" w:pos="909"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and for the years ended December 31, 2015 and 2014, $465 and $420, respectively, is included in "Earnings from equity method investments" in the Company's consolidated statements of operations which was reclassified out of AOCI.</w:t>
      </w: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Included in "Earnings from equity method investments"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jc w:val="center"/>
        <w:ind w:right="-79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6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iStar Inc. Shareholders' Equity</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HPU's</w:t>
            </w:r>
            <w:r>
              <w:rPr>
                <w:rFonts w:ascii="Arial" w:cs="Arial" w:eastAsia="Arial" w:hAnsi="Arial"/>
                <w:sz w:val="8"/>
                <w:szCs w:val="8"/>
                <w:b w:val="1"/>
                <w:bCs w:val="1"/>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at</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Stock</w:t>
            </w:r>
            <w:r>
              <w:rPr>
                <w:rFonts w:ascii="Arial" w:cs="Arial" w:eastAsia="Arial" w:hAnsi="Arial"/>
                <w:sz w:val="8"/>
                <w:szCs w:val="8"/>
                <w:b w:val="1"/>
                <w:bCs w:val="1"/>
                <w:color w:val="auto"/>
                <w:w w:val="95"/>
              </w:rPr>
              <w:t>(1)</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Series J</w:t>
            </w:r>
            <w:r>
              <w:rPr>
                <w:rFonts w:ascii="Arial" w:cs="Arial" w:eastAsia="Arial" w:hAnsi="Arial"/>
                <w:sz w:val="8"/>
                <w:szCs w:val="8"/>
                <w:b w:val="1"/>
                <w:bCs w:val="1"/>
                <w:color w:val="auto"/>
                <w:w w:val="91"/>
              </w:rPr>
              <w:t>(1)</w:t>
            </w: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$9,800</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$3,590,870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$(2,360,647)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74,210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$1,313,154</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Issuance of Preferred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193,506</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193,510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(49,020)</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Repurchase of stock</w:t>
            </w: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(20,985)</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 unit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Net income (loss) for the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3,837</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(108,114)</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accumulated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Change in additional paid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in capital attributable to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w w:val="97"/>
              </w:rPr>
              <w:t>redeemable noncontrolling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interest</w:t>
            </w:r>
            <w:r>
              <w:rPr>
                <w:rFonts w:ascii="Arial" w:cs="Arial" w:eastAsia="Arial" w:hAnsi="Arial"/>
                <w:sz w:val="25"/>
                <w:szCs w:val="25"/>
                <w:color w:val="auto"/>
                <w:vertAlign w:val="superscript"/>
              </w:rPr>
              <w:t>(4)</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(5)</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10,264</w:t>
            </w:r>
          </w:p>
        </w:tc>
        <w:tc>
          <w:tcPr>
            <w:tcW w:w="120" w:type="dxa"/>
            <w:vAlign w:val="bottom"/>
            <w:tcBorders>
              <w:right w:val="single" w:sz="8" w:color="auto"/>
            </w:tcBorders>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(4)</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(30,106)</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(30,106)</w:t>
            </w: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$9,800</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$3,759,245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$1,301,465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 unit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Net income (loss) for the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16,469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1,221</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accumulated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Change in additional paid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in capital attributable to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w w:val="97"/>
              </w:rPr>
              <w:t>redeemable noncontrolling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noncontrolling</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interests</w:t>
            </w:r>
            <w:r>
              <w:rPr>
                <w:rFonts w:ascii="Arial" w:cs="Arial" w:eastAsia="Arial" w:hAnsi="Arial"/>
                <w:sz w:val="25"/>
                <w:szCs w:val="25"/>
                <w:color w:val="auto"/>
                <w:vertAlign w:val="superscript"/>
              </w:rPr>
              <w:t>(6)</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Borders>
              <w:right w:val="single" w:sz="8" w:color="auto"/>
            </w:tcBorders>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9"/>
        </w:trPr>
        <w:tc>
          <w:tcPr>
            <w:tcW w:w="2120" w:type="dxa"/>
            <w:vAlign w:val="bottom"/>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rPr>
                <w:sz w:val="20"/>
                <w:szCs w:val="20"/>
                <w:color w:val="auto"/>
              </w:rPr>
            </w:pPr>
            <w:r>
              <w:rPr>
                <w:rFonts w:ascii="Arial" w:cs="Arial" w:eastAsia="Arial" w:hAnsi="Arial"/>
                <w:sz w:val="18"/>
                <w:szCs w:val="18"/>
                <w:color w:val="auto"/>
              </w:rPr>
              <w:t>31, 2014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$9,800</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$3,744,621</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$(2,556,469)</w:t>
            </w:r>
          </w:p>
        </w:tc>
        <w:tc>
          <w:tcPr>
            <w:tcW w:w="1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51,256</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$1,248,348</w:t>
            </w:r>
          </w:p>
        </w:tc>
        <w:tc>
          <w:tcPr>
            <w:tcW w:w="0" w:type="dxa"/>
            <w:vAlign w:val="bottom"/>
          </w:tcPr>
          <w:p>
            <w:pPr>
              <w:spacing w:after="0"/>
              <w:rPr>
                <w:sz w:val="1"/>
                <w:szCs w:val="1"/>
                <w:color w:val="auto"/>
              </w:rPr>
            </w:pP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45" w:right="10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4"/>
              </w:rPr>
              <w:t>iStar Inc. Shareholders' Equity</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HPU's</w:t>
            </w:r>
            <w:r>
              <w:rPr>
                <w:rFonts w:ascii="Arial" w:cs="Arial" w:eastAsia="Arial" w:hAnsi="Arial"/>
                <w:sz w:val="8"/>
                <w:szCs w:val="8"/>
                <w:b w:val="1"/>
                <w:bCs w:val="1"/>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at</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Stock</w:t>
            </w:r>
            <w:r>
              <w:rPr>
                <w:rFonts w:ascii="Arial" w:cs="Arial" w:eastAsia="Arial" w:hAnsi="Arial"/>
                <w:sz w:val="8"/>
                <w:szCs w:val="8"/>
                <w:b w:val="1"/>
                <w:bCs w:val="1"/>
                <w:color w:val="auto"/>
                <w:w w:val="95"/>
              </w:rPr>
              <w:t>(1)</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Series J</w:t>
            </w:r>
            <w:r>
              <w:rPr>
                <w:rFonts w:ascii="Arial" w:cs="Arial" w:eastAsia="Arial" w:hAnsi="Arial"/>
                <w:sz w:val="8"/>
                <w:szCs w:val="8"/>
                <w:b w:val="1"/>
                <w:bCs w:val="1"/>
                <w:color w:val="auto"/>
                <w:w w:val="91"/>
              </w:rPr>
              <w:t>(1)</w:t>
            </w: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$9,800</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$3,744,621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$(2,556,469)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51,256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$1,248,348</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 unit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Net income (loss) for the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accumulated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Repurchase of stock</w:t>
            </w: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(70,411)</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(70,416)</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of HPUs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Change in additional paid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in capital attributable to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(7)</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(7)</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120" w:type="dxa"/>
            <w:vAlign w:val="bottom"/>
            <w:tcBorders>
              <w:bottom w:val="single" w:sz="8" w:color="CCEEFF"/>
              <w:right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3"/>
              </w:rPr>
              <w:t>$3,689,330</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$(2,625,474)</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42,218</w:t>
            </w:r>
          </w:p>
        </w:tc>
        <w:tc>
          <w:tcPr>
            <w:tcW w:w="120" w:type="dxa"/>
            <w:vAlign w:val="bottom"/>
            <w:tcBorders>
              <w:right w:val="single" w:sz="8" w:color="CCEEFF"/>
            </w:tcBorders>
            <w:shd w:val="clear" w:color="auto" w:fill="CCEEFF"/>
          </w:tcPr>
          <w:p>
            <w:pPr>
              <w:spacing w:after="0"/>
              <w:rPr>
                <w:sz w:val="18"/>
                <w:szCs w:val="18"/>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86"/>
              </w:rPr>
              <w:t>$ 1,101,330</w:t>
            </w: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31, 2015</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-98425</wp:posOffset>
            </wp:positionV>
            <wp:extent cx="5394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13).</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the years ended December 31, 2015, 2014 and 2013 net income (loss) shown above excludes $(3,456), $(1,925) and $(3,119) of net loss attributable to redeemable noncontrolling interests.</w:t>
      </w: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an $8.8 million payment to redeem a noncontrolling member's interest.</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$9.4 million of operating property assets contributed by a noncontrolling partner.</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During the year ended December 31, 2014, the Company sold its 72% interest in a previously consolidated entity to one of its unconsolidated ventures (refer to Note 4 and Note 7).</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 $6.4 million payment to redeem a noncontrolling member's interest (refer to Note 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45"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(6,157)</w:t>
            </w:r>
          </w:p>
        </w:tc>
        <w:tc>
          <w:tcPr>
            <w:tcW w:w="100" w:type="dxa"/>
            <w:vAlign w:val="bottom"/>
          </w:tcPr>
          <w:p>
            <w:pPr>
              <w:spacing w:after="0"/>
              <w:rPr>
                <w:sz w:val="22"/>
                <w:szCs w:val="22"/>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15,765</w:t>
            </w:r>
          </w:p>
        </w:tc>
        <w:tc>
          <w:tcPr>
            <w:tcW w:w="120" w:type="dxa"/>
            <w:vAlign w:val="bottom"/>
          </w:tcPr>
          <w:p>
            <w:pPr>
              <w:spacing w:after="0"/>
              <w:rPr>
                <w:sz w:val="22"/>
                <w:szCs w:val="22"/>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(111,233)</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cash flows from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Provision for (recovery of) loan losses</w:t>
            </w:r>
          </w:p>
        </w:tc>
        <w:tc>
          <w:tcPr>
            <w:tcW w:w="3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36,567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5,489</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10,524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34,634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14,507</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Loss on transfer of interest to unconsolidated subsidiary</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7,373</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65,247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73,571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71,530</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Payments for withholding taxes upon vesting of stock-based compensation</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(1,718)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(14,098)</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expense for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12,013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13,314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19,261</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 of discounts/premiums and deferred financing costs on debt obligations, net</w:t>
            </w:r>
          </w:p>
        </w:tc>
        <w:tc>
          <w:tcPr>
            <w:tcW w:w="3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17,352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16,891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20,915</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discounts/premiums and deferred interest on loans,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(82,782)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(37,383)</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(Gain) loss from sales of loans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596</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Earnings from equity method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(32,153)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Distributions from operations of other investments</w:t>
            </w:r>
          </w:p>
        </w:tc>
        <w:tc>
          <w:tcPr>
            <w:tcW w:w="3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29,999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80,116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17,252</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operating lease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(12,077)</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Income from sales of real estate</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(93,816)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(89,943)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(86,658)</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development revenue in excess of cost of sales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(32,834)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Gain from discontinued operations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(22,233)</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early extinguishment of debt,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25,369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19,655</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Debt discount and prepayment penalty on repayments and repurchases of debt obligations</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(14,888)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(24,001)</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activities,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42,607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31,935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6,917</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accrued interest and operating lease income receivable,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2,310</w:t>
            </w:r>
          </w:p>
        </w:tc>
      </w:tr>
      <w:tr>
        <w:trPr>
          <w:trHeight w:val="263"/>
        </w:trPr>
        <w:tc>
          <w:tcPr>
            <w:tcW w:w="7440" w:type="dxa"/>
            <w:vAlign w:val="bottom"/>
          </w:tcPr>
          <w:p>
            <w:pPr>
              <w:ind w:left="280"/>
              <w:spacing w:after="0"/>
              <w:rPr>
                <w:sz w:val="20"/>
                <w:szCs w:val="20"/>
                <w:color w:val="auto"/>
              </w:rPr>
            </w:pPr>
            <w:r>
              <w:rPr>
                <w:rFonts w:ascii="Arial" w:cs="Arial" w:eastAsia="Arial" w:hAnsi="Arial"/>
                <w:sz w:val="14"/>
                <w:szCs w:val="14"/>
                <w:color w:val="auto"/>
              </w:rPr>
              <w:t>Changes in deferred expenses and other assets, net</w:t>
            </w:r>
          </w:p>
        </w:tc>
        <w:tc>
          <w:tcPr>
            <w:tcW w:w="3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4,601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(23,012)</w:t>
            </w:r>
          </w:p>
        </w:tc>
      </w:tr>
      <w:tr>
        <w:trPr>
          <w:trHeight w:val="271"/>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accounts payable, accrued expenses and other liabilities, net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(17,112)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7,245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5,945</w:t>
            </w: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used in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(59,947)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(180,465)</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Originations and fundings of loans receivable, net</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(478,822)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(622,428)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(257,600)</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 on real estate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(81,525)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(73,057)</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Capital expenditures on land and development assets</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(88,219)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(74,323)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(36,346)</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real estate assets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(102,364)</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Repayments of and principal collections on loans receivable and other lending investments, net</w:t>
            </w:r>
          </w:p>
        </w:tc>
        <w:tc>
          <w:tcPr>
            <w:tcW w:w="3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273,454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512,528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613,615</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sales of loans receivable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6,655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65,438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81,614</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Net proceeds from sales of real estate</w:t>
            </w:r>
          </w:p>
        </w:tc>
        <w:tc>
          <w:tcPr>
            <w:tcW w:w="3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362,530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404,336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437,817</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sales of land and development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81,601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15,191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Net proceeds from sale of other investments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220,281</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from other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119,854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61,031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36,918</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Contributions to other investments</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(11,531)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(159,424)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(12,784)</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restricted cash held in connection with investing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(7,550)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29,283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(19,388)</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7,581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1,291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4,741</w:t>
            </w: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184,028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159,793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893,447</w:t>
            </w:r>
          </w:p>
        </w:tc>
      </w:tr>
      <w:tr>
        <w:trPr>
          <w:trHeight w:val="257"/>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from debt obligations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549,000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1,349,822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1,444,565</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Repayments of debt obligations</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(432,383)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(1,471,174)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(1,984,102)</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loan participations payable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138,075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Preferred dividends paid</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(51,320)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(51,320)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(49,020)</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preferred stock</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193,510</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(69,511)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(20,985)</w:t>
            </w: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 of HPUs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(9,811)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440" w:type="dxa"/>
            <w:vAlign w:val="bottom"/>
          </w:tcPr>
          <w:p>
            <w:pPr>
              <w:ind w:left="180"/>
              <w:spacing w:after="0"/>
              <w:rPr>
                <w:sz w:val="20"/>
                <w:szCs w:val="20"/>
                <w:color w:val="auto"/>
              </w:rPr>
            </w:pPr>
            <w:r>
              <w:rPr>
                <w:rFonts w:ascii="Arial" w:cs="Arial" w:eastAsia="Arial" w:hAnsi="Arial"/>
                <w:sz w:val="14"/>
                <w:szCs w:val="14"/>
                <w:color w:val="auto"/>
              </w:rPr>
              <w:t>Payments for deferred financing costs</w:t>
            </w:r>
          </w:p>
        </w:tc>
        <w:tc>
          <w:tcPr>
            <w:tcW w:w="3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(2,255)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(17,539)</w:t>
            </w:r>
          </w:p>
        </w:tc>
      </w:tr>
      <w:tr>
        <w:trPr>
          <w:trHeight w:val="27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(7,314)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(22,187)</w:t>
            </w: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from (used in)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114,481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(190,958)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(455,758)</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bl>
    <w:p>
      <w:pPr>
        <w:spacing w:after="0" w:line="70" w:lineRule="exact"/>
        <w:rPr>
          <w:sz w:val="20"/>
          <w:szCs w:val="20"/>
          <w:color w:val="auto"/>
        </w:rPr>
      </w:pPr>
    </w:p>
    <w:p>
      <w:pPr>
        <w:sectPr>
          <w:pgSz w:w="11900" w:h="16838" w:orient="portrait"/>
          <w:cols w:equalWidth="0" w:num="1">
            <w:col w:w="11420"/>
          </w:cols>
          <w:pgMar w:left="240" w:top="122" w:right="239" w:bottom="0" w:gutter="0" w:footer="0" w:header="0"/>
        </w:sectPr>
      </w:pPr>
    </w:p>
    <w:p>
      <w:pPr>
        <w:ind w:left="180"/>
        <w:spacing w:after="0"/>
        <w:tabs>
          <w:tab w:leader="none" w:pos="8140" w:val="left"/>
          <w:tab w:leader="none" w:pos="9520" w:val="left"/>
          <w:tab w:leader="none" w:pos="10860" w:val="left"/>
        </w:tabs>
        <w:rPr>
          <w:sz w:val="20"/>
          <w:szCs w:val="20"/>
          <w:color w:val="auto"/>
        </w:rPr>
      </w:pPr>
      <w:r>
        <w:rPr>
          <w:rFonts w:ascii="Arial" w:cs="Arial" w:eastAsia="Arial" w:hAnsi="Arial"/>
          <w:sz w:val="14"/>
          <w:szCs w:val="14"/>
          <w:color w:val="auto"/>
        </w:rPr>
        <w:t>Changes in cash and cash equivalents</w:t>
      </w:r>
      <w:r>
        <w:rPr>
          <w:sz w:val="20"/>
          <w:szCs w:val="20"/>
          <w:color w:val="auto"/>
        </w:rPr>
        <w:tab/>
      </w:r>
      <w:r>
        <w:rPr>
          <w:rFonts w:ascii="Arial" w:cs="Arial" w:eastAsia="Arial" w:hAnsi="Arial"/>
          <w:sz w:val="14"/>
          <w:szCs w:val="14"/>
          <w:color w:val="auto"/>
        </w:rPr>
        <w:t>239,040</w:t>
      </w:r>
      <w:r>
        <w:rPr>
          <w:sz w:val="20"/>
          <w:szCs w:val="20"/>
          <w:color w:val="auto"/>
        </w:rPr>
        <w:tab/>
      </w:r>
      <w:r>
        <w:rPr>
          <w:rFonts w:ascii="Arial" w:cs="Arial" w:eastAsia="Arial" w:hAnsi="Arial"/>
          <w:sz w:val="14"/>
          <w:szCs w:val="14"/>
          <w:color w:val="auto"/>
        </w:rPr>
        <w:t>(41,507)</w:t>
      </w:r>
      <w:r>
        <w:rPr>
          <w:sz w:val="20"/>
          <w:szCs w:val="20"/>
          <w:color w:val="auto"/>
        </w:rPr>
        <w:tab/>
      </w:r>
      <w:r>
        <w:rPr>
          <w:rFonts w:ascii="Arial" w:cs="Arial" w:eastAsia="Arial" w:hAnsi="Arial"/>
          <w:sz w:val="12"/>
          <w:szCs w:val="12"/>
          <w:color w:val="auto"/>
        </w:rPr>
        <w:t>257,224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95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 at beginning of period</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472,061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513,568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256,344</w:t>
            </w:r>
          </w:p>
        </w:tc>
      </w:tr>
      <w:tr>
        <w:trPr>
          <w:trHeight w:val="276"/>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at end of period</w:t>
            </w:r>
          </w:p>
        </w:tc>
        <w:tc>
          <w:tcPr>
            <w:tcW w:w="4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711,101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472,061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513,568</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6"/>
        </w:trPr>
        <w:tc>
          <w:tcPr>
            <w:tcW w:w="7440" w:type="dxa"/>
            <w:vAlign w:val="bottom"/>
          </w:tcPr>
          <w:p>
            <w:pPr>
              <w:ind w:left="180"/>
              <w:spacing w:after="0"/>
              <w:rPr>
                <w:sz w:val="20"/>
                <w:szCs w:val="20"/>
                <w:color w:val="auto"/>
              </w:rPr>
            </w:pPr>
            <w:r>
              <w:rPr>
                <w:rFonts w:ascii="Arial" w:cs="Arial" w:eastAsia="Arial" w:hAnsi="Arial"/>
                <w:sz w:val="14"/>
                <w:szCs w:val="14"/>
                <w:color w:val="auto"/>
              </w:rPr>
              <w:t>Cash paid during the period for interest, net of amount capitalized</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207,972</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194,605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237,457</w:t>
            </w: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Inc. (the "Company"), doing business as "iStar," finances, invests in and develops real estate and real estate related projects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fully-integrated investment platform.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net lease, operating properties and land and development (refer to Note 17).</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audited consolidated financial statements have been prepared in conformity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of America ("GAAP") for complete financial statements. 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spacing w:after="0" w:line="2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2015, the Company changed its presentation of land and development assets. Land and development assets were previously included in "Real estate, net" and "Real estate available and held for sale" on the consolidated balance sheets. Land and development assets are now included in "Land and development" on the consolidated balance sheets. Prior period amounts have been reclassified to conform to the current period presentation.</w:t>
      </w:r>
    </w:p>
    <w:p>
      <w:pPr>
        <w:spacing w:after="0" w:line="24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year ended December 31, 2015, the Company determined that its classification of common shares repurchased under its share repurchase programs should be classified as a reduction to common stock for the par amount of the common stock repurchased and additional paid in capital and included as shares unissued within the consolidated financial statements. The Company previously classified common shares repurchased under its share repurchase programs as treasury stock. The Company evaluated the impact of this correction on previously issued financial statements and concluded they were not materially misstated. In order to conform previous financial statements with the current period, the Company elected to revise previously issued financial statements the next time such financial statements are filed. The accompanying consolidated balance sheet as of December 31, 2014 and the consolidated statements of changes in equity for the years ended December 31, 2014 and 2013 have been revised accordingly. In addition, the Company will revise the consolidated statements of changes in equity for the periods ended March 31, 2015, June 30, 2015, and September 30, 2015, as those financial statements are presented in future filings.</w:t>
      </w:r>
    </w:p>
    <w:p>
      <w:pPr>
        <w:spacing w:after="0" w:line="23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misclassification eliminates treasury stock and results in corresponding reductions of common stock and additional paid-in capital, which results in no change in total equity within the consolidated balance sheets and consolidated statements of changes in equity. All repurchased shares previously reported as treasury stock will now be reported as unissued common stock. The change has no impact on the previously reported consolidated statements of operations, consolidated statements of comprehensive income or consolidated statements of cash 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of the change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As Reported</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5"/>
              </w:rPr>
              <w:t>Change</w:t>
            </w: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As Adjusted</w:t>
            </w:r>
            <w:r>
              <w:rPr>
                <w:rFonts w:ascii="Arial" w:cs="Arial" w:eastAsia="Arial" w:hAnsi="Arial"/>
                <w:sz w:val="25"/>
                <w:szCs w:val="25"/>
                <w:color w:val="auto"/>
                <w:w w:val="92"/>
                <w:vertAlign w:val="superscript"/>
              </w:rPr>
              <w:t>(1)</w:t>
            </w:r>
          </w:p>
        </w:tc>
      </w:tr>
      <w:tr>
        <w:trPr>
          <w:trHeight w:val="244"/>
        </w:trPr>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September 30, 2015</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3,740,769</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3,740,853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3,740,853</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3,744,483</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3,744,568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3,744,568</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March 31, 2015</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3,744,089</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3,744,174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3,744,174</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31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December 31, 2014</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3,744,621</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3,744,706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3,744,706</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3,759,245</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3,759,328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3,759,328</w:t>
            </w:r>
          </w:p>
        </w:tc>
      </w:tr>
    </w:tbl>
    <w:p>
      <w:pPr>
        <w:spacing w:after="0" w:line="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247"/>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Common shares repurchased during the respective periods will also be reclassified on the consolidated statements of changes in equity from treasury stock, at cost to common stock and additional paid-in capital in future filings.</w:t>
      </w:r>
    </w:p>
    <w:p>
      <w:pPr>
        <w:ind w:left="660" w:hanging="247"/>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December 31, 2014, the number of common shares issued and outstanding was 85,191.</w:t>
      </w:r>
    </w:p>
    <w:p>
      <w:pPr>
        <w:spacing w:after="0" w:line="15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5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December 31, 2015, the Company consolidates VIEs for which it is considered the primary beneficiary.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the total assets of these consolidated VIEs were $219.3 million and total liabilities were $26.5 million. The classifications of these assets are primarily within "Land and development" and "Other investments" on the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Company's consolidated balance sheets. The classifications of liabilities are primarily within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$38.8 million as of December 31, 2015.</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Unconsolidated VIEs</w:t>
      </w:r>
      <w:r>
        <w:rPr>
          <w:rFonts w:ascii="Arial" w:cs="Arial" w:eastAsia="Arial" w:hAnsi="Arial"/>
          <w:sz w:val="17"/>
          <w:szCs w:val="17"/>
          <w:color w:val="auto"/>
        </w:rPr>
        <w:t>—As of December 31, 2015, the Company has investments in VIEs where it is not the primary beneficiary, and accordingly,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VIEs have not been consolidated in the Company's consolidated financial statements. As of December 31, 2015, the Company's maximum exposure to loss from these investments does not exceed the sum of the $93.4 million carrying value of the investments, which are classified in "Other investments" on the Company's consolidated balance sheets, and $17.7 million of related unfunded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Real estate and land and development—</w:t>
      </w:r>
      <w:r>
        <w:rPr>
          <w:rFonts w:ascii="Arial" w:cs="Arial" w:eastAsia="Arial" w:hAnsi="Arial"/>
          <w:sz w:val="18"/>
          <w:szCs w:val="18"/>
          <w:color w:val="auto"/>
        </w:rPr>
        <w:t>Real estate and land and development assets are recorded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as follows:</w:t>
      </w:r>
    </w:p>
    <w:p>
      <w:pPr>
        <w:spacing w:after="0" w:line="1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Capitalization and depreciation—</w:t>
      </w:r>
      <w:r>
        <w:rPr>
          <w:rFonts w:ascii="Arial" w:cs="Arial" w:eastAsia="Arial" w:hAnsi="Arial"/>
          <w:sz w:val="16"/>
          <w:szCs w:val="16"/>
          <w:color w:val="auto"/>
        </w:rPr>
        <w:t>Certain improvements and replacements are capitalized when they extend the useful life of the asset. For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the Company begins to capitalize qualified development and construction costs, including interest, real estate 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value methods as appropriate during construction. The Company ceases capitalization on the portions substantially completed and ready for their intended use. Repairs and maintenance costs are expensed as incurred. Depreciation is computed using the straight-line method of cost recovery over the estimated useful life, which is generally 40 years for facilities, five years for furniture and equipment, the shorter of the remaining lease term or expected life for tenant improvements and the remaining useful life of the facility for facility improvements.</w:t>
      </w:r>
    </w:p>
    <w:p>
      <w:pPr>
        <w:spacing w:after="0" w:line="16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Purchase price allocation—</w:t>
      </w:r>
      <w:r>
        <w:rPr>
          <w:rFonts w:ascii="Arial" w:cs="Arial" w:eastAsia="Arial" w:hAnsi="Arial"/>
          <w:sz w:val="18"/>
          <w:szCs w:val="18"/>
          <w:color w:val="auto"/>
        </w:rPr>
        <w:t>Upon acquisition of real estate, the Company determines whether the transaction is a business combination,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or an acquisition of assets. For both types of transactions, the Company recognizes and measures identifiable assets acquired, liabilities assumed and any noncontrolling interest in the acquiree based on their relative fair values. For business combinations, the Company recognizes and measures goodwill or gain from a bargain purchase, if applicable, and expenses acquisition-related costs in the periods in which the costs are incurred and the services are received. For acquisitions of assets, acquisition-related costs are capitalized and recorded in "Real estate, net" on the Company's consolidated balance sheets.</w:t>
      </w:r>
    </w:p>
    <w:p>
      <w:pPr>
        <w:spacing w:after="0" w:line="15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accounts for its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lease incentive assets, above-market leases, in-place leases and the value of customer relationships, which are each recorded at their estimated fair values and included in “Deferred expenses and other assets, net” on the Company's consolidated balance sheets. Intangible liabilities may include the value of below-market leases, which are recorded at their estimated fair values and included in “Accounts payable, accrued expenses and other liabilities” on the Company's consolidated balance sheets. In-place leases and customer relationships are amortized over the remaining non-cancelable term and the amortization expense is included in "Depreciation and amortization" in the Company's consolidated statements of operations. Lease incentive assets and above-market (or below-market) lease value is amortized as a reduction of (or, increase to) operating lease income over the remaining non-cancelable term of each lease plus any renewal periods with fixed rental terms that are considered to be below-market. The Company also engages in sale/leaseback transactions and typically executes leases with the occupant simultaneously with the purchase of the net lease asset.</w:t>
      </w:r>
    </w:p>
    <w:p>
      <w:pPr>
        <w:spacing w:after="0" w:line="14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Impairments—</w:t>
      </w:r>
      <w:r>
        <w:rPr>
          <w:rFonts w:ascii="Arial" w:cs="Arial" w:eastAsia="Arial" w:hAnsi="Arial"/>
          <w:sz w:val="17"/>
          <w:szCs w:val="17"/>
          <w:color w:val="auto"/>
        </w:rPr>
        <w:t>The Company reviews real estate assets to be held and used and land and development assets, for impairment in value whenever events</w:t>
      </w:r>
      <w:r>
        <w:rPr>
          <w:rFonts w:ascii="Arial" w:cs="Arial" w:eastAsia="Arial" w:hAnsi="Arial"/>
          <w:sz w:val="17"/>
          <w:szCs w:val="17"/>
          <w:i w:val="1"/>
          <w:iCs w:val="1"/>
          <w:color w:val="auto"/>
        </w:rPr>
        <w:t xml:space="preserve"> </w:t>
      </w:r>
      <w:r>
        <w:rPr>
          <w:rFonts w:ascii="Arial" w:cs="Arial" w:eastAsia="Arial" w:hAnsi="Arial"/>
          <w:sz w:val="17"/>
          <w:szCs w:val="17"/>
          <w:color w:val="auto"/>
        </w:rPr>
        <w:t>or changes in circumstances indicate that the carrying amount of such assets may not be recoverable. The value of a long-lived asset held for use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property over the estimated fair value of the asset and reflected 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adjustment to the basis of the asset. Impairments of real estate assets that are not held for sale and land and development assets are recorded in "Impairment of assets" in the Company's consolidated statements of operations. Impairments of real estate assets that are disposed of or classified as held for sale after December 31, 2013 and which do not represent a strategic shift that has (or will have) a major effect on the Company's operations and financial results are also recorded in "Impairment of assets" in the Company's consolidated statements of operations.</w:t>
      </w:r>
    </w:p>
    <w:p>
      <w:pPr>
        <w:spacing w:after="0" w:line="13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Real estate available and held for sale—</w:t>
      </w:r>
      <w:r>
        <w:rPr>
          <w:rFonts w:ascii="Arial" w:cs="Arial" w:eastAsia="Arial" w:hAnsi="Arial"/>
          <w:sz w:val="18"/>
          <w:szCs w:val="18"/>
          <w:color w:val="auto"/>
        </w:rPr>
        <w:t>The Company reports real estate assets to be sold at the lower of their carrying amount or estimated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less costs to sell and classifies them as “Real estate available and held for sale” on the Company's consolidated balance sheets. If the estimated fair value less costs to sell is less than the carrying value, the difference will be recorded as an impairment charge. Impairment for real estate assets sold or classified as held for sale on or before December 31, 2013 are included in "Income (loss) from discontinued operations" in the Company's consolidated statements of operations. Impairment for real estate assets disposed of or classified as held for sale after December 31, 2013 are included in "Impairment of assets" in the Company's consolidated statements of operations. Once a real estate asset is classified as held for sale, depreciation expense is no longer recorded and historical operating results, including impairments, are reclassified to "Income (loss) from discontinued operations" in the Company's consolidated statements of operations.</w:t>
      </w:r>
    </w:p>
    <w:p>
      <w:pPr>
        <w:spacing w:after="0" w:line="1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 for sale, adjusted for any depreciation expense that would have been recognized had the property been continuously classified as held and used, or (ii) the estimated fair value at the date of the subsequent decision not to sell.</w:t>
      </w:r>
    </w:p>
    <w:p>
      <w:pPr>
        <w:spacing w:after="0" w:line="14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Dispositions—</w:t>
      </w:r>
      <w:r>
        <w:rPr>
          <w:rFonts w:ascii="Arial" w:cs="Arial" w:eastAsia="Arial" w:hAnsi="Arial"/>
          <w:sz w:val="16"/>
          <w:szCs w:val="16"/>
          <w:color w:val="auto"/>
        </w:rPr>
        <w:t>Revenue from sales of land and gains or losses on the sale of other real estate assets, including residential property, are recognized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Accounting Standards Codification ("ASC") 360-20</w:t>
      </w:r>
      <w:r>
        <w:rPr>
          <w:rFonts w:ascii="Arial" w:cs="Arial" w:eastAsia="Arial" w:hAnsi="Arial"/>
          <w:sz w:val="16"/>
          <w:szCs w:val="16"/>
          <w:i w:val="1"/>
          <w:iCs w:val="1"/>
          <w:color w:val="auto"/>
        </w:rPr>
        <w:t>, Real Estate Sales</w:t>
      </w:r>
      <w:r>
        <w:rPr>
          <w:rFonts w:ascii="Arial" w:cs="Arial" w:eastAsia="Arial" w:hAnsi="Arial"/>
          <w:sz w:val="16"/>
          <w:szCs w:val="16"/>
          <w:color w:val="auto"/>
        </w:rPr>
        <w:t>. Sales of land and the associated gains on sales of residential property are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 Gains on sales of net lease assets or commercial operating properties disposed of or classified as held for sale on or before December 31, 2013 are recorded in “Gains from discontinued operations” in the Company's consolidated statements of operations. Gain on sales of net lease assets or commercial operating properties disposed of or classified as held for sale after December 31, 2013 and profits on sales of residential property within the operating property segment are included in "Income from sales of real estate" in the Company's consolidated statements of operations.</w:t>
      </w:r>
    </w:p>
    <w:p>
      <w:pPr>
        <w:spacing w:after="0" w:line="16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Loans receivable and other lending investments, net</w:t>
      </w:r>
      <w:r>
        <w:rPr>
          <w:rFonts w:ascii="Arial" w:cs="Arial" w:eastAsia="Arial" w:hAnsi="Arial"/>
          <w:sz w:val="17"/>
          <w:szCs w:val="17"/>
          <w:i w:val="1"/>
          <w:iCs w:val="1"/>
          <w:color w:val="auto"/>
        </w:rPr>
        <w:t>—</w:t>
      </w:r>
      <w:r>
        <w:rPr>
          <w:rFonts w:ascii="Arial" w:cs="Arial" w:eastAsia="Arial" w:hAnsi="Arial"/>
          <w:sz w:val="17"/>
          <w:szCs w:val="17"/>
          <w:color w:val="auto"/>
        </w:rPr>
        <w:t>Loans receivable and other lending investments, net includes the following investments: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mortgages, corporate/partnership loans, subordinate mortgages, preferred equity investments and debt securities. Management considers nearly all of its loans to be held-for-investment, although certain investments may be classified as held-for-sale or available-for-sale.</w:t>
      </w:r>
    </w:p>
    <w:p>
      <w:pPr>
        <w:spacing w:after="0" w:line="2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Loans receivable classified as held-for-investment and debt securities classified as held-to-maturity are reported at their outstanding unpaid principal balance, and include unamortized acquisition premiums or discounts and unamortized deferred loan costs or fees. These loans and debt securities also include accrued and paid-in-kind interest and accrued exit fees that the Company determines are probable of being collected. Debt securities classified as available-for-sale are reported at fair value with unrealized gains and losses included in "Accumulated other comprehensive income (loss)" on the Company's consolidated balance sheets.</w:t>
      </w:r>
    </w:p>
    <w:p>
      <w:pPr>
        <w:spacing w:after="0" w:line="24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Loans receivable and other lending investments designated for sale are classified as held-for-sale and are carried at lower of amortized historical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3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held-to-maturity and available-for-sale debt securities held in "Loans receivable and other lending investments, net," management evaluates whether the asset is other-than-temporarily impaired when the fair market value is below carrying value. The Company considers debt securities other-than-temporarily impaired if (1) the Company has the intent to sell the security, (2) it is more likely than not that it will be required to sell the security before recovery, or (3) it does not expect to recover the entire amortized cost basis of the security. If it is determined that an other-than-temporary impairment exists, the portion related to credit losses, where the Company does not expect to recover its entire amortized cost basis, will be recognized as an "Impairment of</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in the Company's consolidated statements of operations. If the Company does not intend to sell the security and it is more likely than not that the entity will not be required to sell the security, but the security has suffered a credit loss, the impairment charge will be separated. The credit loss component of the impairment will be recorded as an "Impairment of assets" in the Company's consolidated statements of operations, and the remainder will be recorded in "Accumulated other comprehensive income (loss)" on the Company's consolidated balance sheets.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acquires properties through foreclosure or by deed-in-lieu of foreclosure in full or partial satisfaction of non-performing loans. Based on the Company's strategic plan to realize the maximum value from the collateral received, property is classified as "Land and development," "Real estate, net" or "Real estate available and held for sale" at its estimated fair value when title to the property is obtained. Any excess of the carrying value of the loan over the estimated fair value of the property (less costs to sell for assets held for sale) is charged-off against the reserve for loan losses as of the date of foreclosure.</w:t>
      </w:r>
    </w:p>
    <w:p>
      <w:pPr>
        <w:spacing w:after="0" w:line="20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Equity and cost method investments</w:t>
      </w:r>
      <w:r>
        <w:rPr>
          <w:rFonts w:ascii="Arial" w:cs="Arial" w:eastAsia="Arial" w:hAnsi="Arial"/>
          <w:sz w:val="18"/>
          <w:szCs w:val="18"/>
          <w:i w:val="1"/>
          <w:iCs w:val="1"/>
          <w:color w:val="auto"/>
        </w:rPr>
        <w:t>—</w:t>
      </w:r>
      <w:r>
        <w:rPr>
          <w:rFonts w:ascii="Arial" w:cs="Arial" w:eastAsia="Arial" w:hAnsi="Arial"/>
          <w:sz w:val="18"/>
          <w:szCs w:val="18"/>
          <w:color w:val="auto"/>
        </w:rPr>
        <w:t>Equity interests are accounted for pursuant to the equity method of accounting if the Company can</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influence the operating and financial policies of an investee. This is generally presumed to exist when ownership interest is between 20% and 50% of a corporation, or greater than 5% of a limited partnership or certain limited liability companies. The Company's periodic share of earnings and losses in equity method investees is included in "Earnings from equity method investments" in the consolidated statements of operations. When the Company's ownership position is too small to provide such influence, the cost method is used to account for the equity interest. Equity and cost method investments are included in "Other investments" on the Company's consolidated balance sheets.</w:t>
      </w:r>
    </w:p>
    <w:p>
      <w:pPr>
        <w:spacing w:after="0" w:line="2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 the extent that the Company contributes assets to an unconsolidated subsidiary, the Company’s investment in the subsidiary is recorded at the Company’s cost basis in the assets that were contributed to the unconsolidated subsidiary. To the extent that the Company’s cost basis is different from the basis reflected at the subsidiary level, when required, the basis difference is amortized over the life of the related assets and included in the Company’s share of equity in net income (loss) of the unconsolidated subsidiary, as appropriate. The Company recognizes gains on the contribution of real estate to unconsolidated subsidiaries, relating solely to the outside partner’s interest, to the extent the economic substance of the transaction is a sale. The Company recognizes a loss when it contributes property to an unconsolidated subsidiary and receives a disproportionately smaller interest in the subsidiary based on a comparison of the carrying amount of the property with the cash and other consideration contributed by the other investors.</w:t>
      </w:r>
    </w:p>
    <w:p>
      <w:pPr>
        <w:spacing w:after="0" w:line="23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are recorded in "Earnings from equity method investments" in the Company's consolidated statements of operations.</w:t>
      </w:r>
    </w:p>
    <w:p>
      <w:pPr>
        <w:spacing w:after="0" w:line="221"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color w:val="auto"/>
        </w:rPr>
        <w:t>Cash and cash equivalents include cash held in banks or invested in money market funds with original maturity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90 days.</w:t>
      </w:r>
    </w:p>
    <w:p>
      <w:pPr>
        <w:spacing w:after="0" w:line="21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i w:val="1"/>
          <w:iCs w:val="1"/>
          <w:color w:val="auto"/>
        </w:rPr>
        <w:t>—</w:t>
      </w:r>
      <w:r>
        <w:rPr>
          <w:rFonts w:ascii="Arial" w:cs="Arial" w:eastAsia="Arial" w:hAnsi="Arial"/>
          <w:sz w:val="18"/>
          <w:szCs w:val="18"/>
          <w:color w:val="auto"/>
        </w:rPr>
        <w:t>Restricted cash represents amounts required to be maintained under certain of the Company's debt obligations, loans, leasing, land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sale and derivative transactions. Restricted cash is included in "Deferred expenses and other assets, net" on the Company's consolidated balance sheets.</w:t>
      </w:r>
    </w:p>
    <w:p>
      <w:pPr>
        <w:spacing w:after="0" w:line="2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i w:val="1"/>
          <w:iCs w:val="1"/>
          <w:color w:val="auto"/>
        </w:rPr>
        <w:t>—</w:t>
      </w:r>
      <w:r>
        <w:rPr>
          <w:rFonts w:ascii="Arial" w:cs="Arial" w:eastAsia="Arial" w:hAnsi="Arial"/>
          <w:sz w:val="18"/>
          <w:szCs w:val="18"/>
          <w:color w:val="auto"/>
        </w:rPr>
        <w:t>The Company evaluates its investments and other contractual arrangements to determine if they constitute variable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2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investments in certain funds that meet the deferral criteria in Accounting Standards Update ("ASU") 2010-10 and will continue to assess consolidation of these entities under the overall guidance on the consolidation of VIEs in ASC 810-10. The consolidation evaluation is similar to the process noted above, except that the primary beneficiary is the party that will receive a majority of the VIE's anticipated losses, a majority of the VIE's expected residual returns, or both. 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 for entities that meet the deferral criteria, the Company reassesses its initial evaluation of the primary beneficiary and whether an entity is a VIE upon the occurrence of certain reconsideration events.</w:t>
      </w:r>
    </w:p>
    <w:p>
      <w:pPr>
        <w:spacing w:after="0" w:line="22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Deferred expenses</w:t>
      </w:r>
      <w:r>
        <w:rPr>
          <w:rFonts w:ascii="Arial" w:cs="Arial" w:eastAsia="Arial" w:hAnsi="Arial"/>
          <w:sz w:val="18"/>
          <w:szCs w:val="18"/>
          <w:i w:val="1"/>
          <w:iCs w:val="1"/>
          <w:color w:val="auto"/>
        </w:rPr>
        <w:t>—</w:t>
      </w:r>
      <w:r>
        <w:rPr>
          <w:rFonts w:ascii="Arial" w:cs="Arial" w:eastAsia="Arial" w:hAnsi="Arial"/>
          <w:sz w:val="18"/>
          <w:szCs w:val="18"/>
          <w:color w:val="auto"/>
        </w:rPr>
        <w:t>Deferred expenses include leasing costs and financing fees. Leasing costs include brokerage, legal and other costs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amortized over the life of the respective leases and presented as an operating activity in the Company's consolidated statements of cash flows. External fees and costs incurred to obtain long-term debt financing have been deferred and are amortized over the term of the respective borrowing using the effective interest method. Amortization of leasing costs is included in "Depreciation and amortization" and amortization of deferred financing fees is included in "Interest expense" in the Company's consolidated statements of operations.</w:t>
      </w:r>
    </w:p>
    <w:p>
      <w:pPr>
        <w:spacing w:after="0" w:line="2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color w:val="auto"/>
        </w:rPr>
        <w:t>Identified intangible assets and liabilities</w:t>
      </w:r>
      <w:r>
        <w:rPr>
          <w:rFonts w:ascii="Arial" w:cs="Arial" w:eastAsia="Arial" w:hAnsi="Arial"/>
          <w:sz w:val="17"/>
          <w:szCs w:val="17"/>
          <w:i w:val="1"/>
          <w:iCs w:val="1"/>
          <w:color w:val="auto"/>
        </w:rPr>
        <w:t>—</w:t>
      </w:r>
      <w:r>
        <w:rPr>
          <w:rFonts w:ascii="Arial" w:cs="Arial" w:eastAsia="Arial" w:hAnsi="Arial"/>
          <w:sz w:val="17"/>
          <w:szCs w:val="17"/>
          <w:color w:val="auto"/>
        </w:rPr>
        <w:t>Upon the acquisition of a business, the Company records intangible assets or liabilities acquired at their</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fair values and determines whether such intangible assets or liabilities have finite or indefinite lives. As of December 31, 2015, all such intangible assets and liabilities acquired by the Company have finite lives. Intangible assets are included in "Deferred expenses and other assets, net" and intangible liabilities are included in "Accounts payable, accrued expenses and other liabilities" on the Company's consolidated balance sheets. The Company amortizes finite lived intangible assets and liabilities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 assets are recorded in "Impairment of assets" in the Company's consolidated statements of operations.</w:t>
      </w:r>
    </w:p>
    <w:p>
      <w:pPr>
        <w:spacing w:after="0" w:line="93"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Loan participations payable, net</w:t>
      </w:r>
      <w:r>
        <w:rPr>
          <w:rFonts w:ascii="Arial" w:cs="Arial" w:eastAsia="Arial" w:hAnsi="Arial"/>
          <w:sz w:val="16"/>
          <w:szCs w:val="16"/>
          <w:i w:val="1"/>
          <w:iCs w:val="1"/>
          <w:color w:val="auto"/>
        </w:rPr>
        <w:t>—</w:t>
      </w:r>
      <w:r>
        <w:rPr>
          <w:rFonts w:ascii="Arial" w:cs="Arial" w:eastAsia="Arial" w:hAnsi="Arial"/>
          <w:sz w:val="16"/>
          <w:szCs w:val="16"/>
          <w:color w:val="auto"/>
        </w:rPr>
        <w:t>The Company accounts for transfers of financial assets under ASC Topic 860, “Transfers and Servicing”, as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or secured borrowings.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presented on the balance sheet as "Loan participations payable, net". Financial asset activities that are accounted for as sales are removed from the balance sheet with any realized gain (loss) reflected in earnings during the period of sale.</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i w:val="1"/>
          <w:iCs w:val="1"/>
          <w:color w:val="auto"/>
        </w:rPr>
        <w:t>—</w:t>
      </w:r>
      <w:r>
        <w:rPr>
          <w:rFonts w:ascii="Arial" w:cs="Arial" w:eastAsia="Arial" w:hAnsi="Arial"/>
          <w:sz w:val="18"/>
          <w:szCs w:val="18"/>
          <w:color w:val="auto"/>
        </w:rPr>
        <w:t>The Company's revenue recognition policies are as follows: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Operating lease income: </w:t>
      </w:r>
      <w:r>
        <w:rPr>
          <w:rFonts w:ascii="Arial" w:cs="Arial" w:eastAsia="Arial" w:hAnsi="Arial"/>
          <w:sz w:val="16"/>
          <w:szCs w:val="16"/>
          <w:color w:val="auto"/>
        </w:rPr>
        <w:t>The Company's leases have all been determined to be operating leases based on an analysis performed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ASC 840. Operating lease income is recognized on the straight-line method of accounting, generally from the later of the date the lessee takes possession of the space and it is ready for its intended use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2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in the Company's consolidated statements of operations. Revenue is also recorded from certain tenant leases that is contingent upon tenant sales exceeding defined thresholds. These rents are recognized only after the defined threshold has been met for the period.</w:t>
      </w:r>
    </w:p>
    <w:p>
      <w:pPr>
        <w:spacing w:after="0" w:line="2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 estimates losses within its operating lease income receivable and deferred operating lease income receivable balances as of the balance sheet date and incorporates an asset-specific component, as well as a general, formula-based reserve based on management's evaluation of the credit risks associated with these receivables. As of December 31, 2015 and 2014, the allowance for doubtful accounts related to real estate tenant receivables was $1.9 million and $1.3 million, respectively, and the allowance for doubtful accounts related to deferred operating lease income was $1.5 million and $2.4 million, respectively.</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on loans receivable is recognized on an accrual basis using the interest method.</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w:t>
      </w:r>
    </w:p>
    <w:p>
      <w:pPr>
        <w:sectPr>
          <w:pgSz w:w="11900" w:h="16838" w:orient="portrait"/>
          <w:cols w:equalWidth="0" w:num="1">
            <w:col w:w="11420"/>
          </w:cols>
          <w:pgMar w:left="240" w:top="122"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unamortized portion, which is included in "Other income" or "Other expense" in the Company's consolidated statements of operations.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a loan to be non-performing and places loans on non-accrual status at such time as: (1) the loan becomes 90 days delinquent;</w:t>
      </w:r>
    </w:p>
    <w:p>
      <w:pPr>
        <w:spacing w:after="0" w:line="46" w:lineRule="exact"/>
        <w:rPr>
          <w:sz w:val="20"/>
          <w:szCs w:val="20"/>
          <w:color w:val="auto"/>
        </w:rPr>
      </w:pPr>
    </w:p>
    <w:p>
      <w:pPr>
        <w:jc w:val="both"/>
        <w:ind w:firstLine="8"/>
        <w:spacing w:after="0" w:line="253" w:lineRule="auto"/>
        <w:tabs>
          <w:tab w:leader="none" w:pos="2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loan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 Non-accrual loans are returned to accrual status when a loan has become contractually current and management believes all amounts contractually owed will be received.</w:t>
      </w:r>
    </w:p>
    <w:p>
      <w:pPr>
        <w:spacing w:after="0" w:line="2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3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Prepayment penalties or yield maintenance payments from borrowers are recognized as other income when received. 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includes revenues from hotel operations, which are recognized when rooms are occupied and the related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Revenues include room sales, food and beverage sales, parking, telephone, spa services and gift shop sales. Other income also includes gains from sales of loans, loan prepayment fees, lease termination fees and other ancillary income.</w:t>
      </w:r>
    </w:p>
    <w:p>
      <w:pPr>
        <w:spacing w:after="0" w:line="2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Land development revenue and cost of sales: </w:t>
      </w:r>
      <w:r>
        <w:rPr>
          <w:rFonts w:ascii="Arial" w:cs="Arial" w:eastAsia="Arial" w:hAnsi="Arial"/>
          <w:sz w:val="16"/>
          <w:szCs w:val="16"/>
          <w:color w:val="auto"/>
        </w:rPr>
        <w:t>Land development revenue includes lot and parcel sales from wholly-owned properties and is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w:t>
      </w:r>
    </w:p>
    <w:p>
      <w:pPr>
        <w:spacing w:after="0" w:line="6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Reserve for loan losses</w:t>
      </w:r>
      <w:r>
        <w:rPr>
          <w:rFonts w:ascii="Arial" w:cs="Arial" w:eastAsia="Arial" w:hAnsi="Arial"/>
          <w:sz w:val="16"/>
          <w:szCs w:val="16"/>
          <w:i w:val="1"/>
          <w:iCs w:val="1"/>
          <w:color w:val="auto"/>
        </w:rPr>
        <w:t>—</w:t>
      </w:r>
      <w:r>
        <w:rPr>
          <w:rFonts w:ascii="Arial" w:cs="Arial" w:eastAsia="Arial" w:hAnsi="Arial"/>
          <w:sz w:val="16"/>
          <w:szCs w:val="16"/>
          <w:color w:val="auto"/>
        </w:rPr>
        <w:t>The reserve for loan losses reflects management's estimate of loan losses inherent in the loan portfolio as of the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date. If the Company determines that the collateral fair value less costs to sell is less than the carrying value of a collateral-dependent loan, the Company will record a reserve. The reserve is increased (decreased) through "Provision for (recovery of) loan losses" in the Company's consolidated statements of operations and is decreased by charge-offs. During delinquency and the foreclosure process, there are typically numerous points of negotiation with the borrower as the Company works toward a settlement or other alternative resolution, which can impact the potential for loan repayment or receipt of collateral. The Company's policy is to charge off a loan when it determines, based on a variety of factors, that all commercially reasonable means of recovering the loan balance have been exhausted. This may occur at different times, including when the Company receives cash or other assets in a pre-foreclosure sale or takes control of the underlying collateral in full satisfaction of the loan upon foreclosure or deed-in-lieu, or when the Company has otherwise ceased significant collection efforts. The Company considers circumstances such as the foregoing to be indicators that the final steps in the loan collection process have occurred and that a loan is uncollectible. At this point, a loss is confirmed and the loan and related reserve will be charged off. The Company has one portfolio segment, represented by commercial real estate lending, whereby it utilizes a uniform process for determining its reserve for loan losses. The reserve for loan losses includes a general, formula-based component and an asset-specific component.</w:t>
      </w:r>
    </w:p>
    <w:p>
      <w:pPr>
        <w:spacing w:after="0" w:line="13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the Company's quarterly loan portfolio assessment. During this assessment, the Company performs a comprehensive analysis of its loan portfolio and assigns risk ratings to loans that incorporate management's current judgments about their credit quality based on all known and relevant internal and external factors that may affect collectability. The Company considers,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loss rates based on historical realized losses experienced within its portfolio and takes into account current economic conditions affecting the commercial real estate market when establishing appropriate time frames to evaluate loss experience.</w:t>
      </w:r>
    </w:p>
    <w:p>
      <w:pPr>
        <w:spacing w:after="0" w:line="13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Substantially all of the Company's impaired loans are collateral dependent and impairment is measured using the estimated fair value of collateral, less costs to sell. The Company generally uses the income approach through internally developed valuation models to estimate the fair value of the collateral for such loans. In more limited cases, the Company obtains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1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loan is also considered impaired if its terms are modified in a troubled debt restructuring ("TDR"). A TDR occurs when the Company has granted a concession and the debtor is experiencing financial difficulties. Impairments on TDR loans are generally measured based on the present value of expected future cash flows discounted at the effective interest rate of the original loan.</w:t>
      </w:r>
    </w:p>
    <w:p>
      <w:pPr>
        <w:spacing w:after="0" w:line="13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Loss on debt extinguishments</w:t>
      </w:r>
      <w:r>
        <w:rPr>
          <w:rFonts w:ascii="Arial" w:cs="Arial" w:eastAsia="Arial" w:hAnsi="Arial"/>
          <w:sz w:val="18"/>
          <w:szCs w:val="18"/>
          <w:i w:val="1"/>
          <w:iCs w:val="1"/>
          <w:color w:val="auto"/>
        </w:rPr>
        <w:t>—</w:t>
      </w:r>
      <w:r>
        <w:rPr>
          <w:rFonts w:ascii="Arial" w:cs="Arial" w:eastAsia="Arial" w:hAnsi="Arial"/>
          <w:sz w:val="18"/>
          <w:szCs w:val="18"/>
          <w:color w:val="auto"/>
        </w:rPr>
        <w:t>The Company recognizes the difference between the reacquisition price of debt and the net carrying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extinguished debt currently in earnings. Such amounts may include prepayment penalties or the write-off of unamortized debt issuance costs, and are recorded in “Loss on early extinguishment of debt, net” in the Company's consolidated statements of operations.</w:t>
      </w:r>
    </w:p>
    <w:p>
      <w:pPr>
        <w:spacing w:after="0" w:line="27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 instruments and hedging activity</w:t>
      </w:r>
      <w:r>
        <w:rPr>
          <w:rFonts w:ascii="Arial" w:cs="Arial" w:eastAsia="Arial" w:hAnsi="Arial"/>
          <w:sz w:val="18"/>
          <w:szCs w:val="18"/>
          <w:i w:val="1"/>
          <w:iCs w:val="1"/>
          <w:color w:val="auto"/>
        </w:rPr>
        <w:t>—</w:t>
      </w:r>
      <w:r>
        <w:rPr>
          <w:rFonts w:ascii="Arial" w:cs="Arial" w:eastAsia="Arial" w:hAnsi="Arial"/>
          <w:sz w:val="18"/>
          <w:szCs w:val="18"/>
          <w:color w:val="auto"/>
        </w:rPr>
        <w:t>The Company's use of derivative financial instruments is primarily limited to the utilization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swaps, interest rate caps or other instruments to manage interest rate risk exposure and foreign exchange contracts to manage our risk to changes in foreign currencies.</w:t>
      </w:r>
    </w:p>
    <w:p>
      <w:pPr>
        <w:spacing w:after="0" w:line="2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derivatives as either assets or liabilities on the Company's consolidated balance sheets at 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Derivatives that are not designated hedges are considered economic hedges, with changes in fair value reported in current earnings in "Other expense" in the Company's consolidated statements of operations. The Company does not enter into derivatives for trading purposes.</w:t>
      </w:r>
    </w:p>
    <w:p>
      <w:pPr>
        <w:spacing w:after="0" w:line="22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i w:val="1"/>
          <w:iCs w:val="1"/>
          <w:color w:val="auto"/>
        </w:rPr>
        <w:t>—</w:t>
      </w:r>
      <w:r>
        <w:rPr>
          <w:rFonts w:ascii="Arial" w:cs="Arial" w:eastAsia="Arial" w:hAnsi="Arial"/>
          <w:sz w:val="16"/>
          <w:szCs w:val="16"/>
          <w:color w:val="auto"/>
        </w:rPr>
        <w:t>Compensation cost for stock-based awards is measured on the grant date and adjusted over the period of the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reflect (i) actual forfeitures and (ii) the outcome of awards with performance or service conditions through the requisite service period. The Company recognizes compensation cost for performance-based awards if and when the Company concludes that it is probable that the performance condition will be achieved. Compensation cost for market condition-based awards is determined using a Monte Carlo model to simulate a range of possible future stock prices for the Company's common stock, which is reflected in the grant date fair value. All compensation cost for market-condition based awards in which the service conditions are met is recognized regardless of whether the market condition is satisfied. Compensation costs are recognized ratably over the applicable vesting/service period and recorded in "General and administrative" in the Company's consolidated statements of operations.</w:t>
      </w:r>
    </w:p>
    <w:p>
      <w:pPr>
        <w:spacing w:after="0" w:line="21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i w:val="1"/>
          <w:iCs w:val="1"/>
          <w:color w:val="auto"/>
        </w:rPr>
        <w:t>—</w:t>
      </w:r>
      <w:r>
        <w:rPr>
          <w:rFonts w:ascii="Arial" w:cs="Arial" w:eastAsia="Arial" w:hAnsi="Arial"/>
          <w:sz w:val="18"/>
          <w:szCs w:val="18"/>
          <w:color w:val="auto"/>
        </w:rPr>
        <w:t>The Company has elected to be qualified and taxed as a REIT under section 856 through 860 of the Internal Revenue Code of 1986,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"Code"). The Company is subject to federal income taxation at corporate rates on its REIT taxable income; the Company, however, is allowed a deduction for the amount of dividends paid to its shareholders, thereby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subjecting the distributed net income of the Company to taxation at the shareholder level only. While the Company must distribute at least 90% of its taxable income to maintain its REIT status, the Company typically distributes all of its taxable income, if any, to eliminate any tax on undistributed taxable income. In addition, the Company is allowed several other deductions in computing its REIT taxable income, including non-cash items such as depreciation expense and certain specific reserve amounts that the Company deems to be uncollectable. These deductions allow the Company to reduce its dividend payout requirement under federal tax laws. The Company intends to operate in a manner consistent with, and its election to be treated as, a REIT for tax purposes. The Company made foreclosure elections for certain properties acquired through foreclosure, or an equivalent legal process, which allows the Company to operate these properties within the REIT, but subjects net income from these assets to corporate level tax. The carrying value of assets with foreclosure elections as of December 31, 2015 is $749.2 million.</w:t>
      </w:r>
    </w:p>
    <w:p>
      <w:pPr>
        <w:spacing w:after="0" w:line="2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2014, the Company had $856 million of REIT net operating loss ("NOL") carryforwards at the corporate REIT level, which can generally be used to offset both ordinary and capital taxable income in future years and will expire through 2034 if unused. The amount of NOL carryforwards as of December 31, 2015 will be subject to finalization of the Company's 2015 tax return. During the year ended December 31, 2015, the Company did not have REIT taxable income. The Company recognizes interest expense and penalties related to uncertain tax positions, if any, as "Income tax (expense) benefit" in the Company's consolidated statements of operations.</w:t>
      </w:r>
    </w:p>
    <w:p>
      <w:pPr>
        <w:spacing w:after="0" w:line="24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may participate in certain activities from which it would be otherwise precluded and maintain its qualification as a REIT. These activities are conducted in entities that elect to be treated as taxable subsidiaries under the Code, subject to certain limitations. As such, the Company, through its taxable REIT subsidiaries ("TRS"), is engaged in various real estate related opportunities, primarily related to managing activities related to certain foreclosed assets, as well as managing various investments in equity affiliates. As of December 31, 2015, $516.9 million of the Company's assets were owned by TRS entities. The Company's TRS entities are not consolidated for federal income tax purposes and are taxed as corporations. For financial reporting purposes, current and deferred taxes are provided for on the portion of earnings recognized by the Company with respect to its interest in TRS entities.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Company's TRS income tax (expense) benefit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tax (expense) benefit</w:t>
            </w:r>
          </w:p>
        </w:tc>
        <w:tc>
          <w:tcPr>
            <w:tcW w:w="8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(7,639)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2015, the Company's TRS entities generated taxable income of $17.0 million, which was partially offset by the utilization of NOL carryforwards, resulting in a current tax expense of $7.6 million. During the year ended December 31, 2014, the Company's TRS entities generated taxable income of $19.3 million, which was partially offset by the utilization of NOL carryforwards, resulting in current tax expense of $3.9 million. During the year ended December 31, 2013, the Company's TRS entities generated a taxable loss of $1.8 million, resulting in a current tax benefit of $0.7 million.</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cash paid for taxes for the years ended December 31, 2015, 2014 and 2013 was $8.4 million, $1.3 million and $9.2 million, respectively.</w:t>
      </w:r>
    </w:p>
    <w:p>
      <w:pPr>
        <w:spacing w:after="0" w:line="29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 of assets and liabilities for financial reporting purposes and the amounts for income tax purposes, as well as operating loss and tax credit carryforwards. The Company evaluates the realizability of its deferred tax assets and recognizes a valuation allowance if, based on the available evidence, both positive and negative, it is more likely than not that some portion or all of its deferred tax assets will not be realized. When evaluating the realizability of its deferred tax assets, the Company considers,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the Company to forecast its business and general economic environment in future periods. Based on an assessment of all factors, including historical losses and continued volatility of the activities within the TRS entities, it was determined that full valuation allowances were required on the net deferred tax assets as of December 31, 2015 and 2014, respectively. Changes in estimates of deferred tax asset realizability, if any, are included in "Income tax (expense) benefit" in the consolidated statements of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250"/>
        </w:trPr>
        <w:tc>
          <w:tcPr>
            <w:tcW w:w="5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2014</w:t>
            </w: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Deferred tax assets</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54,318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(54,318)</w:t>
            </w:r>
          </w:p>
        </w:tc>
      </w:tr>
      <w:tr>
        <w:trPr>
          <w:trHeight w:val="27"/>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-98425</wp:posOffset>
            </wp:positionV>
            <wp:extent cx="2023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both"/>
        <w:ind w:left="420" w:hanging="412"/>
        <w:spacing w:after="0" w:line="248"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Deferred tax assets as of December 31, 2015 include timing differences related primarily to asset basis of $40.0 million, deferred expenses and other items of $10.7 million and NOL carryforwards of $3.2 million. Deferred tax assets as of December 31, 2014 include timing differences related primarily to asset basis of $45.2 million, deferred expenses and other items of $5.0 million and NOL carryforwards of $4.1 million.</w:t>
      </w:r>
    </w:p>
    <w:p>
      <w:pPr>
        <w:spacing w:after="0" w:line="11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Earnings per share</w:t>
      </w:r>
      <w:r>
        <w:rPr>
          <w:rFonts w:ascii="Arial" w:cs="Arial" w:eastAsia="Arial" w:hAnsi="Arial"/>
          <w:sz w:val="17"/>
          <w:szCs w:val="17"/>
          <w:i w:val="1"/>
          <w:iCs w:val="1"/>
          <w:color w:val="auto"/>
        </w:rPr>
        <w:t>—</w:t>
      </w:r>
      <w:r>
        <w:rPr>
          <w:rFonts w:ascii="Arial" w:cs="Arial" w:eastAsia="Arial" w:hAnsi="Arial"/>
          <w:sz w:val="17"/>
          <w:szCs w:val="17"/>
          <w:color w:val="auto"/>
        </w:rPr>
        <w:t>The Company uses the two-class method in calculating earnings per share ("EPS") when it issues securities other than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that contractually entitle the holder to participate in dividends and earnings of the Company when, and if, the Company declares dividends on its common stock. Vested HPU shares were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2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(whether paid or unpaid) are deemed a "Participating Security" and are included in the computation of earnings per share pursuant to the two-class method. The Company's unvested common stock equivalents and restricted stock awards granted under its Long-Term Incentive Plans that are eligible to participate in dividends are considered Participating Securities and have been included in the two-class method when calculating EPS.</w:t>
      </w:r>
    </w:p>
    <w:p>
      <w:pPr>
        <w:spacing w:after="0" w:line="10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color w:val="auto"/>
        </w:rPr>
        <w:t>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In September 2015, the Financial Accounting Standards Board ("FASB") issued Accounting Standards Update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("ASU")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xml:space="preserve"> ("ASU 2015-16") which requires that an acquirer recognize adjustments to provisional amounts that are identified during the measurement period in the reporting period in which the adjustments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The amendments in ASU 2015-16 also require an entity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guidance is effective for interim and annual reporting periods beginning after December 15, 2015. Early adoption is permitted for financial statements that have not been issued. Management does not believe the guidance will have a material impact on the Company's consolidated financial statements.</w:t>
      </w:r>
    </w:p>
    <w:p>
      <w:pPr>
        <w:spacing w:after="0" w:line="14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 which requires debt issuance costs to be presented as a deduction from the carrying value of the related debt obligation in the balance sheet, which is consistent with the presentation of debt discounts. In August 2015, the FASB issued ASU 2015-15, </w:t>
      </w:r>
      <w:r>
        <w:rPr>
          <w:rFonts w:ascii="Arial" w:cs="Arial" w:eastAsia="Arial" w:hAnsi="Arial"/>
          <w:sz w:val="16"/>
          <w:szCs w:val="16"/>
          <w:i w:val="1"/>
          <w:iCs w:val="1"/>
          <w:color w:val="auto"/>
        </w:rPr>
        <w:t xml:space="preserve">Presentation and Subsequent Measurement of Debt Issuance Costs Associated with Line-of-Credit Arrangements, </w:t>
      </w:r>
      <w:r>
        <w:rPr>
          <w:rFonts w:ascii="Arial" w:cs="Arial" w:eastAsia="Arial" w:hAnsi="Arial"/>
          <w:sz w:val="16"/>
          <w:szCs w:val="16"/>
          <w:color w:val="auto"/>
        </w:rPr>
        <w:t>which clarified that ASU 2015-03 does not address issuance costs associated with revolving-debt arrangements and that it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for an entity deferring such costs to present such costs as an asset and subsequently amortize the costs ratably over the term of the revolving debt arrangement. The guidance is effective for interim and annual reporting periods beginning after December 15, 2015. Early adoption is permitted. Management does not believe the guidance will have a material impact on the Company's consolidated financial statements.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which updates the consolidation model for limited partnerships and similar legal entities. ASU 2015-02 includes the evaluation of fees paid to a decision maker as a variable interest and amends the effect of fee arrangements and related parties on the primary beneficiary determination. The guidance is effective for interim and annual reporting periods beginning after December 15, 2015. Early adoption is permitted. Management does not believe the guidance will have a material impact on the Company's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November 2014, the FASB issued ASU 2014-16, </w:t>
      </w:r>
      <w:r>
        <w:rPr>
          <w:rFonts w:ascii="Arial" w:cs="Arial" w:eastAsia="Arial" w:hAnsi="Arial"/>
          <w:sz w:val="18"/>
          <w:szCs w:val="18"/>
          <w:i w:val="1"/>
          <w:iCs w:val="1"/>
          <w:color w:val="auto"/>
        </w:rPr>
        <w:t>Determining Whether the Host Contract in a Hybrid Financial Instrument Issued in the Form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is More Akin to Debt or to Equity </w:t>
      </w:r>
      <w:r>
        <w:rPr>
          <w:rFonts w:ascii="Arial" w:cs="Arial" w:eastAsia="Arial" w:hAnsi="Arial"/>
          <w:sz w:val="18"/>
          <w:szCs w:val="18"/>
          <w:color w:val="auto"/>
        </w:rPr>
        <w:t>("ASU 2014-16") which eliminates the diversity in practice for the accounting for hybrid financial instruments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ASU 2014-16 is effective for interim and annual reporting periods beginning after December 15, 2015.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is effective for interim and annual reporting periods beginning after December 15, 2016.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June 2014, the FASB issued ASU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("ASU 2014-12") which requires a performance target that affects vesting and that could be achieved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the requisite service period be treated as a performance condition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ASU 2014-12 is effective for interim and annual reporting periods beginning after December 15, 2015. Early adoption is permitted. Management does not believe the guidance will have a material impact on the Company's consolidated financial statements.</w:t>
      </w:r>
    </w:p>
    <w:p>
      <w:pPr>
        <w:spacing w:after="0" w:line="13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existing industry-specific guidance, including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In August 2015, the FASB issued ASU 2015-14, </w:t>
      </w:r>
      <w:r>
        <w:rPr>
          <w:rFonts w:ascii="Arial" w:cs="Arial" w:eastAsia="Arial" w:hAnsi="Arial"/>
          <w:sz w:val="16"/>
          <w:szCs w:val="16"/>
          <w:i w:val="1"/>
          <w:iCs w:val="1"/>
          <w:color w:val="auto"/>
        </w:rPr>
        <w:t>Revenue from Contracts with Customers - Deferral of the Effective Date</w:t>
      </w:r>
      <w:r>
        <w:rPr>
          <w:rFonts w:ascii="Arial" w:cs="Arial" w:eastAsia="Arial" w:hAnsi="Arial"/>
          <w:sz w:val="16"/>
          <w:szCs w:val="16"/>
          <w:color w:val="auto"/>
        </w:rPr>
        <w:t>, to defer the effective date of ASU 2014-09 by one year. ASU 2014-09 is now effective for interim and annual reporting periods beginning after December 15, 2017. Early adoption is permitted beginning January 1, 2017. Management is evaluating the impact of the guidance on the Company's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Land and land improvements, at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306,172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133,275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439,447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1,611,094</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137,274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57"/>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618,778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 at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458,307</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1,240,593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578,013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1,818,606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(460,482)</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1,188,160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1,816,431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162,782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167,303</w:t>
            </w:r>
          </w:p>
        </w:tc>
        <w:tc>
          <w:tcPr>
            <w:tcW w:w="0" w:type="dxa"/>
            <w:vAlign w:val="bottom"/>
          </w:tcPr>
          <w:p>
            <w:pPr>
              <w:spacing w:after="0"/>
              <w:rPr>
                <w:sz w:val="1"/>
                <w:szCs w:val="1"/>
                <w:color w:val="auto"/>
              </w:rPr>
            </w:pPr>
          </w:p>
        </w:tc>
      </w:tr>
      <w:tr>
        <w:trPr>
          <w:trHeight w:val="250"/>
        </w:trPr>
        <w:tc>
          <w:tcPr>
            <w:tcW w:w="518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1,192,681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791,053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1,983,734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8890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-98425</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420" w:hanging="412"/>
        <w:spacing w:after="0"/>
        <w:tabs>
          <w:tab w:leader="none" w:pos="4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As of December 31, 2015 and 2014 the Company had $137.3 million and $155.8 million, respectively, of residential properties available for sale in its operating properties portfolio.</w:t>
      </w:r>
    </w:p>
    <w:p>
      <w:pPr>
        <w:spacing w:after="0" w:line="21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During the year ended December 31, 2015, the Company transferred net lease assets with a carrying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$8.2 million to held for sale due to executed contracts with third parties.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2015, the Company transferred a commercial operating property held for sale with a carrying value of $2.9 million to held for investment due to a change in business strategy.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 ended December 31, 2014, the Company transferred units with a carrying value of $56.7 million to held for sale due to the conversion of hotel rooms to residential units to be sold. The Company also transferred net lease assets with a carrying value of $4.0 million to held for sale due to executed contracts with third parties.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Acquisitions—</w:t>
      </w:r>
      <w:r>
        <w:rPr>
          <w:rFonts w:ascii="Arial" w:cs="Arial" w:eastAsia="Arial" w:hAnsi="Arial"/>
          <w:sz w:val="16"/>
          <w:szCs w:val="16"/>
          <w:color w:val="auto"/>
        </w:rPr>
        <w:t>The following acquisitions of real estate were reflected in the Company's consolidated statements of cash flows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9"/>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2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(2)</w:t>
            </w: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of real estate assets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102,364</w:t>
            </w:r>
          </w:p>
        </w:tc>
      </w:tr>
      <w:tr>
        <w:trPr>
          <w:trHeight w:val="155"/>
        </w:trPr>
        <w:tc>
          <w:tcPr>
            <w:tcW w:w="20" w:type="dxa"/>
            <w:vAlign w:val="bottom"/>
          </w:tcPr>
          <w:p>
            <w:pPr>
              <w:spacing w:after="0"/>
              <w:rPr>
                <w:sz w:val="13"/>
                <w:szCs w:val="13"/>
                <w:color w:val="auto"/>
              </w:rPr>
            </w:pPr>
          </w:p>
        </w:tc>
        <w:tc>
          <w:tcPr>
            <w:tcW w:w="5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year ended December 31, 2014, the Company purchased two condominium units for $3.0 million and one land parcel for $1.7 million.</w:t>
      </w:r>
    </w:p>
    <w:p>
      <w:pPr>
        <w:spacing w:after="0" w:line="1" w:lineRule="exact"/>
        <w:rPr>
          <w:rFonts w:ascii="Arial" w:cs="Arial" w:eastAsia="Arial" w:hAnsi="Arial"/>
          <w:sz w:val="14"/>
          <w:szCs w:val="14"/>
          <w:color w:val="auto"/>
        </w:rPr>
      </w:pPr>
    </w:p>
    <w:p>
      <w:pPr>
        <w:jc w:val="both"/>
        <w:ind w:left="420" w:hanging="412"/>
        <w:spacing w:after="0" w:line="245"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year ended December 31, 2013, the Company acquired a net lease asset for a purchase price of $93.6 million, including intangible assets of $36.1 million, intangible liabilities of $11.9 million and acquisition-related costs of $0.2 million, which was leased back to the seller. The Company concluded that the transaction was a real estate asset acquisition and capitalized the acquisition-related costs. The intangible assets were included in "Deferred expenses and other assets, net" and the intangible liabilities were included in "Accounts payable, accrued expenses and other liabilities" on the Company's consolidated balance sheets. The lease was classified as an operating lease. During the year ended December 31, 2014, the net lease asset was sold to the Net Lease Venture for net proceeds of $93.7 million, which approximated carrying value.</w:t>
      </w:r>
    </w:p>
    <w:p>
      <w:pPr>
        <w:spacing w:after="0" w:line="143"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During the year ended December 31, 2015, the Company acquired, via deed-in-lieu, title to a residential property, which had a total fair value of $13.4 million and previously served as collateral for loans receivable held by the Company. No gain or loss was recorded in connection with this transaction.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year ended December 31, 2014, the Company acquired, via deed-in-lieu, title to three commercial operating properties which had a total fair value of $72.4 million and previously served as collateral for loans receivable held by the Company. No gain or loss was recorded in connection with these transactions. The following unaudited table summarizes the Company's pro forma revenues and net income for the years ended December 31, 2014 and 2013, as if the acquisition of the properties acquired during the year ended December 31, 2014 was completed on January 1, 2013 ($ in thousands):</w:t>
      </w:r>
    </w:p>
    <w:p>
      <w:pPr>
        <w:spacing w:after="0" w:line="92"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13335</wp:posOffset>
            </wp:positionV>
            <wp:extent cx="2804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2013</w:t>
            </w:r>
          </w:p>
        </w:tc>
      </w:tr>
      <w:tr>
        <w:trPr>
          <w:trHeight w:val="250"/>
        </w:trPr>
        <w:tc>
          <w:tcPr>
            <w:tcW w:w="4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rPr>
              <w:t>(unaudited)</w:t>
            </w: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Pro forma total revenues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466,327</w:t>
            </w:r>
          </w:p>
        </w:tc>
        <w:tc>
          <w:tcPr>
            <w:tcW w:w="15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399,885</w:t>
            </w:r>
          </w:p>
        </w:tc>
      </w:tr>
      <w:tr>
        <w:trPr>
          <w:trHeight w:val="27"/>
        </w:trPr>
        <w:tc>
          <w:tcPr>
            <w:tcW w:w="4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 forma net income (loss)</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1540" w:type="dxa"/>
            <w:vAlign w:val="bottom"/>
            <w:shd w:val="clear" w:color="auto" w:fill="CCEEFF"/>
          </w:tcPr>
          <w:p>
            <w:pPr>
              <w:jc w:val="right"/>
              <w:ind w:right="736"/>
              <w:spacing w:after="0"/>
              <w:rPr>
                <w:sz w:val="20"/>
                <w:szCs w:val="20"/>
                <w:color w:val="auto"/>
              </w:rPr>
            </w:pPr>
            <w:r>
              <w:rPr>
                <w:rFonts w:ascii="Arial" w:cs="Arial" w:eastAsia="Arial" w:hAnsi="Arial"/>
                <w:sz w:val="14"/>
                <w:szCs w:val="14"/>
                <w:color w:val="auto"/>
                <w:w w:val="95"/>
              </w:rPr>
              <w:t>(as revised)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(112,355)</w:t>
            </w: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the date of acquisition in May 2014 through December 31, 2014, $8.3 million in total revenues and $2.9 million in net loss of the acquiree are included in the Company’s consolidated statements of operations. The pro forma revenues and net income are presented for informational purposes only and may not be indicative of what the actual results of operations of the Company would have been assuming the transaction occurred on January 1, 2013, nor do they purport to represent the Company’s results of operations for future periods.</w:t>
      </w:r>
    </w:p>
    <w:p>
      <w:pPr>
        <w:spacing w:after="0" w:line="1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2013, the Company acquired, via foreclosure, title to a residential operating property which previously served as collateral for loans receivable held by the Company. The Company contributed the residential operating property, which had a fair value of $25.5 million, to an entity of which it owns 63%. Based on the control provisions in the partnership agreement, the Company consolidates the entity and reflects its partner's 37% share of equity in "Noncontrolling interests" on the Company's consolidated balance sheets. The acquisition was accounted for at fair value. No gain or loss was recorded in connection with this transaction.</w:t>
      </w:r>
    </w:p>
    <w:p>
      <w:pPr>
        <w:spacing w:after="0" w:line="1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years ended December 31, 2015, 2014 and 2013, the Company sold residential condominiums for total net proceeds of</w:t>
      </w:r>
      <w:r>
        <w:rPr>
          <w:rFonts w:ascii="Arial" w:cs="Arial" w:eastAsia="Arial" w:hAnsi="Arial"/>
          <w:sz w:val="18"/>
          <w:szCs w:val="18"/>
          <w:b w:val="1"/>
          <w:bCs w:val="1"/>
          <w:color w:val="auto"/>
        </w:rPr>
        <w:t xml:space="preserve"> </w:t>
      </w:r>
      <w:r>
        <w:rPr>
          <w:rFonts w:ascii="Arial" w:cs="Arial" w:eastAsia="Arial" w:hAnsi="Arial"/>
          <w:sz w:val="18"/>
          <w:szCs w:val="18"/>
          <w:color w:val="auto"/>
        </w:rPr>
        <w:t>$127.9 million, $236.2 million and $269.7 million, respectively, and recorded income from sales of real estate totaling $40.1 million, $79.1 million and $82.6 million, respectively.</w:t>
      </w:r>
    </w:p>
    <w:p>
      <w:pPr>
        <w:spacing w:after="0" w:line="14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2015, the Company sold net lease assets with a carrying value of $60.8 million resulting in a net gain of $40.1 million.</w:t>
      </w:r>
    </w:p>
    <w:p>
      <w:pPr>
        <w:spacing w:after="0" w:line="13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year ended December 31, 2015, the Company sold a commercial operating property for $68.5 million to a newly formed unconsolidated entity in which the Company owns a 50.0% equity interest (refer to Note 7). The Company recognized a gain on sale of $13.6 million, reflecting the Company's share of the interest sold, which was recorded as "Income from sales of real estate" in the Company's consolidated statements of operations.</w:t>
      </w:r>
    </w:p>
    <w:p>
      <w:pPr>
        <w:spacing w:after="0" w:line="10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the year ended December 31, 2015, the Company, through a consolidated entity, sold a leasehold interest in a commercial operating property for net proceeds of $93.5 million and simultaneously entered into a ground lease with an initial term of 99 years. In connection with this transaction, the Company recorded a lease incentive asset of $38.1 million, which is included in "Deferred expenses and other assets, net" on the Company's consolidated balance sheets, and deferred a gain of $5.3 million, which is included in "Accounts payable, accrued expenses and other liabilities" on the Company's consolidated balance sheets. In December 2015, the Company acquired the noncontrolling interest in the entity for $6.4 million.</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2015, the Company sold three commercial operating properties with an aggregate carrying value of $5.3 million for net proceeds that approximated carrying value.</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year ended December 31, 2014, the Company sold net lease assets with a carrying value of $8.0 million resulting in a gain of $6.2 million. The Company also sold a commercial operating property with a carrying value of $29.4 million resulting in a gain of $4.6 million. These gains were recorded as "Income from sales of real estate" in the Company's consolidated statements of operations. Additionally, during the same period, the Company sold a net lease asset for net proceeds of $7.8 million. The Company recorded an impairment loss of $3.0 million in connection with the sale.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the year ended December 31, 2014, the Company sold its 72% interest in a previously consolidated entity, which owned a net lease asset subject to a non-recourse mortgage of $26.0 million at the time of sale, to the Net Lease Venture for net proceeds of $10.1 million that approximated carrying value.</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Additionally, during the year ended December 31, 2013, the Company sold five net lease assets with a carrying value of $18.7 million resulting in a net gain of $2.2 million. During the same period, the Company sold six commercial operating properties with a carrying value of $72.6 million resulting in a net gain of $18.6 million. These gains were recorded as "Gain from discontinued operations" in the Company's consolidated statements of operations. The Company also sold residential lots with a carrying value of $18.9 million for proceeds that approximated carrying value and sold other land assets with a carrying value of $14.8 million resulting in a gain of $0.6 million.</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During the year ended December 31, 2013, the Company sold land for net proceeds of $21.4 million to a newly formed entity in which the Company also received a preferred partnership interest and a 47.5% equity interest. The Company recognized a gain of $3.4 million, reflecting the proportionate share of the sold interest, which was recorded as “Income from sales of real estate” in the Company’s consolidated statements of operations.</w:t>
      </w:r>
    </w:p>
    <w:p>
      <w:pPr>
        <w:spacing w:after="0" w:line="143"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Discontinued Operations—</w:t>
      </w:r>
      <w:r>
        <w:rPr>
          <w:rFonts w:ascii="Arial" w:cs="Arial" w:eastAsia="Arial" w:hAnsi="Arial"/>
          <w:sz w:val="16"/>
          <w:szCs w:val="16"/>
          <w:color w:val="auto"/>
        </w:rPr>
        <w:t>The Company has elected to early adopt ASU 2014-08 beginning with disposals and classifications of assets as held for</w:t>
      </w:r>
      <w:r>
        <w:rPr>
          <w:rFonts w:ascii="Arial" w:cs="Arial" w:eastAsia="Arial" w:hAnsi="Arial"/>
          <w:sz w:val="16"/>
          <w:szCs w:val="16"/>
          <w:b w:val="1"/>
          <w:bCs w:val="1"/>
          <w:color w:val="auto"/>
        </w:rPr>
        <w:t xml:space="preserve"> </w:t>
      </w:r>
      <w:r>
        <w:rPr>
          <w:rFonts w:ascii="Arial" w:cs="Arial" w:eastAsia="Arial" w:hAnsi="Arial"/>
          <w:sz w:val="16"/>
          <w:szCs w:val="16"/>
          <w:color w:val="auto"/>
        </w:rPr>
        <w:t>sale that occurred after December 31, 2013. During the years ended December 31, 2015 and 2014, there were no disposals or assets classified as held for sale which were individually significant or represented a strategic shift that has (or will have) a major effect on the Company's operations and financial results.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income (loss) from discontinued operations for the year ended December 31, 2013 ($ in thousands):</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27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8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8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57"/>
        </w:trPr>
        <w:tc>
          <w:tcPr>
            <w:tcW w:w="52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Impairments—</w:t>
      </w:r>
      <w:r>
        <w:rPr>
          <w:rFonts w:ascii="Arial" w:cs="Arial" w:eastAsia="Arial" w:hAnsi="Arial"/>
          <w:sz w:val="17"/>
          <w:szCs w:val="17"/>
          <w:color w:val="auto"/>
        </w:rPr>
        <w:t>During the year ended December 31, 2015, 2014 and 2013, the Company recorded impairments on real estate assets totaling $5.9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$11.8 million and $13.6 million, respectively. The impairments recorded in 2015 resulted from a change in business strategy for two commercial operating properties and unfavorable local market conditions for one residential property. The impairments recorded in 2014 resulted from changes in business strategy for a residential property, unfavorable local market conditions for two real estate properties and from the sale of net lease assets. The impairments recorded in 2013 resulted from changes in local market conditions and business strategy for certain assets. For the year ended December 31, 2013, $1.8 million has been recorded in "Income (loss) from discontinued operations" in the Company's consolidated statements of operations due to the assets being sold as of December 31, 2013 (see above).</w:t>
      </w:r>
    </w:p>
    <w:p>
      <w:pPr>
        <w:spacing w:after="0" w:line="172"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$26.8 million, $30.0 million and $31.8 million for the years ended December 31, 2015, 2014 and 2013, respectively. These amounts are included in "Operating lease income" in the Company's consolidated statements of operations.</w:t>
      </w:r>
    </w:p>
    <w:p>
      <w:pPr>
        <w:spacing w:after="0" w:line="180"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Redeemable Noncontrolling Interest—</w:t>
      </w:r>
      <w:r>
        <w:rPr>
          <w:rFonts w:ascii="Arial" w:cs="Arial" w:eastAsia="Arial" w:hAnsi="Arial"/>
          <w:sz w:val="16"/>
          <w:szCs w:val="16"/>
          <w:color w:val="auto"/>
        </w:rPr>
        <w:t>As of December 31, 2015 and December 31, 2014, the Company had a redeemable noncontrolling interest of</w:t>
      </w:r>
      <w:r>
        <w:rPr>
          <w:rFonts w:ascii="Arial" w:cs="Arial" w:eastAsia="Arial" w:hAnsi="Arial"/>
          <w:sz w:val="16"/>
          <w:szCs w:val="16"/>
          <w:b w:val="1"/>
          <w:bCs w:val="1"/>
          <w:color w:val="auto"/>
        </w:rPr>
        <w:t xml:space="preserve"> </w:t>
      </w:r>
      <w:r>
        <w:rPr>
          <w:rFonts w:ascii="Arial" w:cs="Arial" w:eastAsia="Arial" w:hAnsi="Arial"/>
          <w:sz w:val="16"/>
          <w:szCs w:val="16"/>
          <w:color w:val="auto"/>
        </w:rPr>
        <w:t>$7.2 million and $9.9 million, respectively, which is not currently redeemable, for which the Company records changes in the fair value over the redemption periods. As of December 31, 2015 and December 31, 2014, this interest had an estimated redemption value of $9.2 million and $23.6 million, respectively.</w:t>
      </w:r>
    </w:p>
    <w:p>
      <w:pPr>
        <w:spacing w:after="0" w:line="14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December 31, 2015 and December 31, 2014, the allowance for doubtful accounts related to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receivables was $1.9 million and $1.3 million, respectively, and the allowance for doubtful accounts related to deferred operating lease income was $1.5 million and $2.4 million, respectively. These amounts are included in "Accrued interest and operating lease income receivable, net" and "Deferred operating lease income receivable, net", respectively, on the Company's consolidated balance sheets.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Minimum Operating Lease Payments—</w:t>
      </w:r>
      <w:r>
        <w:rPr>
          <w:rFonts w:ascii="Arial" w:cs="Arial" w:eastAsia="Arial" w:hAnsi="Arial"/>
          <w:sz w:val="18"/>
          <w:szCs w:val="18"/>
          <w:color w:val="auto"/>
        </w:rPr>
        <w:t>Future minimum operating lease payments to be collected under non-cancelable leases,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reimbursements of expenses, in effect as of December 31, 2015, are as follows ($ in thousands):</w:t>
      </w:r>
    </w:p>
    <w:p>
      <w:pPr>
        <w:spacing w:after="0" w:line="171"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Lease Assets</w:t>
            </w:r>
          </w:p>
        </w:tc>
        <w:tc>
          <w:tcPr>
            <w:tcW w:w="180" w:type="dxa"/>
            <w:vAlign w:val="bottom"/>
          </w:tcPr>
          <w:p>
            <w:pPr>
              <w:spacing w:after="0"/>
              <w:rPr>
                <w:sz w:val="16"/>
                <w:szCs w:val="16"/>
                <w:color w:val="auto"/>
              </w:rPr>
            </w:pPr>
          </w:p>
        </w:tc>
        <w:tc>
          <w:tcPr>
            <w:tcW w:w="162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Operating Properties</w:t>
            </w:r>
          </w:p>
        </w:tc>
      </w:tr>
      <w:tr>
        <w:trPr>
          <w:trHeight w:val="250"/>
        </w:trPr>
        <w:tc>
          <w:tcPr>
            <w:tcW w:w="2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46,438</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46,358</w:t>
            </w: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42,010</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113,969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37,990</w:t>
            </w: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34,281</w:t>
            </w:r>
          </w:p>
        </w:tc>
      </w:tr>
      <w:tr>
        <w:trPr>
          <w:trHeight w:val="27"/>
        </w:trPr>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8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As of December 31,</w:t>
      </w:r>
    </w:p>
    <w:p>
      <w:pPr>
        <w:spacing w:after="0" w:line="25" w:lineRule="exact"/>
        <w:rPr>
          <w:sz w:val="20"/>
          <w:szCs w:val="20"/>
          <w:color w:val="auto"/>
        </w:rPr>
      </w:pPr>
    </w:p>
    <w:tbl>
      <w:tblPr>
        <w:tblLayout w:type="fixed"/>
        <w:tblInd w:w="1560" w:type="dxa"/>
        <w:tblCellMar>
          <w:top w:w="0" w:type="dxa"/>
          <w:left w:w="0" w:type="dxa"/>
          <w:bottom w:w="0" w:type="dxa"/>
          <w:right w:w="0" w:type="dxa"/>
        </w:tblCellMar>
      </w:tblPr>
      <w:tr>
        <w:trPr>
          <w:trHeight w:val="270"/>
        </w:trPr>
        <w:tc>
          <w:tcPr>
            <w:tcW w:w="52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Land and land improvements, at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1,007,995</w:t>
            </w:r>
          </w:p>
        </w:tc>
        <w:tc>
          <w:tcPr>
            <w:tcW w:w="1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987,329</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r>
      <w:tr>
        <w:trPr>
          <w:trHeight w:val="257"/>
        </w:trPr>
        <w:tc>
          <w:tcPr>
            <w:tcW w:w="5240" w:type="dxa"/>
            <w:vAlign w:val="bottom"/>
          </w:tcPr>
          <w:p>
            <w:pPr>
              <w:ind w:left="20"/>
              <w:spacing w:after="0"/>
              <w:rPr>
                <w:sz w:val="20"/>
                <w:szCs w:val="20"/>
                <w:color w:val="auto"/>
              </w:rPr>
            </w:pPr>
            <w:r>
              <w:rPr>
                <w:rFonts w:ascii="Arial" w:cs="Arial" w:eastAsia="Arial" w:hAnsi="Arial"/>
                <w:sz w:val="18"/>
                <w:szCs w:val="18"/>
                <w:color w:val="auto"/>
              </w:rPr>
              <w:t>Total land and development</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1,001,963</w:t>
            </w:r>
          </w:p>
        </w:tc>
        <w:tc>
          <w:tcPr>
            <w:tcW w:w="1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978,962</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year ended December 31, 2014, the Company acquired, via deed-in-lieu, title to a land asset that previously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for loans receivable. The fair value of the land asset was $5.5 million.</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year ended December 31, 2013, the Company acquired, via foreclosure, title to two land properties, which previously served as collateral for loans receivable held by the Company. The total fair value of the land properties was $15.6 million.</w:t>
      </w:r>
    </w:p>
    <w:p>
      <w:pPr>
        <w:spacing w:after="0" w:line="166"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Dispositions—</w:t>
      </w:r>
      <w:r>
        <w:rPr>
          <w:rFonts w:ascii="Arial" w:cs="Arial" w:eastAsia="Arial" w:hAnsi="Arial"/>
          <w:sz w:val="16"/>
          <w:szCs w:val="16"/>
          <w:color w:val="auto"/>
        </w:rPr>
        <w:t>For the years ended December 31, 2015 and 2014, the Company sold residential lots and parcels and recognized land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$100.2 million and $15.2 million, respectively, from its land and development portfolio. For the years ended December 31, 2015 and 2014, the Company recognized land development cost of sales of $67.4 million and $12.8 million, respectively, from its land and development portfolio.</w:t>
      </w:r>
    </w:p>
    <w:p>
      <w:pPr>
        <w:spacing w:after="0" w:line="1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2015, the Company sold a land and development asset and recorded $36.9 million in land development revenue in the Company's consolidated statements of operations. In connection with the sale, the Company recorded a receivable for additional proceeds that it will receive from the buyer subject to the Company's completion of certain easement agreements resulting in deferred net revenue of $6.0 million. The receivable is included in "Deferred expenses and other assets, net" and the deferred revenue is included in "Accounts payable, accrued expenses and other liabilities" on the Company's consolidated balance sheets.</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2015, the Company sold a land and development asset and recorded $25.9 million in land development revenue in the Company's consolidated statements of operations. In addition, the Company provided financing to the buyer in the form of a loan with a fair value of $16.7 million. The loan is included in "Loans receivable and other lending investments, net" on the Company's consolidated balance sheets.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2015, the Company transferred a land asset to a purchaser at a stated price of $16.1 million, as part of an agreement to construct an amphitheater, for which the Company received proceeds of $5.3 million, with the remainder to be received upon completion of the development project. Due to the Company's continuing involvement in the project, no sale was recognized and the proceeds were recorded in "Accounts payable, accrued expenses and other liabilities" on the Company's consolidated balance sheets (refer to Note 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 ended December 31, 2014, the Company also sold land and development assets with a carrying value of $6.8 million for proceeds that approximated carrying value. During the same period, the Company contributed land with a carrying value of $9.5 million to a newly formed unconsolidated entity (refer to Note 7).</w:t>
      </w:r>
    </w:p>
    <w:p>
      <w:pPr>
        <w:spacing w:after="0" w:line="14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year ended December 31, 2013, the Company contributed land with carrying value of $24.1 million to a newly formed unconsolidated entity in which the Company received an equity interest of 75.6%. As a result of the transfer, the Company recognized a $7.4 million loss, which was recorded as “Loss on transfer of interest to unconsolidated subsidiary” on the Company’s consolidated statements of operations.</w:t>
      </w:r>
    </w:p>
    <w:p>
      <w:pPr>
        <w:spacing w:after="0" w:line="162"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years ended December 31, 2015, 2014 and 2013, the Company recorded impairments on land and development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$4.6 million, $22.8 million and $0.7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Type of Investment</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975,915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737,535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643,270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497,796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28,676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53,331</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1,647,861</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1,288,662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1,539,696</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1,190,172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62,289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187,671</w:t>
            </w:r>
          </w:p>
        </w:tc>
        <w:tc>
          <w:tcPr>
            <w:tcW w:w="0" w:type="dxa"/>
            <w:vAlign w:val="bottom"/>
          </w:tcPr>
          <w:p>
            <w:pPr>
              <w:spacing w:after="0"/>
              <w:rPr>
                <w:sz w:val="1"/>
                <w:szCs w:val="1"/>
                <w:color w:val="auto"/>
              </w:rPr>
            </w:pPr>
          </w:p>
        </w:tc>
      </w:tr>
      <w:tr>
        <w:trPr>
          <w:trHeight w:val="264"/>
        </w:trPr>
        <w:tc>
          <w:tcPr>
            <w:tcW w:w="7660" w:type="dxa"/>
            <w:vAlign w:val="bottom"/>
          </w:tcPr>
          <w:p>
            <w:pPr>
              <w:ind w:left="180"/>
              <w:spacing w:after="0" w:line="264" w:lineRule="exact"/>
              <w:rPr>
                <w:sz w:val="20"/>
                <w:szCs w:val="20"/>
                <w:color w:val="auto"/>
              </w:rPr>
            </w:pPr>
            <w:r>
              <w:rPr>
                <w:rFonts w:ascii="Arial" w:cs="Arial" w:eastAsia="Arial" w:hAnsi="Arial"/>
                <w:sz w:val="18"/>
                <w:szCs w:val="18"/>
                <w:color w:val="auto"/>
              </w:rPr>
              <w:t>Total loans receivable and other lending investments, net</w:t>
            </w:r>
            <w:r>
              <w:rPr>
                <w:rFonts w:ascii="Arial" w:cs="Arial" w:eastAsia="Arial" w:hAnsi="Arial"/>
                <w:sz w:val="25"/>
                <w:szCs w:val="25"/>
                <w:color w:val="auto"/>
                <w:vertAlign w:val="superscript"/>
              </w:rPr>
              <w:t>(1)</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1,601,985</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1,377,843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Company's recorded investment in loans as of December 31, 2015 and 2014 includes accrued interest of $9.0 million and $7.0 million, respectively, which are included in "Accrued interest and operating lease income receivable, net" on the Company's consolidated balance sheets.</w:t>
      </w:r>
    </w:p>
    <w:p>
      <w:pPr>
        <w:spacing w:after="0" w:line="13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June 2015, the Company received a loan with a fair value of $146.7 million as a non-cash paydown on an existing $196.6 million loan and reduced the principal balance by the same amount. The loan received has been recorded as a loan receivable and is included in "Loans receivable and other lending investments, net" on the Company’s consolidated balance sheet. In connection with the transaction, the Company recorded a provision for loan losses of $25.9 million on the original loan resulting in a remaining balance of $24.0 million. In October 2015, the Company received full payment of the remaining balance.</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2015, the Company sold a loan with a carrying value of $5.5 million. No gain was recorded on the sale. During the years ended December 31, 2014 and 2013, the Company sold loans with aggregate carrying values of $30.8 million and $95.1 million, respectively, which resulted in gains (losses) of $19.1 million and $(0.6) million, respectively. Gains and losses on sales of loans are included in "Other income" in the Company's consolidated statements of operations.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Provision for (recovery of) loan losses</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36,567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(152,784)</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98,490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years ended December 31, 2015, 2014 and 2013, the provision for loan losses includes recoveries of previously recorded loan loss reserves of $0.6 million, $10.1 million and $63.1 million,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Individually</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Collectively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Impairment</w:t>
            </w:r>
            <w:r>
              <w:rPr>
                <w:rFonts w:ascii="Arial" w:cs="Arial" w:eastAsia="Arial" w:hAnsi="Arial"/>
                <w:sz w:val="8"/>
                <w:szCs w:val="8"/>
                <w:b w:val="1"/>
                <w:bCs w:val="1"/>
                <w:color w:val="auto"/>
                <w:w w:val="98"/>
              </w:rPr>
              <w:t>(1)</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Impairment</w:t>
            </w:r>
            <w:r>
              <w:rPr>
                <w:rFonts w:ascii="Arial" w:cs="Arial" w:eastAsia="Arial" w:hAnsi="Arial"/>
                <w:sz w:val="8"/>
                <w:szCs w:val="8"/>
                <w:b w:val="1"/>
                <w:bCs w:val="1"/>
                <w:color w:val="auto"/>
              </w:rPr>
              <w:t>(2)</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132,492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1,524,347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60,327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1,488,347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1,548,674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139,672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1,156,031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1,295,703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50"/>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74,682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1,122,531</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$0.2 million and $0.2 million as of December 31, 2015 and 2014,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$8.2 million and $10.6 million as of December 31, 2015 and 2014, respectively.</w:t>
      </w:r>
    </w:p>
    <w:p>
      <w:pPr>
        <w:spacing w:after="0" w:line="18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120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853,595</w:t>
            </w:r>
          </w:p>
        </w:tc>
        <w:tc>
          <w:tcPr>
            <w:tcW w:w="15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611,009</w:t>
            </w:r>
          </w:p>
        </w:tc>
        <w:tc>
          <w:tcPr>
            <w:tcW w:w="1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641,713</w:t>
            </w:r>
          </w:p>
        </w:tc>
        <w:tc>
          <w:tcPr>
            <w:tcW w:w="1580" w:type="dxa"/>
            <w:vAlign w:val="bottom"/>
            <w:gridSpan w:val="3"/>
          </w:tcPr>
          <w:p>
            <w:pPr>
              <w:jc w:val="right"/>
              <w:ind w:right="28"/>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501,620</w:t>
            </w:r>
          </w:p>
        </w:tc>
        <w:tc>
          <w:tcPr>
            <w:tcW w:w="1560" w:type="dxa"/>
            <w:vAlign w:val="bottom"/>
            <w:gridSpan w:val="3"/>
          </w:tcPr>
          <w:p>
            <w:pPr>
              <w:jc w:val="right"/>
              <w:ind w:right="28"/>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29,039</w:t>
            </w:r>
          </w:p>
        </w:tc>
        <w:tc>
          <w:tcPr>
            <w:tcW w:w="15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53,836</w:t>
            </w:r>
          </w:p>
        </w:tc>
        <w:tc>
          <w:tcPr>
            <w:tcW w:w="1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57"/>
        </w:trPr>
        <w:tc>
          <w:tcPr>
            <w:tcW w:w="562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1,524,347</w:t>
            </w:r>
          </w:p>
        </w:tc>
        <w:tc>
          <w:tcPr>
            <w:tcW w:w="120" w:type="dxa"/>
            <w:vAlign w:val="bottom"/>
            <w:tcBorders>
              <w:top w:val="single" w:sz="8" w:color="auto"/>
              <w:bottom w:val="single" w:sz="8" w:color="auto"/>
            </w:tcBorders>
          </w:tcPr>
          <w:p>
            <w:pPr>
              <w:spacing w:after="0"/>
              <w:rPr>
                <w:sz w:val="22"/>
                <w:szCs w:val="22"/>
                <w:color w:val="auto"/>
              </w:rPr>
            </w:pP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1,166,465</w:t>
            </w:r>
          </w:p>
        </w:tc>
        <w:tc>
          <w:tcPr>
            <w:tcW w:w="100" w:type="dxa"/>
            <w:vAlign w:val="bottom"/>
            <w:tcBorders>
              <w:top w:val="single" w:sz="8" w:color="auto"/>
              <w:bottom w:val="single" w:sz="8" w:color="auto"/>
            </w:tcBorders>
          </w:tcPr>
          <w:p>
            <w:pPr>
              <w:spacing w:after="0"/>
              <w:rPr>
                <w:sz w:val="22"/>
                <w:szCs w:val="22"/>
                <w:color w:val="auto"/>
              </w:rPr>
            </w:pP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the Company's recorded investment in loans, aged by payment status and presented by class,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w w:val="95"/>
              </w:rPr>
              <w:t>Less Than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Greater</w:t>
            </w:r>
          </w:p>
        </w:tc>
        <w:tc>
          <w:tcPr>
            <w:tcW w:w="26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Current</w:t>
            </w:r>
          </w:p>
        </w:tc>
        <w:tc>
          <w:tcPr>
            <w:tcW w:w="100" w:type="dxa"/>
            <w:vAlign w:val="bottom"/>
            <w:vMerge w:val="restart"/>
          </w:tcPr>
          <w:p>
            <w:pPr>
              <w:spacing w:after="0"/>
              <w:rPr>
                <w:sz w:val="12"/>
                <w:szCs w:val="12"/>
                <w:color w:val="auto"/>
              </w:rPr>
            </w:pPr>
          </w:p>
        </w:tc>
        <w:tc>
          <w:tcPr>
            <w:tcW w:w="10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w w:val="98"/>
              </w:rPr>
              <w:t>and Equal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Than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4"/>
              </w:rPr>
              <w:t>to 90 Days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90 Days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864,099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980,349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647,451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647,451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29,039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250"/>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1,540,589</w:t>
            </w: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116,250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8890</wp:posOffset>
            </wp:positionV>
            <wp:extent cx="46310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-98425</wp:posOffset>
            </wp:positionV>
            <wp:extent cx="4631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ind w:left="420" w:right="20" w:hanging="412"/>
        <w:spacing w:after="0" w:line="255"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of December 31, 2015, the Company had four loans which were greater than 90 days delinquent and were in various stages of resolution, including legal proceedings, environmental concerns and foreclosure-related proceedings, and ranged from 1.0 to 7.0 years outstanding.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2015</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Unpaid</w:t>
            </w:r>
          </w:p>
        </w:tc>
        <w:tc>
          <w:tcPr>
            <w:tcW w:w="18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126,754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125,776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(69,627)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130,645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129,744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(64,440)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5,738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50"/>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132,492</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131,514</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(72,165)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139,672</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138,801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13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420" w:hanging="412"/>
        <w:spacing w:after="0" w:line="255"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As of December 31, 2014, impaired loans also includes certain loans modified through troubled debt restructurings in accordance with GAAP with a recorded investment of $10.4 million although they are performing and on accrual status.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9"/>
              </w:rPr>
              <w:t>For the Years Ended December 31,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spacing w:after="0"/>
              <w:rPr>
                <w:sz w:val="22"/>
                <w:szCs w:val="22"/>
                <w:color w:val="auto"/>
              </w:rPr>
            </w:pPr>
          </w:p>
        </w:tc>
      </w:tr>
      <w:tr>
        <w:trPr>
          <w:trHeight w:val="152"/>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35,659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31,409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9,269</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6,050</w:t>
            </w: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35,659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39,471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15,319</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129,135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334,351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794,247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1,976</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18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32,382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153,387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825,656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11,245</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24,252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52,963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85,723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6,373</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153,387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422,973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943,761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17,618</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was no interest income related to the resolution of non-performing loans recorded during the years ended December 31, 2015 and 2014. During the year ended December 31, 2013, the Company recorded interest income of $13.3 million related to the resolution of non-performing loans. Interest income was not previously recorded while the loans were on non-accrual status.</w:t>
      </w:r>
    </w:p>
    <w:p>
      <w:pPr>
        <w:spacing w:after="0" w:line="177"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Troubled Debt Restructurings</w:t>
      </w:r>
      <w:r>
        <w:rPr>
          <w:rFonts w:ascii="Arial" w:cs="Arial" w:eastAsia="Arial" w:hAnsi="Arial"/>
          <w:sz w:val="17"/>
          <w:szCs w:val="17"/>
          <w:color w:val="auto"/>
        </w:rPr>
        <w:t>—During the year ended December 31, 2015, the Company modified two senior loans that were determined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troubled debt restructurings. The Company restructured one non-performing loan with a recorded investment of $5.8 million to grant a maturity extension of one year. The Company also modified one non-performing loan with a recorded investment of $11.6 million to grant a discounted payoff option and a maturity extension of one year. The Company's recorded investment in these loans was not impacted by the modifications.</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December 31, 2014, the Company restructured one non-performing senior loan that was determined to be a troubled debt restructuring with a recorded investment of $7.0 million to grant a maturity extension of one year and included conditional extension options. The Company's recorded investment in this loan was not impacted by the modification.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2013, the Company restructured six senior loans that were determined to be troubled debt restructurings. The Company restructured two performing loans with a combined recorded investment of $4.6 million to grant maturity extensions of one year each. Non-performing loans with a combined investment of $174.5 million were also modified during the year ended December 31, 2013. Included in this balance were two loans with a combined recorded investment of $98.3 million in which the Company received $15.4 million of paydowns and accepted discounted payoff options on these loans. At the time of the restructuring, the Company reclassified the loans from non-performing to performing status as the Company believed the borrowers would perform under the modified terms of the agreements. The loans were repaid in January 2014 and July 2014 at the discounted payoff amount.</w:t>
      </w:r>
    </w:p>
    <w:p>
      <w:pPr>
        <w:spacing w:after="0" w:line="14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December 31, 2015, there were no unfunded commitments associated with modified loans considered troubled debt restructurings.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55,559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62,138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62,360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62,289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186,504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190,199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186,504</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177,274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187,524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191,366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the contractual maturities of the Company's securities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Held-to-Maturity Securities</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Available-for-Sale Securities</w:t>
            </w:r>
          </w:p>
        </w:tc>
      </w:tr>
      <w:tr>
        <w:trPr>
          <w:trHeight w:val="152"/>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40" w:type="dxa"/>
            <w:vAlign w:val="bottom"/>
          </w:tcPr>
          <w:p>
            <w:pPr>
              <w:spacing w:after="0"/>
              <w:rPr>
                <w:sz w:val="13"/>
                <w:szCs w:val="13"/>
                <w:color w:val="auto"/>
              </w:rPr>
            </w:pPr>
          </w:p>
        </w:tc>
        <w:tc>
          <w:tcPr>
            <w:tcW w:w="108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3"/>
                <w:szCs w:val="13"/>
                <w:color w:val="auto"/>
              </w:rPr>
            </w:pPr>
          </w:p>
        </w:tc>
        <w:tc>
          <w:tcPr>
            <w:tcW w:w="11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Basis</w:t>
            </w:r>
          </w:p>
        </w:tc>
        <w:tc>
          <w:tcPr>
            <w:tcW w:w="140" w:type="dxa"/>
            <w:vAlign w:val="bottom"/>
          </w:tcPr>
          <w:p>
            <w:pPr>
              <w:spacing w:after="0"/>
              <w:rPr>
                <w:sz w:val="16"/>
                <w:szCs w:val="16"/>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Maturities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Within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61,128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61,199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5 years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After 5 years through 10 years</w:t>
            </w:r>
          </w:p>
        </w:tc>
        <w:tc>
          <w:tcPr>
            <w:tcW w:w="1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10 years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57"/>
        </w:trPr>
        <w:tc>
          <w:tcPr>
            <w:tcW w:w="300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70"/>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w w:val="79"/>
              </w:rPr>
              <w:t>73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other investments and its proportionate share of earnings (losses) from equity method investments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7"/>
              </w:rPr>
              <w:t>Carrying Value</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376"/>
              <w:spacing w:after="0"/>
              <w:rPr>
                <w:sz w:val="20"/>
                <w:szCs w:val="20"/>
                <w:color w:val="auto"/>
              </w:rPr>
            </w:pPr>
            <w:r>
              <w:rPr>
                <w:rFonts w:ascii="Arial" w:cs="Arial" w:eastAsia="Arial" w:hAnsi="Arial"/>
                <w:sz w:val="14"/>
                <w:szCs w:val="14"/>
                <w:b w:val="1"/>
                <w:bCs w:val="1"/>
                <w:color w:val="auto"/>
                <w:w w:val="92"/>
              </w:rPr>
              <w:t>Equity in Earnings (Losses)</w:t>
            </w:r>
          </w:p>
        </w:tc>
        <w:tc>
          <w:tcPr>
            <w:tcW w:w="740" w:type="dxa"/>
            <w:vAlign w:val="bottom"/>
            <w:tcBorders>
              <w:bottom w:val="single" w:sz="8" w:color="auto"/>
            </w:tcBorders>
          </w:tcPr>
          <w:p>
            <w:pPr>
              <w:spacing w:after="0"/>
              <w:rPr>
                <w:sz w:val="16"/>
                <w:szCs w:val="16"/>
                <w:color w:val="auto"/>
              </w:rPr>
            </w:pPr>
          </w:p>
        </w:tc>
      </w:tr>
      <w:tr>
        <w:trPr>
          <w:trHeight w:val="250"/>
        </w:trPr>
        <w:tc>
          <w:tcPr>
            <w:tcW w:w="4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Pr>
          <w:p>
            <w:pPr>
              <w:spacing w:after="0"/>
              <w:rPr>
                <w:sz w:val="21"/>
                <w:szCs w:val="21"/>
                <w:color w:val="auto"/>
              </w:rPr>
            </w:pPr>
          </w:p>
        </w:tc>
        <w:tc>
          <w:tcPr>
            <w:tcW w:w="2680" w:type="dxa"/>
            <w:vAlign w:val="bottom"/>
            <w:gridSpan w:val="6"/>
          </w:tcPr>
          <w:p>
            <w:pPr>
              <w:jc w:val="center"/>
              <w:ind w:left="396"/>
              <w:spacing w:after="0"/>
              <w:rPr>
                <w:sz w:val="20"/>
                <w:szCs w:val="20"/>
                <w:color w:val="auto"/>
              </w:rPr>
            </w:pPr>
            <w:r>
              <w:rPr>
                <w:rFonts w:ascii="Arial" w:cs="Arial" w:eastAsia="Arial" w:hAnsi="Arial"/>
                <w:sz w:val="14"/>
                <w:szCs w:val="14"/>
                <w:b w:val="1"/>
                <w:bCs w:val="1"/>
                <w:color w:val="auto"/>
                <w:w w:val="93"/>
              </w:rPr>
              <w:t>For the Years Ended December 31,</w:t>
            </w:r>
          </w:p>
        </w:tc>
        <w:tc>
          <w:tcPr>
            <w:tcW w:w="740" w:type="dxa"/>
            <w:vAlign w:val="bottom"/>
          </w:tcPr>
          <w:p>
            <w:pPr>
              <w:spacing w:after="0"/>
              <w:rPr>
                <w:sz w:val="21"/>
                <w:szCs w:val="21"/>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2013</w:t>
            </w:r>
          </w:p>
        </w:tc>
      </w:tr>
      <w:tr>
        <w:trPr>
          <w:trHeight w:val="270"/>
        </w:trPr>
        <w:tc>
          <w:tcPr>
            <w:tcW w:w="4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real estate equity investments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81,452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2,869</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3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69,096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5"/>
                <w:szCs w:val="25"/>
                <w:color w:val="auto"/>
                <w:vertAlign w:val="superscript"/>
              </w:rPr>
              <w:t>(2)(3)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51,559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23,810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Marina Palms, LLC ("Marina Palms")</w:t>
            </w:r>
          </w:p>
        </w:tc>
        <w:tc>
          <w:tcPr>
            <w:tcW w:w="3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30,099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23,626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Madison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14,796</w:t>
            </w:r>
          </w:p>
        </w:tc>
      </w:tr>
      <w:tr>
        <w:trPr>
          <w:trHeight w:val="250"/>
        </w:trPr>
        <w:tc>
          <w:tcPr>
            <w:tcW w:w="414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254,172</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354,119</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32,153</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94,905</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8890</wp:posOffset>
            </wp:positionV>
            <wp:extent cx="40989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-98425</wp:posOffset>
            </wp:positionV>
            <wp:extent cx="4098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ind w:left="420" w:hanging="412"/>
        <w:spacing w:after="0"/>
        <w:tabs>
          <w:tab w:leader="none" w:pos="4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the year ended December 31, 2014, the Company recognized $32.9 million of earnings from equity method investments resulting from asset sales by one of its equity method investees.</w:t>
      </w:r>
    </w:p>
    <w:p>
      <w:pPr>
        <w:spacing w:after="0" w:line="12" w:lineRule="exact"/>
        <w:rPr>
          <w:rFonts w:ascii="Arial" w:cs="Arial" w:eastAsia="Arial" w:hAnsi="Arial"/>
          <w:sz w:val="13"/>
          <w:szCs w:val="13"/>
          <w:color w:val="auto"/>
        </w:rPr>
      </w:pPr>
    </w:p>
    <w:p>
      <w:pPr>
        <w:ind w:left="420" w:hanging="412"/>
        <w:spacing w:after="0" w:line="241"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year ended December 31, 2014, the Company recognized $23.4 million of earnings from equity method investments resulting from asset sales and a legal settlement by one of its equity method investees.</w:t>
      </w:r>
    </w:p>
    <w:p>
      <w:pPr>
        <w:ind w:left="420" w:hanging="412"/>
        <w:spacing w:after="0" w:line="255"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conjunction with the sale of the Company's interests in Oak Hill Advisors, L.P. in 2011, the Company retained a share of the carried interest related to various funds. During the years ended December 31, 2015 and 2014, the Company recognized $2.2 million and $9.0 million of carried interest income.</w:t>
      </w:r>
    </w:p>
    <w:p>
      <w:pPr>
        <w:spacing w:after="0" w:line="13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b w:val="1"/>
          <w:bCs w:val="1"/>
          <w:color w:val="auto"/>
        </w:rPr>
        <w:t>Net Lease Venture</w:t>
      </w:r>
      <w:r>
        <w:rPr>
          <w:rFonts w:ascii="Arial" w:cs="Arial" w:eastAsia="Arial" w:hAnsi="Arial"/>
          <w:sz w:val="16"/>
          <w:szCs w:val="16"/>
          <w:color w:val="auto"/>
        </w:rPr>
        <w:t>—In February 2014, the Company partnered with a sovereign wealth fund to form a new unconsolidated entity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an equity interest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 of any promote payment received based on the 47.5% partner's interest. During the year ended December 31, 2014, the Company sold a net lease asset for net proceeds of $93.7 million, which approximated carrying value, to the venture. The Company also sold its 72% interest in a previously consolidated entity, which owns a net lease asset subject to a mortgage of $26.0 million, to the venture for net proceeds of $10.1 million, which approximated carrying value. During the same period, the venture purchased a portfolio of 58 net lease assets for a purchase price of $200.0 million from a third party. As of December 31, 2015 and 2014, the venture's carrying value of total assets was $400.2 million and $348.1 million, respectively. In June 2015, the venture placed ten year debt financing of $120.0 million on one of its net lease assets. Net proceeds from the financing were distributed to its members of which the Company received approximately $61.2 million. During the years ended December 31, 2015 and 2014, the Company recorded $1.5 million and $1.3 million, respectively, of management fees from the Net Lease Venture. The management fees are included in "Other income" in the Company's consolidated statements of operations</w:t>
      </w:r>
    </w:p>
    <w:p>
      <w:pPr>
        <w:spacing w:after="0" w:line="11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Marina Palms</w:t>
      </w:r>
      <w:r>
        <w:rPr>
          <w:rFonts w:ascii="Arial" w:cs="Arial" w:eastAsia="Arial" w:hAnsi="Arial"/>
          <w:sz w:val="18"/>
          <w:szCs w:val="18"/>
          <w:color w:val="auto"/>
        </w:rPr>
        <w:t>—During the year ended December 31, 2013, the Company sold land for net proceeds of $21.4 million to Marina Palms, a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condominium development in which the Company has a 47.5% equity interest. This entity is not a VIE and the Company does not have controlling interest due to shared control of the entity with its partner. As of December 31, 2015 and 2014, the venture's carrying value of total assets was $278.5 million and $265.7 million, respectively.</w:t>
      </w:r>
    </w:p>
    <w:p>
      <w:pPr>
        <w:spacing w:after="0" w:line="12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Other real estate equity investments</w:t>
      </w:r>
      <w:r>
        <w:rPr>
          <w:rFonts w:ascii="Arial" w:cs="Arial" w:eastAsia="Arial" w:hAnsi="Arial"/>
          <w:sz w:val="18"/>
          <w:szCs w:val="18"/>
          <w:color w:val="auto"/>
        </w:rPr>
        <w:t>—During the year ended December 31, 2015, the Company sold a commercial operating property for $68.5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to a newly formed unconsolidated entity in which the Company owns a 50.0% equity interest (refer to Note 4). The Company recognized a gain on sale of $13.6 million, reflecting the Company's share of the interest sold, which was recorded as "Income from sales of real estate" in the Company's consolidated statements of operations. The venture placed financing on the property and proceeds from the financing were distributed to its members. Net proceeds received by the Company were $55.4 million, which was net of the Company's $13.6 million non-cash equity contribution to the venture and inclusive of a $21.0 million distribution from the financing proceeds. This entity is not a VIE and the Company does not have a controlling interest due to shared control of the entity with its partner.</w:t>
      </w:r>
    </w:p>
    <w:p>
      <w:pPr>
        <w:spacing w:after="0" w:line="13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2014, an unconsolidated entity for which the Company held a 50.0% noncontrolling equity interest sold all of its properties. As a result of the transaction, the Company received net proceeds of $48.1 million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recognized a gain of $32.9 million, which is included in "Earnings from equity method investments" in its consolidated statements of operations.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year ended December 31, 2014, the Company contributed land to a newly formed unconsolidated entity in which the Company received an initial equity interest of 85.7%. This entity is a VIE and the Company does not have controlling interest due to shared control of the entity with its partner. As of December 31, 2015 and 2014, the Company had a recorded equity interest of $6.3 million and $9.4 million, respectively. Additionally, the Company committed to provide $45.7 million of mezzanine financing to the entity. As of December 31, 2015, the loan balance was $33.7 million and is included in "Loans receivable and other lending investments, net" on the Company's consolidated balance sheets. During the years ended December 31, 2015 and 2014, the Company recorded $3.9 million and $0.6 million of interest income, respectively.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year ended December 31, 2014, the Company and a consortium of co-lenders formed a new unconsolidated entity, in which the Company received an initial 15.7% equity interest, which acquired, via foreclosure sale, title to a land asset which previously served as collateral for a loan receivable held by the consortium. This entity is not a VIE and the Company does not have controlling interest in the entity as the Company's voting rights are based on its ownership percentage in the entity. During the year ended December 31, 2014, as a result of the transaction, the Company recorded an additional provision of $2.8 million in "Provision for (recovery of) loan losses" in its consolidated statements of operations. As of December 31, 2015 and 2014, the Company had a recorded equity interest of $24.0 million and $23.5 million, respectively.</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year ended December 31, 2013, the Company contributed land to a newly formed unconsolidated entity in which the Company received an equity interest of 75.6%. As of December 31, 2015 and 2014, the Company had a recorded equity interest of $13.5 million and $21.1 million, respectively. This entity is a VIE and the Company does not have controlling interest due to shared control of the entity with its partners.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addition, during the year ended December 31, 2013, the Company contributed land to a newly formed unconsolidated entity in which the Company also received a 50.0% equity interest. As of December 31, 2015 and 2014, the Company had a recorded equity interest of $9.9 million and $7.8 million, respectively. This entity is not a VIE and the Company does not have controlling interest due to shared control of the entity with its partner.</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2015, the Company's other real estate equity investments included equity interests in real estate ventures ranging from 31% to 70%, comprised of investments of $11.1 million in operating properties and $16.6 million in land assets. As of December 31, 2014, the Company's other real estate equity investments included $13.2 million in operating properties and $13.8 million in land assets.</w:t>
      </w:r>
    </w:p>
    <w:p>
      <w:pPr>
        <w:spacing w:after="0" w:line="12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Madison Funds</w:t>
      </w:r>
      <w:r>
        <w:rPr>
          <w:rFonts w:ascii="Arial" w:cs="Arial" w:eastAsia="Arial" w:hAnsi="Arial"/>
          <w:sz w:val="17"/>
          <w:szCs w:val="17"/>
          <w:color w:val="auto"/>
        </w:rPr>
        <w:t>—As of December 31, 2015, the Company owned a 29.5% interest in Madison International Real Estate Fund II, LP, a 32.9%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in Madison International Real Estate Liquidity Fund III, LP, a 32.9% interest in Madison International Real Estate Liquidity Fund III AIV, LP and a 29.5% interest in Madison GP1 Investors, LP (collectively, the "Madison Funds"). The Madison Funds invest in ownership positions of entities that own real estate assets. The Company determined that these entities are VIEs and that the Company is not the primary beneficiary.</w:t>
      </w:r>
    </w:p>
    <w:p>
      <w:pPr>
        <w:spacing w:after="0" w:line="11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—As of December 31, 2015, the Company also had smaller investments in real estate related funds and other strategic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several other entities that were accounted for under the equity method or cost method. During the year ended December 31, 2015, the Company sold available-for-sale securities for proceeds of $7.4 million for gains of $2.6 million, which are included in "Other income" in the Company's consolidated statements of operations. The amount reclassified out of accumulated other comprehensive income into earnings was determined based on the specific identification method.</w:t>
      </w:r>
    </w:p>
    <w:p>
      <w:pPr>
        <w:spacing w:after="0" w:line="1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LNR</w:t>
      </w:r>
      <w:r>
        <w:rPr>
          <w:rFonts w:ascii="Arial" w:cs="Arial" w:eastAsia="Arial" w:hAnsi="Arial"/>
          <w:sz w:val="17"/>
          <w:szCs w:val="17"/>
          <w:color w:val="auto"/>
        </w:rPr>
        <w:t>—In July 2010, the Company acquired an ownership interest of approximately 24% in LNR Property Corporation ("LNR"). LNR is a servicer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Beginning in September 2012, the Company and other owners of LNR entered into negotiations with potential purchasers of LNR.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year ended December 31, 2013. In April 2013, the Company completed the sale of its 24% equity interest in LNR and received $220.3 million in net proceeds. Approximately $25.2 million of net proceeds, which were placed in escrow for potential indemnification obligations, were released to the Company in April 2014.</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investee level summarized financial information for LNR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For the Period from</w:t>
            </w:r>
          </w:p>
        </w:tc>
        <w:tc>
          <w:tcPr>
            <w:tcW w:w="180" w:type="dxa"/>
            <w:vAlign w:val="bottom"/>
          </w:tcPr>
          <w:p>
            <w:pPr>
              <w:spacing w:after="0"/>
              <w:rPr>
                <w:sz w:val="14"/>
                <w:szCs w:val="14"/>
                <w:color w:val="auto"/>
              </w:rPr>
            </w:pPr>
          </w:p>
        </w:tc>
        <w:tc>
          <w:tcPr>
            <w:tcW w:w="15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9"/>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October 1, 2012 to April 19,</w:t>
            </w: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Statements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Total revenue</w:t>
            </w:r>
            <w:r>
              <w:rPr>
                <w:rFonts w:ascii="Arial" w:cs="Arial" w:eastAsia="Arial" w:hAnsi="Arial"/>
                <w:sz w:val="25"/>
                <w:szCs w:val="25"/>
                <w:color w:val="auto"/>
                <w:vertAlign w:val="superscript"/>
              </w:rPr>
              <w:t>(2)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179,373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332,902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Net income attributable to LNR</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113,478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253,039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iStar's ownership percentage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iStar's equity in earnings from LNR</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60,669</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 the Period from</w:t>
            </w:r>
          </w:p>
        </w:tc>
        <w:tc>
          <w:tcPr>
            <w:tcW w:w="180" w:type="dxa"/>
            <w:vAlign w:val="bottom"/>
          </w:tcPr>
          <w:p>
            <w:pPr>
              <w:spacing w:after="0"/>
              <w:rPr>
                <w:sz w:val="24"/>
                <w:szCs w:val="24"/>
                <w:color w:val="auto"/>
              </w:rPr>
            </w:pPr>
          </w:p>
        </w:tc>
        <w:tc>
          <w:tcPr>
            <w:tcW w:w="15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9"/>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October 1, 2012 to April 19,</w:t>
            </w: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(36,543)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(55,686)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217,241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229,634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Net cash flows</w:t>
            </w:r>
          </w:p>
        </w:tc>
        <w:tc>
          <w:tcPr>
            <w:tcW w:w="18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53,623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88,039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61,179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iStar's ownership percentage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distributions received by iStar</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40" w:type="dxa"/>
            <w:vAlign w:val="bottom"/>
          </w:tcPr>
          <w:p>
            <w:pPr>
              <w:spacing w:after="0" w:line="155" w:lineRule="exact"/>
              <w:rPr>
                <w:sz w:val="20"/>
                <w:szCs w:val="20"/>
                <w:color w:val="auto"/>
              </w:rPr>
            </w:pPr>
            <w:r>
              <w:rPr>
                <w:rFonts w:ascii="Arial" w:cs="Arial" w:eastAsia="Arial" w:hAnsi="Arial"/>
                <w:sz w:val="14"/>
                <w:szCs w:val="14"/>
                <w:color w:val="auto"/>
              </w:rPr>
              <w:t>_______________________________________________________________________________</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420" w:hanging="412"/>
        <w:spacing w:after="0" w:line="241"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Company recorded its investment in LNR, which was sold in April 2013, on a one quarter lag. Therefore, the amounts in the Company's financial statements for the year ended December 31, 2013 was based on balances and results from LNR for the period from October 1, 2012 to April 19, 2013. The amounts in the Company's financial statements for the year ended December 31, 2012 are based on the balances and results from LNR for the year ended September 30, 2012.</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LNR consolidates certain commercial mortgage-backed securities and collateralized debt obligation trusts that are considered VIEs (and for which it is the primary beneficiary), that have been included in the amounts presented above. Total revenue presented above includes $55.5 million and $95.4 million for the period from October 1, 2012 to April 19, 2013 and for the year ended September 30, 2012,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1" w:lineRule="exact"/>
        <w:rPr>
          <w:rFonts w:ascii="Arial" w:cs="Arial" w:eastAsia="Arial" w:hAnsi="Arial"/>
          <w:sz w:val="14"/>
          <w:szCs w:val="14"/>
          <w:color w:val="auto"/>
        </w:rPr>
      </w:pPr>
    </w:p>
    <w:p>
      <w:pPr>
        <w:jc w:val="both"/>
        <w:ind w:left="420" w:hanging="412"/>
        <w:spacing w:after="0" w:line="246"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pursuant to the definitive sale agreement as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reconciles the activity related to the Company's investment in LNR for the three months ended March 31, 2013 and June 30, 2013, the six months ended December 31, 2013 and the year ended December 31, 2013 ($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 the Three Months</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For the Six Months</w:t>
            </w:r>
          </w:p>
        </w:tc>
        <w:tc>
          <w:tcPr>
            <w:tcW w:w="15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For the Year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15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Ended March 31, 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Ended June 30, 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2013</w:t>
            </w:r>
          </w:p>
        </w:tc>
        <w:tc>
          <w:tcPr>
            <w:tcW w:w="4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LNR at beginning of period</w:t>
            </w:r>
          </w:p>
        </w:tc>
        <w:tc>
          <w:tcPr>
            <w:tcW w:w="44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205,773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20"/>
              <w:spacing w:after="0" w:line="270" w:lineRule="exact"/>
              <w:rPr>
                <w:sz w:val="20"/>
                <w:szCs w:val="20"/>
                <w:color w:val="auto"/>
              </w:rPr>
            </w:pPr>
            <w:r>
              <w:rPr>
                <w:rFonts w:ascii="Arial" w:cs="Arial" w:eastAsia="Arial" w:hAnsi="Arial"/>
                <w:sz w:val="18"/>
                <w:szCs w:val="18"/>
                <w:color w:val="auto"/>
              </w:rPr>
              <w:t>Equity in earnings of LNR for the period</w:t>
            </w:r>
            <w:r>
              <w:rPr>
                <w:rFonts w:ascii="Arial" w:cs="Arial" w:eastAsia="Arial" w:hAnsi="Arial"/>
                <w:sz w:val="25"/>
                <w:szCs w:val="25"/>
                <w:color w:val="auto"/>
                <w:vertAlign w:val="superscript"/>
              </w:rPr>
              <w:t>(1)</w:t>
            </w: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45,375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4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45,375</w:t>
            </w:r>
          </w:p>
        </w:tc>
        <w:tc>
          <w:tcPr>
            <w:tcW w:w="4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before other than temporary impairment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251,148</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20"/>
              <w:spacing w:after="0" w:line="270" w:lineRule="exact"/>
              <w:rPr>
                <w:sz w:val="20"/>
                <w:szCs w:val="20"/>
                <w:color w:val="auto"/>
              </w:rPr>
            </w:pPr>
            <w:r>
              <w:rPr>
                <w:rFonts w:ascii="Arial" w:cs="Arial" w:eastAsia="Arial" w:hAnsi="Arial"/>
                <w:sz w:val="18"/>
                <w:szCs w:val="18"/>
                <w:color w:val="auto"/>
              </w:rPr>
              <w:t>Other than temporary impairment</w:t>
            </w:r>
            <w:r>
              <w:rPr>
                <w:rFonts w:ascii="Arial" w:cs="Arial" w:eastAsia="Arial" w:hAnsi="Arial"/>
                <w:sz w:val="25"/>
                <w:szCs w:val="25"/>
                <w:color w:val="auto"/>
                <w:vertAlign w:val="superscript"/>
              </w:rPr>
              <w:t>(1)</w:t>
            </w: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4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(30,867)</w:t>
            </w:r>
          </w:p>
        </w:tc>
        <w:tc>
          <w:tcPr>
            <w:tcW w:w="46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proceeds pursuant to contract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Carrying value of LNR at end of period</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220,281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4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420" w:hanging="412"/>
        <w:spacing w:after="0" w:line="245"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During the year ended December 31, 2013, the Company recorded an other than temporary impairment of $30.9 million. 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pursuant to the definitive sale agreement as described above.</w:t>
      </w:r>
    </w:p>
    <w:p>
      <w:pPr>
        <w:spacing w:after="0" w:line="143"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For the year ended December 31, 2013, the amount that was recognized as income in the Company's Consolidated Statements of Operations is the sum of items (a) and (b), and $1.7 million of income recognized for the release of other comprehensive income related to LNR upon sale, or $16.5 million.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Summarized investee financial information</w:t>
      </w:r>
      <w:r>
        <w:rPr>
          <w:rFonts w:ascii="Arial" w:cs="Arial" w:eastAsia="Arial" w:hAnsi="Arial"/>
          <w:sz w:val="18"/>
          <w:szCs w:val="18"/>
          <w:color w:val="auto"/>
        </w:rPr>
        <w:t>—The following tables present the investee level summarized financial information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method investments ($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33"/>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12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Parent Entities</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 LLC ("Marina Palms")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OHASCF</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111,010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1000 SCI, LLC</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Outlets at Westgate, LLC ("Westgate")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45,501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481,224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234,529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37,005</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color w:val="auto"/>
              </w:rPr>
              <w:t>Net Lease Venture</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13,826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OHASCF</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77,311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Westgate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406,708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318,703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626,039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(185,603)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440,210</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OHASCF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72,313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70,671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Westgate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color w:val="auto"/>
              </w:rPr>
              <w:t>Marina Palms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199,680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135,421</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284,513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206,198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20" w:hanging="412"/>
        <w:spacing w:after="0" w:line="241"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 began accounting for its investment in Net Lease Venture under the equity method of accounting on February 13, 2014. The amounts in the Company's financial statements for the year ended December 31, 2014 are based on the balances and results from Net Lease Venture for the period from February 13, 2014 to December 31, 2014.</w:t>
      </w:r>
    </w:p>
    <w:p>
      <w:pPr>
        <w:ind w:left="420" w:hanging="412"/>
        <w:spacing w:after="0" w:line="255"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 began accounting for its investment in Marina Palms under the equity method of accounting on April 17, 2013. The amounts in the Company's financial statements for the year ended December 31, 2013 are based on the balances and results from Marina Palms for the period from April 17, 2013 to December 31, 2013.</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25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3,597,587</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3,464,984</w:t>
            </w:r>
          </w:p>
        </w:tc>
      </w:tr>
      <w:tr>
        <w:trPr>
          <w:trHeight w:val="27"/>
        </w:trPr>
        <w:tc>
          <w:tcPr>
            <w:tcW w:w="2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479,298</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3,297</w:t>
            </w:r>
          </w:p>
        </w:tc>
      </w:tr>
      <w:tr>
        <w:trPr>
          <w:trHeight w:val="27"/>
        </w:trPr>
        <w:tc>
          <w:tcPr>
            <w:tcW w:w="2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2,809,757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2,982,389</w:t>
            </w:r>
          </w:p>
        </w:tc>
      </w:tr>
      <w:tr>
        <w:trPr>
          <w:trHeight w:val="459"/>
        </w:trPr>
        <w:tc>
          <w:tcPr>
            <w:tcW w:w="2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71,446</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50,088</w:t>
            </w:r>
          </w:p>
        </w:tc>
      </w:tr>
      <w:tr>
        <w:trPr>
          <w:trHeight w:val="270"/>
        </w:trPr>
        <w:tc>
          <w:tcPr>
            <w:tcW w:w="5300" w:type="dxa"/>
            <w:vAlign w:val="bottom"/>
          </w:tcPr>
          <w:p>
            <w:pPr>
              <w:ind w:left="40"/>
              <w:spacing w:after="0" w:line="270" w:lineRule="exact"/>
              <w:rPr>
                <w:sz w:val="20"/>
                <w:szCs w:val="20"/>
                <w:color w:val="auto"/>
              </w:rPr>
            </w:pPr>
            <w:r>
              <w:rPr>
                <w:rFonts w:ascii="Arial" w:cs="Arial" w:eastAsia="Arial" w:hAnsi="Arial"/>
                <w:sz w:val="18"/>
                <w:szCs w:val="18"/>
                <w:color w:val="auto"/>
              </w:rPr>
              <w:t>Other assets</w:t>
            </w:r>
            <w:r>
              <w:rPr>
                <w:rFonts w:ascii="Arial" w:cs="Arial" w:eastAsia="Arial" w:hAnsi="Arial"/>
                <w:sz w:val="25"/>
                <w:szCs w:val="25"/>
                <w:color w:val="auto"/>
                <w:vertAlign w:val="superscript"/>
              </w:rPr>
              <w:t>(2)</w:t>
            </w:r>
          </w:p>
        </w:tc>
        <w:tc>
          <w:tcPr>
            <w:tcW w:w="10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35,464</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37,085</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26,657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19,283</w:t>
            </w:r>
          </w:p>
        </w:tc>
      </w:tr>
      <w:tr>
        <w:trPr>
          <w:trHeight w:val="270"/>
        </w:trPr>
        <w:tc>
          <w:tcPr>
            <w:tcW w:w="5300" w:type="dxa"/>
            <w:vAlign w:val="bottom"/>
          </w:tcPr>
          <w:p>
            <w:pPr>
              <w:ind w:left="40"/>
              <w:spacing w:after="0" w:line="270" w:lineRule="exact"/>
              <w:rPr>
                <w:sz w:val="20"/>
                <w:szCs w:val="20"/>
                <w:color w:val="auto"/>
              </w:rPr>
            </w:pPr>
            <w:r>
              <w:rPr>
                <w:rFonts w:ascii="Arial" w:cs="Arial" w:eastAsia="Arial" w:hAnsi="Arial"/>
                <w:sz w:val="18"/>
                <w:szCs w:val="18"/>
                <w:color w:val="auto"/>
              </w:rPr>
              <w:t>Deferred financing fees, net</w:t>
            </w:r>
            <w:r>
              <w:rPr>
                <w:rFonts w:ascii="Arial" w:cs="Arial" w:eastAsia="Arial" w:hAnsi="Arial"/>
                <w:sz w:val="25"/>
                <w:szCs w:val="25"/>
                <w:color w:val="auto"/>
                <w:vertAlign w:val="superscript"/>
              </w:rPr>
              <w:t>(3)</w:t>
            </w:r>
          </w:p>
        </w:tc>
        <w:tc>
          <w:tcPr>
            <w:tcW w:w="10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26,635</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36,774</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r>
      <w:tr>
        <w:trPr>
          <w:trHeight w:val="270"/>
        </w:trPr>
        <w:tc>
          <w:tcPr>
            <w:tcW w:w="5300" w:type="dxa"/>
            <w:vAlign w:val="bottom"/>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(4)</w:t>
            </w:r>
          </w:p>
        </w:tc>
        <w:tc>
          <w:tcPr>
            <w:tcW w:w="10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20,031</w:t>
            </w: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(5)</w:t>
            </w:r>
          </w:p>
        </w:tc>
        <w:tc>
          <w:tcPr>
            <w:tcW w:w="10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r>
      <w:tr>
        <w:trPr>
          <w:trHeight w:val="250"/>
        </w:trPr>
        <w:tc>
          <w:tcPr>
            <w:tcW w:w="530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206,557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8890</wp:posOffset>
            </wp:positionV>
            <wp:extent cx="22123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-98425</wp:posOffset>
            </wp:positionV>
            <wp:extent cx="22123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jc w:val="both"/>
        <w:ind w:left="420" w:hanging="412"/>
        <w:spacing w:after="0" w:line="281"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Intangible assets, net are primarily related to the acquisition of real estate assets. This balance also includes a lease incentive asset of $38.1 million (refer to Note 4). Accumulated amortization on intangible assets was $37.3 million and $45.1 million as of December 31, 2015 and 2014, respectively. The amortization of above market leases and lease incentive assets decreased operating lease income in the Company's consolidated statements of operations by $6.7 million, $8.6 million and $7.2 million for the years ended December 31, 2015, 2014, and 2013, respectively. These intangible lease assets are amortized over the term of the lease. The amortization expense for other intangible assets was $3.6 million, $6.7 million and $8.2 million for the years ended December 31, 2015, 2014, and 2013, respectively. These amounts are included in "Depreciation and amortization" in the Company's consolidated statements of operations.</w:t>
      </w:r>
    </w:p>
    <w:p>
      <w:pPr>
        <w:spacing w:after="0" w:line="2" w:lineRule="exact"/>
        <w:rPr>
          <w:rFonts w:ascii="Arial" w:cs="Arial" w:eastAsia="Arial" w:hAnsi="Arial"/>
          <w:sz w:val="12"/>
          <w:szCs w:val="12"/>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 $7.0 million receivable in connection with the sale of a land parcel in December 2015.</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$27.8 million and $15.4 million as of December 31, 2015 and 2014, respectively.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Accumulated amortization on leasing costs was $9.8 million and $9.0 million as of December 31, 2015 and 2014, respectively.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$8.1 million and $7.1 million as of December 31, 2015 and 2014, respectively.</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62,866</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(2)</w:t>
            </w: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80,332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48,256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57,895</w:t>
            </w: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10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11,885</w:t>
            </w:r>
          </w:p>
        </w:tc>
      </w:tr>
      <w:tr>
        <w:trPr>
          <w:trHeight w:val="264"/>
        </w:trPr>
        <w:tc>
          <w:tcPr>
            <w:tcW w:w="53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Accounts payable, accrued expenses and other liabilities</w:t>
            </w:r>
            <w:r>
              <w:rPr>
                <w:rFonts w:ascii="Arial" w:cs="Arial" w:eastAsia="Arial" w:hAnsi="Arial"/>
                <w:sz w:val="25"/>
                <w:szCs w:val="25"/>
                <w:color w:val="auto"/>
                <w:vertAlign w:val="superscript"/>
              </w:rPr>
              <w:t>(4)</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214,835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180,902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-98425</wp:posOffset>
            </wp:positionV>
            <wp:extent cx="2229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420" w:hanging="412"/>
        <w:spacing w:after="0" w:line="241" w:lineRule="auto"/>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2015 and 2014, accrued expenses includes $5.3 million and $2.7 million, respectively, associated with "Real estate available and held for sale" on the Company's consolidated balance sheets.</w:t>
      </w:r>
    </w:p>
    <w:p>
      <w:pPr>
        <w:jc w:val="both"/>
        <w:ind w:left="420" w:hanging="412"/>
        <w:spacing w:after="0" w:line="241" w:lineRule="auto"/>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2015 and 2014, "Other liabilities" includes $14.5 million and $6.8 million, respectively, related to a profit sharing payable to a developer for residential units sold and $4.4 million and $0.9 million, respectively, associated with "Real estate available and held for sale" on the Company's consolidated balance sheets. As of December 31, 2015 and 2014, "Other liabilities" also includes $6.6 million and $7.7 million, respectively related to tax increment financing bonds which were issued by a governmental entity to fund the installation of infrastructure within one of the Company's master planned community developments. The balance represents a special assessment associated with each individual land parcel, which will decrease as the Company sells parcels. As of December 31, 2015, includes $0.9 million related to share repurchases that settled in January 2016. As of December 31, 2015, includes $6.0 million of deferred net revenue in connection with the sale of a land and development asset (refer to Note 5).</w:t>
      </w:r>
    </w:p>
    <w:p>
      <w:pPr>
        <w:spacing w:after="0" w:line="2"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Intangible liabilities, net are primarily related to the acquisition of real estate assets. Accumulated amortization on intangible liabilities was $6.6 million and $6.2 million as of December 31, 2015 and 2014, respectively. The amortization of intangible liabilities increased operating lease income in the Company's consolidated statements of operations by $1.5 million, $2.5 million and $2.8 million for the years ended December 31, 2015, 2014 and 2013, respectively.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2015 and 2014, includes $26.2 million and $15.2 million, respectively, of capital expenditures that have not yet been paid in cash.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The estimated expense from the amortization of lease intangible assets for each of the five succeeding fiscal years is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99" w:lineRule="exact"/>
        <w:rPr>
          <w:sz w:val="20"/>
          <w:szCs w:val="20"/>
          <w:color w:val="auto"/>
        </w:rPr>
      </w:pPr>
    </w:p>
    <w:tbl>
      <w:tblPr>
        <w:tblLayout w:type="fixed"/>
        <w:tblInd w:w="3800" w:type="dxa"/>
        <w:tblCellMar>
          <w:top w:w="0" w:type="dxa"/>
          <w:left w:w="0" w:type="dxa"/>
          <w:bottom w:w="0" w:type="dxa"/>
          <w:right w:w="0" w:type="dxa"/>
        </w:tblCellMar>
      </w:tblPr>
      <w:tr>
        <w:trPr>
          <w:trHeight w:val="270"/>
        </w:trPr>
        <w:tc>
          <w:tcPr>
            <w:tcW w:w="12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4"/>
              </w:rPr>
              <w:t>2016</w:t>
            </w:r>
          </w:p>
        </w:tc>
        <w:tc>
          <w:tcPr>
            <w:tcW w:w="15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43"/>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94"/>
              </w:rPr>
              <w:t>2017</w:t>
            </w:r>
          </w:p>
        </w:tc>
        <w:tc>
          <w:tcPr>
            <w:tcW w:w="1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3,127</w:t>
            </w:r>
          </w:p>
        </w:tc>
      </w:tr>
      <w:tr>
        <w:trPr>
          <w:trHeight w:val="27"/>
        </w:trPr>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4"/>
              </w:rPr>
              <w:t>2018</w:t>
            </w:r>
          </w:p>
        </w:tc>
        <w:tc>
          <w:tcPr>
            <w:tcW w:w="1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43"/>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94"/>
              </w:rPr>
              <w:t>2019</w:t>
            </w:r>
          </w:p>
        </w:tc>
        <w:tc>
          <w:tcPr>
            <w:tcW w:w="1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27"/>
        </w:trPr>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2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4"/>
              </w:rPr>
              <w:t>2020</w:t>
            </w: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7"/>
        </w:trPr>
        <w:tc>
          <w:tcPr>
            <w:tcW w:w="1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 ended December 31, 2015, the Company transferred to a third party a $100.0 million junior loan participation in a $250.0 million mezzanine loan commitment that it had previously originated. The Company had funded $38.9 million of the junior loan prior to transfer and received proceeds of $38.9 million upon transfer. The transferee is responsible for funding the remaining $61.1 million under the junior loan commitment, which bears interest at a rate of 5.9%. The Company will fund these commitments if the transferee defaults. During the year ended December 31, 2015, the transferee funded an additional $14.1 million directly to the borrower.</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year ended December 31, 2015, the Company transferred to a third party a $100.0 million senior loan participation in a $220.2 million senior loan commitment that it had previously originated. The transferred participation bears interest at a rate of LIBOR+ 3.50% with a LIBOR floor of 0.25%. The Company had fully funded the $100.0 million transferred participation prior to transfer and received net proceeds of $99.2 million.</w:t>
      </w:r>
    </w:p>
    <w:p>
      <w:pPr>
        <w:spacing w:after="0" w:line="1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These transfers of financial assets did not meet the sales criteria established under ASC Topic 860 and have been accounted for as loan participations payable as of December 31, 2015, with a balance of $152.3 million, net of a discount. As of December 31, 2015, the corresponding loan receivable balances were $153.0 million and are included in "Loans receivable and other lending investments, net" on the Company's consolidated balance sheets. The principal and interest due on these participations are paid from cash flows of the corresponding loans receivable, which serve as collateral for the participations.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and 2014, the Company's debt obligations were as follows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9"/>
              </w:rPr>
              <w:t>Carrying Value as of December 31,</w:t>
            </w:r>
          </w:p>
        </w:tc>
        <w:tc>
          <w:tcPr>
            <w:tcW w:w="120" w:type="dxa"/>
            <w:vAlign w:val="bottom"/>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Stated</w:t>
            </w:r>
          </w:p>
        </w:tc>
        <w:tc>
          <w:tcPr>
            <w:tcW w:w="4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0" w:type="dxa"/>
            <w:vAlign w:val="bottom"/>
          </w:tcPr>
          <w:p>
            <w:pPr>
              <w:spacing w:after="0"/>
              <w:rPr>
                <w:sz w:val="1"/>
                <w:szCs w:val="1"/>
                <w:color w:val="auto"/>
              </w:rPr>
            </w:pPr>
          </w:p>
        </w:tc>
      </w:tr>
      <w:tr>
        <w:trPr>
          <w:trHeight w:val="71"/>
        </w:trPr>
        <w:tc>
          <w:tcPr>
            <w:tcW w:w="4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2012 Tranche A-2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339,717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358,504</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Arial" w:cs="Arial" w:eastAsia="Arial" w:hAnsi="Arial"/>
                <w:sz w:val="18"/>
                <w:szCs w:val="18"/>
                <w:color w:val="auto"/>
              </w:rPr>
              <w:t>LIBOR + 5.75%</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2015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4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2018</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Term loans collateralized by net lease assets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239,547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248,955</w:t>
            </w:r>
          </w:p>
        </w:tc>
        <w:tc>
          <w:tcPr>
            <w:tcW w:w="1900" w:type="dxa"/>
            <w:vAlign w:val="bottom"/>
            <w:gridSpan w:val="2"/>
          </w:tcPr>
          <w:p>
            <w:pPr>
              <w:jc w:val="right"/>
              <w:ind w:right="97"/>
              <w:spacing w:after="0"/>
              <w:rPr>
                <w:sz w:val="20"/>
                <w:szCs w:val="20"/>
                <w:color w:val="auto"/>
              </w:rPr>
            </w:pPr>
            <w:r>
              <w:rPr>
                <w:rFonts w:ascii="Arial" w:cs="Arial" w:eastAsia="Arial" w:hAnsi="Arial"/>
                <w:sz w:val="18"/>
                <w:szCs w:val="18"/>
                <w:color w:val="auto"/>
              </w:rPr>
              <w:t>4.85% - 7.26%</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607,459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Unsecured notes: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261,403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3.875%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70"/>
        </w:trPr>
        <w:tc>
          <w:tcPr>
            <w:tcW w:w="4300" w:type="dxa"/>
            <w:vAlign w:val="bottom"/>
          </w:tcPr>
          <w:p>
            <w:pPr>
              <w:ind w:left="160"/>
              <w:spacing w:after="0" w:line="270" w:lineRule="exact"/>
              <w:rPr>
                <w:sz w:val="20"/>
                <w:szCs w:val="20"/>
                <w:color w:val="auto"/>
              </w:rPr>
            </w:pPr>
            <w:r>
              <w:rPr>
                <w:rFonts w:ascii="Arial" w:cs="Arial" w:eastAsia="Arial" w:hAnsi="Arial"/>
                <w:sz w:val="18"/>
                <w:szCs w:val="18"/>
                <w:color w:val="auto"/>
              </w:rPr>
              <w:t>3.00% senior convertible notes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2016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1.50% senior convertible notes</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9.00%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4.00%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7.125%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4.875%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 senior notes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2019</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unsecured notes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3,221,125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3,326,890</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Other debt obligations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Arial" w:cs="Arial" w:eastAsia="Arial" w:hAnsi="Arial"/>
                <w:sz w:val="18"/>
                <w:szCs w:val="18"/>
                <w:color w:val="auto"/>
              </w:rPr>
              <w:t>LIBOR + 1.50%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4,150,389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4,034,349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Debt discounts,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(11,665)</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Total debt obligations, net </w:t>
            </w:r>
            <w:r>
              <w:rPr>
                <w:rFonts w:ascii="Arial" w:cs="Arial" w:eastAsia="Arial" w:hAnsi="Arial"/>
                <w:sz w:val="25"/>
                <w:szCs w:val="25"/>
                <w:b w:val="1"/>
                <w:bCs w:val="1"/>
                <w:color w:val="auto"/>
                <w:vertAlign w:val="superscript"/>
              </w:rPr>
              <w:t>(6)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4,143,683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4,022,684</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-98425</wp:posOffset>
            </wp:positionV>
            <wp:extent cx="1938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loan has a LIBOR floor of 1.25%. As of December 31, 2015, inclusive of the floor, the 2012 Tranche A-2 Facility loan incurred interest at a rate of 7.00%.</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of December 31, 2015 and 2014, includes a loan with a floating rate of LIBOR plus 2.00%. As of December 31, 2015, the weighted average interest rate of these loans is 5.3%.</w:t>
      </w:r>
    </w:p>
    <w:p>
      <w:pPr>
        <w:spacing w:after="0" w:line="12" w:lineRule="exact"/>
        <w:rPr>
          <w:rFonts w:ascii="Arial" w:cs="Arial" w:eastAsia="Arial" w:hAnsi="Arial"/>
          <w:sz w:val="13"/>
          <w:szCs w:val="13"/>
          <w:color w:val="auto"/>
        </w:rPr>
      </w:pPr>
    </w:p>
    <w:p>
      <w:pPr>
        <w:ind w:left="420" w:hanging="412"/>
        <w:spacing w:after="0" w:line="24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Company's 3.00% senior convertible fixed rate notes due November 2016 ("3.00% Convertible Notes") are convertible at the option of the holders, into 85.0 shares per $1,000 principal amount of 3.00% Convertible Notes, at $11.77 per share at any time prior to the close of business on November 14, 2016.</w:t>
      </w:r>
    </w:p>
    <w:p>
      <w:pPr>
        <w:ind w:left="420" w:hanging="412"/>
        <w:spacing w:after="0" w:line="24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$17.29 per share at any time prior to the close of business on November 14, 2016.</w:t>
      </w:r>
    </w:p>
    <w:p>
      <w:pPr>
        <w:ind w:left="420" w:hanging="412"/>
        <w:spacing w:after="0"/>
        <w:tabs>
          <w:tab w:leader="none" w:pos="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Company capitalized interest relating to development activities of $5.3 million, $4.9 million and $2.6 million for the years ended December 31, 2015 2014 and 2013, respectively.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Future Scheduled Maturities</w:t>
      </w:r>
      <w:r>
        <w:rPr>
          <w:rFonts w:ascii="Arial" w:cs="Arial" w:eastAsia="Arial" w:hAnsi="Arial"/>
          <w:sz w:val="16"/>
          <w:szCs w:val="16"/>
          <w:color w:val="auto"/>
        </w:rPr>
        <w:t>—As of December 31, 2015, future scheduled maturities of outstanding debt obligations are as follows ($ in thousands):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924,722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339,717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1,264,439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263,290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863,290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770,000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30,795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800,795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195,462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295,462</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829,264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4,150,389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(6,706)</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3,315,603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828,080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4,143,683</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color w:val="auto"/>
        </w:rPr>
        <w:t>2015 Revolving Credit Facility</w:t>
      </w:r>
      <w:r>
        <w:rPr>
          <w:rFonts w:ascii="Arial" w:cs="Arial" w:eastAsia="Arial" w:hAnsi="Arial"/>
          <w:sz w:val="16"/>
          <w:szCs w:val="16"/>
          <w:color w:val="auto"/>
        </w:rPr>
        <w:t>—On March 27, 2015, the Company entered into a secured revolving credit facility with a maximum capacity of $250.0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(the "2015 Revolving Credit Facility"). Borrowings under this credit facility bear interest at a floating rate indexed to one of several base rates plus a margin which adjusts upward or downward based upon the Company's corporate credit rating. An undrawn credit facility commitment fee ranges from 0.375% to 0.5%, based on average utilization each quarter. During the year ended December 31, 2015, the weighted average cost of the credit facility was</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3.13%. Commitments under the revolving facility mature in March 2018. At maturity, the Company may convert outstanding borrowings to a one year term loan which matures in quarterly installments through March 2019.</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2012 Secured Credit Facilities</w:t>
      </w:r>
      <w:r>
        <w:rPr>
          <w:rFonts w:ascii="Arial" w:cs="Arial" w:eastAsia="Arial" w:hAnsi="Arial"/>
          <w:sz w:val="18"/>
          <w:szCs w:val="18"/>
          <w:color w:val="auto"/>
        </w:rPr>
        <w:t>—In March 2012, the Company entered into an $880.0 million senior secured credit agreement providing for two</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of term loans: a $410.0 million 2012 A-1 tranche due March 2016, which bore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other outstanding debt.</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the Company. The Company may also make optional prepayments, subject to prepayment fees. The 2012 Tranche A-1 Facility was fully repaid in August 2013. Additionally, through December 31, 2015, the Company made cumulative amortization repayments of $130.3 million on the 2012 Tranche A-2 Facility. For the years ended December 31, 2015, 2014 and 2013, repayments of the 2012 Secured Credit Facilities prior to maturity resulted in losses on early extinguishment of debt of $0.3 million, $1.5 million and $1.0 million, respectively, related to the accelerated amortization of discounts and unamortized deferred financing fees on the portion of the facility that was repaid. These amounts are included in "Loss on early extinguishment of debt, net" in the Company's consolidated statements of operations.</w:t>
      </w:r>
    </w:p>
    <w:p>
      <w:pPr>
        <w:spacing w:after="0" w:line="18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June 2014, the Company issued $550.0 million aggregate principal amount of 4.00% senior unsecured notes due November 2017</w:t>
      </w:r>
      <w:r>
        <w:rPr>
          <w:rFonts w:ascii="Arial" w:cs="Arial" w:eastAsia="Arial" w:hAnsi="Arial"/>
          <w:sz w:val="17"/>
          <w:szCs w:val="17"/>
          <w:b w:val="1"/>
          <w:bCs w:val="1"/>
          <w:color w:val="auto"/>
        </w:rPr>
        <w:t xml:space="preserve"> </w:t>
      </w:r>
      <w:r>
        <w:rPr>
          <w:rFonts w:ascii="Arial" w:cs="Arial" w:eastAsia="Arial" w:hAnsi="Arial"/>
          <w:sz w:val="17"/>
          <w:szCs w:val="17"/>
          <w:color w:val="auto"/>
        </w:rPr>
        <w:t>and $770.0 million aggregate principal amount of 5.00% senior unsecured notes due July 2019. Net proceeds from these transactions, together with cash on hand, were used to fully repay and terminate the February 2013 secured credit facility which had an outstanding balance of $1.32 billion. In connection with the repayment and termination of the February 2013 secured credit facility, for the year ended December 31, 2014, the Company recorded a loss on early extinguishment of debt of $22.8 million related to unamortized discounts and financing fees at the time of refinancing. This amount is included in "Loss on early extinguishment of debt, net" in the Company's consolidated statements of operations.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November 2013, the Company issued $200.0 million aggregate principal of 1.50% convertible senior unsecured notes due November 2016. Proceeds from the transaction, together with cash on hand, were used to fully repay the remaining $200.6 million of outstanding 5.70% senior unsecured notes due March 2014. In connection with the repayment of the 5.70% senior unsecured notes, the Company incurred $2.8 million of losses related to a prepayment penalty and the accelerated amortization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discounts, which was recorded in "Loss on early extinguishment of debt, net" in the Company's consolidated statements of operations for the year ended December 31, 2013.</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May 2013, the Company issued $265.0 million aggregate principal of 3.875% senior unsecured notes due July 2016 and issued $300.0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the Company incurred $9.5 million of losses related to a prepayment penalty and the accelerated amortization of discounts, which was recorded in "Loss on early extinguishment of debt, net" in the Company's consolidated statements of operations for the year ended December 31, 2013.</w:t>
      </w:r>
    </w:p>
    <w:p>
      <w:pPr>
        <w:spacing w:after="0" w:line="17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December 31, 2015 and 2014, the carrying value of the Company's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2015</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2014</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Unencumbered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816,721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777,262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602,471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1,213,960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126,681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10,496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156,807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984,249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961,055</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170,162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1,314,823</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1,364,828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231,820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336,411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1,033,515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1,037,542</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4,468,350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695,097</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4,801,536</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420" w:hanging="412"/>
        <w:spacing w:after="0"/>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2015 and 2014, the amounts presented exclude general reserves for loan losses of $36.0 million and $33.5 million, respectively.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2015, the amount presented excludes loan participations of $153.0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While our ability to incur additional indebtedness under the fixed charge coverage ratio is currently limited, we are permitted to incur indebtedness for the purpose of refinancing existing indebtedness and for other permitted purposes under the indentures.</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the Company to maintain collateral coverage of at least 1.25x outstanding borrowings on the facilities. The 2015 Revolving Credit Facility is secured by a borrowing base of assets and requires the Company to maintain both collateral coverage of at least 1.5x outstanding borrowings on the facility and a consolidated ratio of cash flow to fixed charges of at least 1.5x. The 2015 Revolving Credit Facility does not require that proceeds from the borrowing base be used to pay down outstanding borrowings provided the collateral coverage remains at least 1.5x outstanding borrowings on the facility. To satisfy this covenant, the Company has the option to pay down outstanding borrowings or substitute assets in the borrowing base. In addition, for so long as the Company maintains its qualification as a REIT, the 2012 Secured Credit Facilities and the 2015 Revolving Credit Facility permit the Company to distribute 100% of its REIT taxable income on an annual basis (prior to deducting certain cumulative NOL carryforwards in the case of the 2015 Revolving Credit Facility). The Company may not pay common dividends if it ceases to qualify as a REIT.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2" w:right="2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2012 Secured Credit Facilities and the 2015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net lease assets over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2015,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340" w:type="dxa"/>
            <w:vAlign w:val="bottom"/>
          </w:tcPr>
          <w:p>
            <w:pPr>
              <w:spacing w:after="0"/>
              <w:rPr>
                <w:sz w:val="14"/>
                <w:szCs w:val="14"/>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4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4"/>
                <w:szCs w:val="14"/>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Investments</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689,014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728,000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45,940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45,940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694,014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15,626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69,300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778,940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Other Commitments</w:t>
      </w:r>
      <w:r>
        <w:rPr>
          <w:rFonts w:ascii="Arial" w:cs="Arial" w:eastAsia="Arial" w:hAnsi="Arial"/>
          <w:sz w:val="18"/>
          <w:szCs w:val="18"/>
          <w:color w:val="auto"/>
        </w:rPr>
        <w:t>—Total operating lease expense for the years ended December 31, 2015, 2014 and 2013 was $6.0 million, $5.8 million and $6.1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Future minimum lease obligations under non-cancelable operating leases are as follows ($ in thousands):</w:t>
      </w:r>
    </w:p>
    <w:p>
      <w:pPr>
        <w:spacing w:after="0" w:line="153" w:lineRule="exact"/>
        <w:rPr>
          <w:sz w:val="20"/>
          <w:szCs w:val="20"/>
          <w:color w:val="auto"/>
        </w:rPr>
      </w:pPr>
    </w:p>
    <w:tbl>
      <w:tblPr>
        <w:tblLayout w:type="fixed"/>
        <w:tblInd w:w="3040" w:type="dxa"/>
        <w:tblCellMar>
          <w:top w:w="0" w:type="dxa"/>
          <w:left w:w="0" w:type="dxa"/>
          <w:bottom w:w="0" w:type="dxa"/>
          <w:right w:w="0" w:type="dxa"/>
        </w:tblCellMar>
      </w:tblPr>
      <w:tr>
        <w:trPr>
          <w:trHeight w:val="27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1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2017</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5,210</w:t>
            </w:r>
          </w:p>
        </w:tc>
      </w:tr>
      <w:tr>
        <w:trPr>
          <w:trHeight w:val="27"/>
        </w:trPr>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2019</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7"/>
        </w:trPr>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4,823</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also issued letters of credit totaling $2.2 million in connection with its investments.</w:t>
      </w:r>
    </w:p>
    <w:p>
      <w:pPr>
        <w:spacing w:after="0" w:line="14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6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March 7, 2014, a shareholder action purporting to assert derivative, class and individual claims was filed in the Circuit Court for Baltimore City, Maryland naming the Company, a number of its current and former senior executives (including its chief executive officer) and current and former directors as defendants. The complaint sought unspecified damages and other relief and alleged breach of fiduciary duty, breach of contract and other causes of action arising out of shares of common stock issued by the Company to its senior executives pursuant to restricted stock unit awards granted in December 2008 and modified in July 2011. On October 30, 2014, the Circuit Court granted the defendants’ Motions to Dismiss and plaintiffs’ claims against all of the defendants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 w:right="2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action were dismissed. Plaintiffs filed a notice of appeal of their dismissal of their claims against the Company and all other defendants. Oral argument took place before the Court of Special Appeals of Maryland on December 9, 2015. On January 28, 2016, the Court of Special Appeals affirmed the order of the Circuit Court, holding that the Circuit Court properly dismissed plaintiffs' claims against all defendants, including the Company.</w:t>
      </w:r>
    </w:p>
    <w:p>
      <w:pPr>
        <w:spacing w:after="0" w:line="16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2" w:lineRule="exact"/>
        <w:rPr>
          <w:sz w:val="20"/>
          <w:szCs w:val="20"/>
          <w:color w:val="auto"/>
        </w:rPr>
      </w:pPr>
    </w:p>
    <w:p>
      <w:pPr>
        <w:jc w:val="both"/>
        <w:ind w:firstLine="8"/>
        <w:spacing w:after="0" w:line="252"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participation interest in all proceeds. Lennar has appealed the Court's judgment. The Court has granted Lennar's motion to stay the judgment pending appeal, subject to Lennar posting a required appeal bond, which has been posted. The Court also clarified the judgment that the unpaid amount will accrue simple interest at a rate of 12% annually, including while the appeal is pending. A court-ordered mediation took place on August 13, 2015, but it was unsuccessful. In the pending appeal before the United States Court of Appeals for the Fourth Circuit, the parties have filed their respective briefs. Oral argument has not yet been scheduled. There can be no assurance as to the timing or actual receipt by the Company of amounts awarded by the Court or the outcome of any appeal.</w:t>
      </w:r>
    </w:p>
    <w:p>
      <w:pPr>
        <w:spacing w:after="0" w:line="19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8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spacing w:after="0" w:line="21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Risk concentrations</w:t>
      </w:r>
      <w:r>
        <w:rPr>
          <w:rFonts w:ascii="Arial" w:cs="Arial" w:eastAsia="Arial" w:hAnsi="Arial"/>
          <w:sz w:val="18"/>
          <w:szCs w:val="18"/>
          <w:color w:val="auto"/>
        </w:rPr>
        <w:t>—Concentrations of credit risks arise when a number of borrowers or tenants related to the Company's investments are engaged in</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business activities, or activities in the same geographic region, or have similar economic features that would cause their ability to meet contractual obligations, including those to the Company, to be similarly affected by changes in economic conditions.</w:t>
      </w:r>
    </w:p>
    <w:p>
      <w:pPr>
        <w:spacing w:after="0" w:line="2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Substantially all of the Company's real estate as well as assets collateralizing its loans receivable are located in the United States. As of December 31, 2015, the only states with a concentration greater than 10.0% were New York with 19.9% and California with 13.6%. As of December 31, 2015, the Company's portfolio contains concentrations in the following asset types: office/industrial 22.5%, land 22.7%, mixed use/mixed collateral 15.8% and hotel 10.6%.</w:t>
      </w:r>
    </w:p>
    <w:p>
      <w:pPr>
        <w:spacing w:after="0" w:line="2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 material adverse effect on the Company. As of December 31, 2015, the Company's five largest borrowers or tenants collectively accounted for approximately $118 million of the Company's 2015 revenues, of which no single customer accounts for more than 6%.</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December 31, 2015 and 2014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3580" w:type="dxa"/>
            <w:vAlign w:val="bottom"/>
            <w:tcBorders>
              <w:bottom w:val="single" w:sz="8" w:color="auto"/>
            </w:tcBorders>
            <w:gridSpan w:val="6"/>
          </w:tcPr>
          <w:p>
            <w:pPr>
              <w:ind w:left="1200"/>
              <w:spacing w:after="0"/>
              <w:rPr>
                <w:sz w:val="20"/>
                <w:szCs w:val="20"/>
                <w:color w:val="auto"/>
              </w:rPr>
            </w:pPr>
            <w:r>
              <w:rPr>
                <w:rFonts w:ascii="Arial" w:cs="Arial" w:eastAsia="Arial" w:hAnsi="Arial"/>
                <w:sz w:val="14"/>
                <w:szCs w:val="14"/>
                <w:b w:val="1"/>
                <w:bCs w:val="1"/>
                <w:color w:val="auto"/>
                <w:w w:val="95"/>
              </w:rPr>
              <w:t>Derivative Assets as of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Derivative Liabilities as of December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52"/>
        </w:trPr>
        <w:tc>
          <w:tcPr>
            <w:tcW w:w="19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478</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478</w:t>
            </w:r>
          </w:p>
        </w:tc>
      </w:tr>
      <w:tr>
        <w:trPr>
          <w:trHeight w:val="257"/>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1940" w:type="dxa"/>
            <w:vAlign w:val="bottom"/>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6,309</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86</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in the consolidated statements of operations and the consolidated statements of comprehensive income (loss) for the years ended December 31, 2015, 2014 and 2013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2"/>
              </w:rPr>
              <w:t>Amount of Gain (Loss)</w:t>
            </w: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3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Location of Gain (Loss)</w:t>
            </w:r>
          </w:p>
        </w:tc>
        <w:tc>
          <w:tcPr>
            <w:tcW w:w="10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2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51"/>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2340" w:type="dxa"/>
            <w:vAlign w:val="bottom"/>
            <w:gridSpan w:val="3"/>
          </w:tcPr>
          <w:p>
            <w:pPr>
              <w:ind w:left="500"/>
              <w:spacing w:after="0"/>
              <w:rPr>
                <w:sz w:val="20"/>
                <w:szCs w:val="20"/>
                <w:color w:val="auto"/>
              </w:rPr>
            </w:pPr>
            <w:r>
              <w:rPr>
                <w:rFonts w:ascii="Arial" w:cs="Arial" w:eastAsia="Arial" w:hAnsi="Arial"/>
                <w:sz w:val="14"/>
                <w:szCs w:val="14"/>
                <w:b w:val="1"/>
                <w:bCs w:val="1"/>
                <w:color w:val="auto"/>
              </w:rPr>
              <w:t>Recognized in Income</w:t>
            </w:r>
          </w:p>
        </w:tc>
        <w:tc>
          <w:tcPr>
            <w:tcW w:w="100" w:type="dxa"/>
            <w:vAlign w:val="bottom"/>
          </w:tcPr>
          <w:p>
            <w:pPr>
              <w:spacing w:after="0"/>
              <w:rPr>
                <w:sz w:val="16"/>
                <w:szCs w:val="16"/>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Income (Effective Portion)</w:t>
            </w: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3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Year Ended December 31, 2015</w:t>
            </w:r>
          </w:p>
        </w:tc>
        <w:tc>
          <w:tcPr>
            <w:tcW w:w="2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2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Year Ended December 31, 2014</w:t>
            </w: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w w:val="97"/>
              </w:rPr>
              <w:t>For the Year Ended December 31, 2013</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3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right="131"/>
              <w:spacing w:after="0"/>
              <w:rPr>
                <w:sz w:val="20"/>
                <w:szCs w:val="20"/>
                <w:color w:val="auto"/>
              </w:rPr>
            </w:pPr>
            <w:r>
              <w:rPr>
                <w:rFonts w:ascii="Arial" w:cs="Arial" w:eastAsia="Arial" w:hAnsi="Arial"/>
                <w:sz w:val="14"/>
                <w:szCs w:val="14"/>
                <w:b w:val="1"/>
                <w:bCs w:val="1"/>
                <w:color w:val="auto"/>
                <w:w w:val="92"/>
              </w:rPr>
              <w:t>Amount of Gain or (Loss) Recognized in Income</w:t>
            </w: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Location of Gain or</w:t>
            </w:r>
          </w:p>
        </w:tc>
        <w:tc>
          <w:tcPr>
            <w:tcW w:w="2900" w:type="dxa"/>
            <w:vAlign w:val="bottom"/>
            <w:gridSpan w:val="8"/>
          </w:tcPr>
          <w:p>
            <w:pPr>
              <w:jc w:val="center"/>
              <w:ind w:left="563"/>
              <w:spacing w:after="0"/>
              <w:rPr>
                <w:sz w:val="20"/>
                <w:szCs w:val="20"/>
                <w:color w:val="auto"/>
              </w:rPr>
            </w:pPr>
            <w:r>
              <w:rPr>
                <w:rFonts w:ascii="Arial" w:cs="Arial" w:eastAsia="Arial" w:hAnsi="Arial"/>
                <w:sz w:val="14"/>
                <w:szCs w:val="14"/>
                <w:b w:val="1"/>
                <w:bCs w:val="1"/>
                <w:color w:val="auto"/>
                <w:w w:val="92"/>
              </w:rPr>
              <w:t>For the Years Ended 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3"/>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2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Derivatives not Designated in Hedging Relationships</w:t>
            </w:r>
          </w:p>
        </w:tc>
        <w:tc>
          <w:tcPr>
            <w:tcW w:w="2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240" w:type="dxa"/>
            <w:vAlign w:val="bottom"/>
            <w:gridSpan w:val="2"/>
          </w:tcPr>
          <w:p>
            <w:pPr>
              <w:spacing w:after="0"/>
              <w:rPr>
                <w:sz w:val="5"/>
                <w:szCs w:val="5"/>
                <w:color w:val="auto"/>
              </w:rPr>
            </w:pPr>
          </w:p>
        </w:tc>
        <w:tc>
          <w:tcPr>
            <w:tcW w:w="10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820" w:type="dxa"/>
            <w:vAlign w:val="bottom"/>
            <w:gridSpan w:val="3"/>
            <w:vMerge w:val="restart"/>
          </w:tcPr>
          <w:p>
            <w:pPr>
              <w:jc w:val="center"/>
              <w:ind w:left="351"/>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Income</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6"/>
              </w:rPr>
              <w:t>Other Expense</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w w:val="86"/>
              </w:rPr>
              <w:t>Other Expense</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8"/>
                <w:szCs w:val="18"/>
                <w:color w:val="auto"/>
                <w:w w:val="97"/>
              </w:rPr>
              <w:t>7,257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December 31, 2015, the Company had the following outstanding foreign currency derivatives that were used to hedge its net investments in foreign operations that were designated (Rs and $ in thousands):</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Notional</w:t>
            </w:r>
          </w:p>
        </w:tc>
        <w:tc>
          <w:tcPr>
            <w:tcW w:w="16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5"/>
              </w:rPr>
              <w:t>(USD Equivalent)</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456,000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December 2016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December 31, 2015, the Company had the following outstanding foreign currency derivatives that were used to hedge its net investments in foreign operations that were not designated ($, €, and £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7"/>
              </w:rPr>
              <w:t>January 2016</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1"/>
                <w:szCs w:val="21"/>
                <w:color w:val="auto"/>
              </w:rPr>
            </w:pP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January 2016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each quarter based on current exchange rates and records the gain or loss through "Other expense" in its consolidated statements of operations for loan investments or "Accumulated other comprehensive income (loss)," on its consolidated balance sheets for net investments in foreign subsidiaries. The Company recorded net gains (losses) related to foreign investments of $(0.1) million, $0.1 million and $(2.0) million during the years ended December 31, 2015, 2014 and 2013, respectively, in its consolidated statements of operations.</w:t>
      </w:r>
    </w:p>
    <w:p>
      <w:pPr>
        <w:spacing w:after="0" w:line="127"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Interest Rate Hedges</w:t>
      </w:r>
      <w:r>
        <w:rPr>
          <w:rFonts w:ascii="Arial" w:cs="Arial" w:eastAsia="Arial" w:hAnsi="Arial"/>
          <w:sz w:val="18"/>
          <w:szCs w:val="18"/>
          <w:color w:val="auto"/>
        </w:rPr>
        <w:t>—For derivatives designated as interest rate hedges, the effective portion of changes in the fair value of the derivatives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Accumulated Other Comprehensive Income (Loss). The ineffective portion of the change in fair value of the derivatives is recognized directly in the Company's consolidated statements of operations. The Company entered into an interest rate swap to convert its variable rate debt to fixed rate on a $28.0 million secured term loan maturing in 2019. As of December 31, 2015, the Company had the following outstanding interest rate swap that was used to hedge its variable rate debt that was designated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26,935</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For derivatives not designated as interest rate hedges, the changes in the fair value of the derivatives are reported in the Company's consolidated statements of operations within "Other Expense." In August 2013, the Company entered into an interest rate cap agreement to reduce exposure to expected increases in future interest rates and the resulting payments associated with variable interest rate debt. In June 2014, in connection with the full repayment and termination of the Company's February 2013 Secured Credit Facility referenced in Note 10, the Company realized amounts in earnings from other comprehensive income (loss) as a portion of a hedge related to the Company's variable rate debt was no longer expected to be highly effective. The amount realized was a loss of $3.6 million recorded as a component of "Other expense" in the Company's consolidated statements of operations. As of December 31, 2015, the Company had the following outstanding interest rate cap that was used to hedge its variable rate debt that was not designated ($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Over the next 12 months, the Company expects that $0.1 million related to terminated cash flow hedges will be reclassified from "Accumulated other comprehensive income (loss)" into interest expense and $0.5 million relating to other cash flow hedges will be reclassified from "Accumulated other comprehensive income (loss)" into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2" w:right="2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reports derivative instruments on a gross basis in the consolidated financial statements. In connection with its foreign currency derivatives, which were in a liability position as of December 31, 2015 and 2014, the Company has posted collateral of $1.0 million and $3.0 million, respectively, which is included in "Deferred expenses and other assets, net" on the Company's consolidated balance sheets. The Company's net exposure under these contracts was zero as of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Dividends</w:t>
            </w:r>
            <w:r>
              <w:rPr>
                <w:rFonts w:ascii="Arial" w:cs="Arial" w:eastAsia="Arial" w:hAnsi="Arial"/>
                <w:sz w:val="8"/>
                <w:szCs w:val="8"/>
                <w:b w:val="1"/>
                <w:bCs w:val="1"/>
                <w:color w:val="auto"/>
                <w:w w:val="94"/>
              </w:rPr>
              <w:t>(1)(2)</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5"/>
              </w:rPr>
              <w:t>Equivalent to</w:t>
            </w:r>
          </w:p>
        </w:tc>
        <w:tc>
          <w:tcPr>
            <w:tcW w:w="0" w:type="dxa"/>
            <w:vAlign w:val="bottom"/>
          </w:tcPr>
          <w:p>
            <w:pPr>
              <w:spacing w:after="0"/>
              <w:rPr>
                <w:sz w:val="1"/>
                <w:szCs w:val="1"/>
                <w:color w:val="auto"/>
              </w:rPr>
            </w:pPr>
          </w:p>
        </w:tc>
      </w:tr>
      <w:tr>
        <w:trPr>
          <w:trHeight w:val="149"/>
        </w:trPr>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w:t>
            </w:r>
          </w:p>
        </w:tc>
        <w:tc>
          <w:tcPr>
            <w:tcW w:w="1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Liquidation Preference</w:t>
            </w:r>
          </w:p>
        </w:tc>
        <w:tc>
          <w:tcPr>
            <w:tcW w:w="10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rPr>
              <w:t>D</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E</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G</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gridSpan w:val="2"/>
            <w:shd w:val="clear" w:color="auto" w:fill="CCEEFF"/>
          </w:tcPr>
          <w:p>
            <w:pPr>
              <w:jc w:val="center"/>
              <w:ind w:right="100"/>
              <w:spacing w:after="0" w:line="269" w:lineRule="exact"/>
              <w:rPr>
                <w:sz w:val="20"/>
                <w:szCs w:val="20"/>
                <w:color w:val="auto"/>
              </w:rPr>
            </w:pPr>
            <w:r>
              <w:rPr>
                <w:rFonts w:ascii="Arial" w:cs="Arial" w:eastAsia="Arial" w:hAnsi="Arial"/>
                <w:sz w:val="31"/>
                <w:szCs w:val="31"/>
                <w:color w:val="auto"/>
                <w:w w:val="87"/>
                <w:vertAlign w:val="subscript"/>
              </w:rPr>
              <w:t>J</w:t>
            </w:r>
            <w:r>
              <w:rPr>
                <w:rFonts w:ascii="Arial" w:cs="Arial" w:eastAsia="Arial" w:hAnsi="Arial"/>
                <w:sz w:val="12"/>
                <w:szCs w:val="12"/>
                <w:color w:val="auto"/>
                <w:w w:val="87"/>
              </w:rPr>
              <w:t>(3)</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17145</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-98425</wp:posOffset>
            </wp:positionV>
            <wp:extent cx="1106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Company declared and paid dividends of $8.0 million, $11.0 million, $7.8 million, $6.1 million and $9.4 million on its Series D, E, F, G and I Cumulative Redeemable Preferred Stock during the years ended December 31, 2015 and 2014. The Company declared and paid dividends of $9.0 million on its Series J Convertible Perpetual Preferred Stock during the years ended December 31, 2015 and 2014, respectively. All of the dividends qualified as return of capital for tax reporting purposes. There are no dividend arrearages on any of the preferred shares currently outstanding.</w:t>
      </w:r>
    </w:p>
    <w:p>
      <w:pPr>
        <w:spacing w:after="0" w:line="1" w:lineRule="exact"/>
        <w:rPr>
          <w:rFonts w:ascii="Arial" w:cs="Arial" w:eastAsia="Arial" w:hAnsi="Arial"/>
          <w:sz w:val="14"/>
          <w:szCs w:val="14"/>
          <w:color w:val="auto"/>
        </w:rPr>
      </w:pPr>
    </w:p>
    <w:p>
      <w:pPr>
        <w:jc w:val="both"/>
        <w:ind w:left="420" w:hanging="412"/>
        <w:spacing w:after="0" w:line="246"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May 2002, the Company's shareholders approved the iStar HPU Program. The program entitled employee participants ("HPU Holders") to receive distributions if the total rate of return on the Company's common stock (share price appreciation plus dividends) exceeded certain performance thresholds over a specified valuation period. The Company established seven HPU plans that had valuation periods ending between 2002 and 2008 and the Company has not established any new HPU plans since 2005. HPU Holders purchased interests in the High Performance common stock for an aggregate initial purchase price of $9.8 million. The remaining four plans that had valuation periods which ended in 2005, 2006, 2007 and 2008, did not meet their required performance thresholds, none of the plans were funded and the Company redeemed the participants' units.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2002, 2003 and 2004 plans all exceeded their performance thresholds and were entitled to receive distributions equivalent to the amount of dividends payable on 819,254 shares, 987,149 shares and 1,031,875 shares, respectively, of the Company's common stock as and when such dividends are paid on the Company's common stock. Each of these three plans has 5,000 shares of High Performance common stock associated with it, which was recorded as a separate class of stock within shareholders' equity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Company's consolidated balance sheets. High Performance common stock carries 0.25 votes per share. Net income allocable to common shareholders is reduced by the HPU holders' share of earnings.</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August 2015, the Company repurchased and retired all of its outstanding 14,888 HPUs, representing approximately 2.8 million common stock equivalents. The Company repurchased these HPUs at fair value from current and former employees through an arms-length exchange offer. HPU holders could elect to receive $9.30 in cash or 0.7 shares of iStar common stock, or a combination thereof, per common stock equivalent underlying the HPUs. Approximately 37% of the outstanding HPUs were exchanged for $9.8 million in cash and approximately 63% of the outstanding HPUs were exchanged for 1.2 million shares of iStar common stock with a fair value of $15.2 million, representing the number of shares issued at the closing price of the Company's common stock on August 13, 2015. The transaction value in excess of the HPUs carrying value of $9.8 million was recorded as a reduction to retained earnings (deficit) in the Company's consolidated statements of changes in equity.</w:t>
      </w:r>
    </w:p>
    <w:p>
      <w:pPr>
        <w:spacing w:after="0" w:line="17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—In order to maintain its qualification as a REIT, the Company must currently distribute, at a minimum, an amount equal to 90% of its</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income, excluding net capital gains, and must distribute 100% of its taxable income (including net capital gains) to avoid paying corporate federal income taxes. The Company has recorded NOLs and may record NOLs in the future, which may reduce its taxable income in future periods and lower or eliminate entirely the Company's obligation to pay dividends for such periods in order to maintain its REIT qualification. As of December 31, 2014, the Company had $856.4 million of NOL carryforwards at the corporate REIT level that can generally be used to offset both ordinary and capital taxable income in future years and will expire through 2034 if unused. The amount of NOL carryforwards as of December 31, 2015 will be determined upon finalization of the Company's 2015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2012 Tranche A-2 Facility and the 2015 Revolving Credit Facility permit the Company to distribute 100% of its REIT taxable income on an annual basis (prior to deducting certain cumulative NOL carryforwards in the case of the 2015 Revolving Credit Facility), for so long as the Company maintains its qualification as a REIT. The 2012 Tranche A-2 Facility and the 2015 Revolving Credit Facility restrict the Company from paying any common dividends if it ceases to qualify as a REIT. The Company did not declare or pay any common stock dividends for the years ended December 31, 2015 and 2014.</w:t>
      </w:r>
    </w:p>
    <w:p>
      <w:pPr>
        <w:spacing w:after="0" w:line="17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color w:val="auto"/>
        </w:rPr>
        <w:t>Stock Repurchase Program</w:t>
      </w:r>
      <w:r>
        <w:rPr>
          <w:rFonts w:ascii="Arial" w:cs="Arial" w:eastAsia="Arial" w:hAnsi="Arial"/>
          <w:sz w:val="17"/>
          <w:szCs w:val="17"/>
          <w:color w:val="auto"/>
        </w:rPr>
        <w:t>—In September 2015, the Company's Board of Directors approved an increase in the repurchase limit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previously approved stock repurchase program to $50.0 million. In December 2015, after having substantially utilized the availability approved in September 2015, the Company's Board of Directors authorized a new $50.0 million repurchase program. The program authorizes the repurchase of common stock from time to time in open market and privately negotiated purchases, including pursuant to one or more trading plans. There were no stock repurchases during the year ended December 31, 2014. During the year ended December 31, 2015, the Company repurchased 5.7 million shares of its outstanding common stock for $70.3 million, at an average cost of $12.25 per share. As of December 31, 2015, the Company had remaining authorization to repurchase up to $48.7 million of common stock available to repurchase under its stock repurchase program. Subsequent to December 31, 2015, the Company repurchased 5.2 million shares of its outstanding common stock for $52.0 million, at an average cost of $10.10 per share. In February 2016, the Company's Board of Directors authorized a new $50.0 million repurchase program.</w:t>
      </w:r>
    </w:p>
    <w:p>
      <w:pPr>
        <w:spacing w:after="0" w:line="174"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5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22, 2014, the Company's shareholders approved the 2013 Performance Incentive Plan ("iPIP") which is designed to provide, primarily to senior executives and select professionals engaged in the Company's investment activities, long-term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compensation which has a direct relationship to the realized returns on investments included in the plan. In May 2014, the Company granted 73 iPIP points for the initial 2013-2014 investment pool and in February 2015, the Company granted an additional 10 points for the 2013-2014 investment pool and 34 iPIP points for the 2015-2016 investment pool. All decisions regarding the granting of points under iPIP are made at the discretion of the Company's Board of Directors or a committee of the Board of Directors. The fair value of points is determined using a model that forecasts the Company's projected investment performance. The payout of iPIP is based on the amount of invested capital, investment performance and the Company's total shareholder return ("TSR") as compared to the average TSR of the NAREIT All REIT Index and the Russell 2000 Index during the relevant performance period for the investments in each pool. The Company, as well as any companies not included in each index at the beginning and end of the performance period, are excluded from calculation of the performance of such index. Point holders will not receive a distribution until the Company has received a full return of its capital plus a preferred return distribution, which is based on a preferred return hurdle rate of 9% per annum. Subject to certain vesting and employment requirements, point holders will be paid a combination of cash and stock. iPIP is a liability-classified award which will be remeasured each reporting period at fair value until the awards are settled. Compensation costs relating to iPIP are included in "General and administrative" in the Company's consolidated statements of operations. As of December 31, 2015 and 2014, the Company had accrued compensation costs relating to iPIP of $16.6 million and $7.8 million, respectively, which are included in "Accounts payable, accrued expenses and other liabilities" on the Company's consolidated balance sheets.</w:t>
      </w:r>
    </w:p>
    <w:p>
      <w:pPr>
        <w:spacing w:after="0" w:line="26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 maximum of 8,000,000 shares of common stock may be awarded under the 2009 LTIP. All awards under the 2009 LTIP are made at the discretion of the Company's Board of Directors or a committee of the Board of Directors.</w:t>
      </w:r>
    </w:p>
    <w:p>
      <w:pPr>
        <w:spacing w:after="0" w:line="24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2006 Long-Term Incentive Plan (the "2006 LTIP") is designed to provide equity-based incentive compensation for officers, key employees, directors, consultants and advisors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anti-dilution provisions in the 2006 LTIP. All awards under this Plan are at the discretion of the Company's Board of Directors or a committee of the Board of Directors.</w:t>
      </w:r>
    </w:p>
    <w:p>
      <w:pPr>
        <w:spacing w:after="0" w:line="11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2015, an aggregate of 3.7 million shares remain available for issuance pursuant to future awards under the Company's 2006 and 2009 Long-Term Incentive Plans.</w:t>
      </w:r>
    </w:p>
    <w:p>
      <w:pPr>
        <w:spacing w:after="0" w:line="2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2007 Incentive Compensation Plan ("Incentive Plan") was approved and adopted by the Company's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pacing w:after="0" w:line="10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$12.0 million, $13.3 million and $19.3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ended December 31, 2015, 2014 and 2013 in "General and administrative" in the Company's consolidated statements of operations. As of December 31, 2015, there was $1.9 million of total unrecognized compensation cost related to all unvested restricted stock units that are expected to be recognized over a weighted average remaining vesting/service period of 0.86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Issuances</w:t>
      </w:r>
    </w:p>
    <w:p>
      <w:pPr>
        <w:spacing w:after="0" w:line="3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2015, the Company granted 318,482 shares of common stock to certain employees as part of annual incentive awards that included a mix of cash and shares. The weighted average grant date fair value per share of these share awards was $13.04 and the total fair value was $4.2 million. The shares are fully-vested and 189,241 shares were issued net of statutory minimum required tax withholdings. The employees are restricted from selling these shares for up to two years from the date of grant.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Changes in non-vested restricted stock units ("Units") during the year ended December 31, 2015 were as follows (number of shares and $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4"/>
                <w:szCs w:val="14"/>
                <w:color w:val="auto"/>
              </w:rPr>
            </w:pPr>
          </w:p>
        </w:tc>
        <w:tc>
          <w:tcPr>
            <w:tcW w:w="138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4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Fair Value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7"/>
              </w:rPr>
              <w:t>of Shares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1"/>
              </w:rPr>
              <w:t>Per Share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as of December 31, 2014</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2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as of December 31, 2015</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28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12.90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total fair value of Units vested during the years ended December 31, 2015, 2014 and 2013 was $0.1 million, $39.2 million and $31.6 million, respectively.</w:t>
      </w:r>
    </w:p>
    <w:p>
      <w:pPr>
        <w:spacing w:after="0" w:line="85"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2015 Restricted Stock Unit Activity</w:t>
      </w:r>
      <w:r>
        <w:rPr>
          <w:rFonts w:ascii="Arial" w:cs="Arial" w:eastAsia="Arial" w:hAnsi="Arial"/>
          <w:sz w:val="18"/>
          <w:szCs w:val="18"/>
          <w:color w:val="auto"/>
        </w:rPr>
        <w:t>—During the year ended December 31, 2015, the Company granted new stock-based compensation awards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employees in the form of long-term incentive awards, comprised of the following:</w:t>
      </w:r>
    </w:p>
    <w:p>
      <w:pPr>
        <w:spacing w:after="0" w:line="125" w:lineRule="exact"/>
        <w:rPr>
          <w:sz w:val="20"/>
          <w:szCs w:val="20"/>
          <w:color w:val="auto"/>
        </w:rPr>
      </w:pPr>
    </w:p>
    <w:p>
      <w:pPr>
        <w:jc w:val="both"/>
        <w:ind w:left="660" w:hanging="247"/>
        <w:spacing w:after="0" w:line="286"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49,650 target amount of performance-based Units were granted on January 30, 2015, representing the right to receive an equivalent number of shares of the Company's common stock (after deducting shares for minimum required statutory withholdings) if and when the Units vest. The performance is based on the Company's TSR, measured over a performance period ending on December 31, 2017,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 As of December 31, 2015, 48,519 of such performance-based Units were outstanding.</w:t>
      </w:r>
    </w:p>
    <w:p>
      <w:pPr>
        <w:spacing w:after="0" w:line="134" w:lineRule="exact"/>
        <w:rPr>
          <w:rFonts w:ascii="Arial" w:cs="Arial" w:eastAsia="Arial" w:hAnsi="Arial"/>
          <w:sz w:val="16"/>
          <w:szCs w:val="16"/>
          <w:color w:val="auto"/>
        </w:rPr>
      </w:pPr>
    </w:p>
    <w:p>
      <w:pPr>
        <w:jc w:val="both"/>
        <w:ind w:left="660" w:hanging="247"/>
        <w:spacing w:after="0" w:line="27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64,196 service-based Units were granted on January 30, 2015, representing the right to receive an equivalent number of shares of the Company's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December 31, 2015, 61,557 of such service-based Units were outstanding.</w:t>
      </w:r>
    </w:p>
    <w:p>
      <w:pPr>
        <w:spacing w:after="0" w:line="132" w:lineRule="exact"/>
        <w:rPr>
          <w:rFonts w:ascii="Arial" w:cs="Arial" w:eastAsia="Arial" w:hAnsi="Arial"/>
          <w:sz w:val="17"/>
          <w:szCs w:val="17"/>
          <w:color w:val="auto"/>
        </w:rPr>
      </w:pPr>
    </w:p>
    <w:p>
      <w:pPr>
        <w:jc w:val="both"/>
        <w:ind w:left="660" w:hanging="247"/>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4,751 service-based Units were granted on various dates to certain employees, representing the right to receive an equivalent number of shares of the Company's common stock (after deducting shares for minimum required statutory withholdings) if and when the Units vest. The Units will cliff vest in one installment on the third anniversary of the grant date of the award,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December 31, 2015, 4,751 of such service-based Units were outstanding.</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Company had the following additional stock-based compensation awards outstanding:</w:t>
      </w:r>
    </w:p>
    <w:p>
      <w:pPr>
        <w:spacing w:after="0" w:line="225" w:lineRule="exact"/>
        <w:rPr>
          <w:sz w:val="20"/>
          <w:szCs w:val="20"/>
          <w:color w:val="auto"/>
        </w:rPr>
      </w:pPr>
    </w:p>
    <w:p>
      <w:pPr>
        <w:jc w:val="both"/>
        <w:ind w:left="660" w:hanging="247"/>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49,434 target amount of performance-based Units, granted on January 10, 2014, representing the right to receive an equivalent number of shares of the Company's common stock (after deducting shares for minimum required statutory withholdings) if and when the Units vest based on the Company’s TSR measured over a performance period ending 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29" w:lineRule="auto"/>
        <w:rPr>
          <w:sz w:val="20"/>
          <w:szCs w:val="20"/>
          <w:color w:val="auto"/>
        </w:rPr>
      </w:pPr>
      <w:r>
        <w:rPr>
          <w:rFonts w:ascii="Arial" w:cs="Arial" w:eastAsia="Arial" w:hAnsi="Arial"/>
          <w:sz w:val="17"/>
          <w:szCs w:val="17"/>
          <w:color w:val="auto"/>
        </w:rPr>
        <w:t>December 31, 2016, which is the date the awards cliff vest. The other terms of these performance-based Units are identical to the terms described above for the performance-based Units granted in 2015.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w:t>
      </w:r>
    </w:p>
    <w:p>
      <w:pPr>
        <w:spacing w:after="0" w:line="103" w:lineRule="exact"/>
        <w:rPr>
          <w:sz w:val="20"/>
          <w:szCs w:val="20"/>
          <w:color w:val="auto"/>
        </w:rPr>
      </w:pPr>
    </w:p>
    <w:p>
      <w:pPr>
        <w:jc w:val="both"/>
        <w:ind w:left="660" w:hanging="247"/>
        <w:spacing w:after="0" w:line="25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62,662 service-based Units, granted on January 10, 2014, representing the right to receive an equivalent number of shares of the Company's common stock (after deducting shares for minimum required statutory withholdings) if and when the Units vest. The Units will cliff vest in one installment on December 31,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194,526 service-based Units, granted on February 1, 2013, representing the right to receive an equivalent number of shares of the Company's common stock (after deducting shares for minimum required statutory withholdings) if and when the Units vest. The Units will cliff vest in one installment on February 1, 2016, three years from the grant date,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4,000 service-based Units granted on May 14, 2013, representing the right to receive an equivalent number of shares of the Company's common stock (after deducting shares for minimum required statutory withholdings) if and when the Units vest. The Units will cliff vest in one installment on May 14, 2016, three years from the grant date,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—Non-employee directors are awarded common stock equivalents ("CSEs") or restricted stock awards ("RSAs")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shareholders' meeting in consideration for their services on the Company's Board of Directors. During the year ended December 31, 2015, the Company awarded to non-employee Directors a combined 50,360 CSEs and RSAs at a fair value per share of $14.40 at the time of grant. These CSEs and RSAs have a one year vesting period and pay dividends, if any, in an amount equal to the dividends paid on the equivalent number of shares of the Company's common stock from the date of grant, as and when dividends are paid on common stock. In addition, during the year ended December 31, 2015, the Company issued an additional 7,494 RSAs to a non-employee Director, who joined the Company's Board of Directors in July 2015, pursuant to the Company's Non-Employee Directors Deferral Plan, at a fair value per share of $13.09 at the time of grant. As of December 31, 2015, a total of 296,755 CSEs and RSAs of the Company' common stock granted to members of the Company's Board of Directors remained outstanding under such Plan, with an aggregate intrinsic value of $3.5 million.</w:t>
      </w:r>
    </w:p>
    <w:p>
      <w:pPr>
        <w:spacing w:after="0" w:line="189"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—The Company has a savings and retirement plan (the "401(k) Plan"), which is a voluntary, defined contribution plan. All employees are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Company's Board of Directors, the Company may make matching contributions on the participant's behalf of up to 50% of the first 10% of the participant's annual compensation. The Company made gross contributions of $1.0 million for the year ended December 31, 2015 and $0.9 million each year for the years ended December 31, 2014 and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 HPU holders were current and former Company employees who purchased high performance common stock units under the Company's High Performance Unit Program. These HPU units were treated as a separate class of common stock. All of the Company's outstanding HPUs were repurchased and retired on August 13, 2015 (refer to Note 13).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EPS calculations ($ in thousands, except for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(220,768)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93,816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89,943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86,658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(49,020)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(loss) from continuing operations attributable to iStar Inc. and allocable to common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shareholders, HPU holders and Participating Security Holders for basic earnings per common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(34,851)</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(183,848)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For the Years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Income (loss) from continuing operations attributable to iStar Inc. and allocable to common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(177,907)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21,515</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(155,769)</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5"/>
              </w:rPr>
              <w:t>Weighted average common shares outstanding for basic and diluted earnings per common</w:t>
            </w:r>
          </w:p>
        </w:tc>
        <w:tc>
          <w:tcPr>
            <w:tcW w:w="340" w:type="dxa"/>
            <w:vAlign w:val="bottom"/>
          </w:tcPr>
          <w:p>
            <w:pPr>
              <w:spacing w:after="0"/>
              <w:rPr>
                <w:sz w:val="19"/>
                <w:szCs w:val="19"/>
                <w:color w:val="auto"/>
              </w:rPr>
            </w:pPr>
          </w:p>
        </w:tc>
        <w:tc>
          <w:tcPr>
            <w:tcW w:w="1060" w:type="dxa"/>
            <w:vAlign w:val="bottom"/>
            <w:vMerge w:val="restart"/>
          </w:tcPr>
          <w:p>
            <w:pPr>
              <w:jc w:val="right"/>
              <w:ind w:right="34"/>
              <w:spacing w:after="0"/>
              <w:rPr>
                <w:sz w:val="20"/>
                <w:szCs w:val="20"/>
                <w:color w:val="auto"/>
              </w:rPr>
            </w:pPr>
            <w:r>
              <w:rPr>
                <w:rFonts w:ascii="Arial" w:cs="Arial" w:eastAsia="Arial" w:hAnsi="Arial"/>
                <w:sz w:val="18"/>
                <w:szCs w:val="18"/>
                <w:color w:val="auto"/>
              </w:rPr>
              <w:t>84,987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85,031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84,990</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5"/>
              </w:rPr>
              <w:t>Income (loss) from continuing operations attributable to iStar Inc. and allocable to common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620"/>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70"/>
        </w:trPr>
        <w:tc>
          <w:tcPr>
            <w:tcW w:w="7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allocable to HPUs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(loss) from continuing operations attributable to iStar Inc. and allocable to HPU</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Inc. and allocable to HPU 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Weighted average HPUs outstanding for basic and diluted earnings per share</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9"/>
              </w:rPr>
              <w:t>Income (loss) from continuing operations attributable to iStar Inc. and allocable to HPU</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(396.07)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47.87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Inc. and allocable to HPU 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(346.80)</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-98425</wp:posOffset>
            </wp:positionV>
            <wp:extent cx="2752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00" w:hanging="49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13).</w:t>
      </w: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years ended December 31, 2015, 2014 and 2013, the following shares were not included in the diluted EPS calculation because they were anti-dilutive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36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6"/>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3.00% convertible senior unsecured notes</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1.50% convertible senior unsecured notes</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11,567</w:t>
            </w:r>
          </w:p>
        </w:tc>
      </w:tr>
      <w:tr>
        <w:trPr>
          <w:trHeight w:val="182"/>
        </w:trPr>
        <w:tc>
          <w:tcPr>
            <w:tcW w:w="70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ind w:left="420" w:hanging="4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the years ended December 31, 2015, 2014 and 2013, the effect of the Company's unvested Units, performance-based Units and CSEs were anti-dilutive.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Level 2:</w:t>
        <w:tab/>
        <w:t>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Level 3:</w:t>
        <w:tab/>
        <w:t>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Using</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3"/>
                <w:szCs w:val="13"/>
                <w:color w:val="auto"/>
              </w:rPr>
            </w:pPr>
          </w:p>
        </w:tc>
        <w:tc>
          <w:tcPr>
            <w:tcW w:w="12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prices 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37,169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37,169</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fair value of the Company's derivatives and available-for-sale securities are based upon third-party broker quotes.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$3.2 million based on a discounted cash flow analysis.</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Company recorded a recovery of loan losses on one loan with a fair value of $8.5 million based on the loan's remaining term of 1.5 years and interest rate of 4.7% using discounted cash flow analysis. The Company also recorded a provision for loan losses on one loan with a fair value of $5.2 million based on an appraisal. In addition, the Company recorded a provision for loan losses on one loan, collateralized by a land asset, with a fair value of $23.5 million based upon a foreclosure sale agreement. The land asset was acquired by an unconsolidated entity in which the Company is a partner.</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Company recorded impairment on one real estate asset with a fair value of $7.1 million based on a discount rate of 15.0% using discounted cash flows over a 10 year lease term.</w:t>
      </w:r>
    </w:p>
    <w:p>
      <w:pPr>
        <w:spacing w:after="0" w:line="217"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outstanding debt</w:t>
      </w:r>
      <w:r>
        <w:rPr>
          <w:rFonts w:ascii="Arial" w:cs="Arial" w:eastAsia="Arial" w:hAnsi="Arial"/>
          <w:sz w:val="16"/>
          <w:szCs w:val="16"/>
          <w:b w:val="1"/>
          <w:bCs w:val="1"/>
          <w:color w:val="auto"/>
        </w:rPr>
        <w:t xml:space="preserve"> </w:t>
      </w:r>
      <w:r>
        <w:rPr>
          <w:rFonts w:ascii="Arial" w:cs="Arial" w:eastAsia="Arial" w:hAnsi="Arial"/>
          <w:sz w:val="16"/>
          <w:szCs w:val="16"/>
          <w:color w:val="auto"/>
        </w:rPr>
        <w:t>was $1.6 billion and $4.3 billion, respectively, as of December 31, 2015 and $1.4 billion and $4.1 billion, respectively, as of December 31, 2014.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table above are described more fully below for each type of asset and liability.</w:t>
      </w:r>
    </w:p>
    <w:p>
      <w:pPr>
        <w:spacing w:after="0" w:line="12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Derivatives</w:t>
      </w:r>
      <w:r>
        <w:rPr>
          <w:rFonts w:ascii="Arial" w:cs="Arial" w:eastAsia="Arial" w:hAnsi="Arial"/>
          <w:sz w:val="17"/>
          <w:szCs w:val="17"/>
          <w:color w:val="auto"/>
        </w:rPr>
        <w:t>—The Company uses interest rate swaps, interest rate caps and foreign exchange contracts to manage its interest rate and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risk. The 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collateral postings, thresholds, mutual puts and guarantees. The Company has determined that the significant inputs used to value its derivatives fall within Level 2 of the fair value hierarchy.</w:t>
      </w:r>
    </w:p>
    <w:p>
      <w:pPr>
        <w:spacing w:after="0" w:line="12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loans identified as being impaired are nearly all collateral dependent loans and are evaluated for impairment by</w:t>
      </w:r>
      <w:r>
        <w:rPr>
          <w:rFonts w:ascii="Arial" w:cs="Arial" w:eastAsia="Arial" w:hAnsi="Arial"/>
          <w:sz w:val="17"/>
          <w:szCs w:val="17"/>
          <w:b w:val="1"/>
          <w:bCs w:val="1"/>
          <w:color w:val="auto"/>
        </w:rPr>
        <w:t xml:space="preserve"> </w:t>
      </w:r>
      <w:r>
        <w:rPr>
          <w:rFonts w:ascii="Arial" w:cs="Arial" w:eastAsia="Arial" w:hAnsi="Arial"/>
          <w:sz w:val="17"/>
          <w:szCs w:val="17"/>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costs of completion and the inventory sell out pricing and timing. The Company will also consider market comparables if available. In more limited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13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color w:val="auto"/>
        </w:rPr>
        <w:t>Impaired real estate</w:t>
      </w:r>
      <w:r>
        <w:rPr>
          <w:rFonts w:ascii="Arial" w:cs="Arial" w:eastAsia="Arial" w:hAnsi="Arial"/>
          <w:sz w:val="17"/>
          <w:szCs w:val="17"/>
          <w:color w:val="auto"/>
        </w:rPr>
        <w:t>—If the Company determines a real estate asset available and held for sale is impaired, it records an impairment charge to adjust</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costs of completion and the inventory sell out pricing and timing. The Company will also consider market comparables if available. In more limited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3 input under the fair value hierarchy.</w:t>
      </w:r>
    </w:p>
    <w:p>
      <w:pPr>
        <w:spacing w:after="0" w:line="139"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Loans receivable and other lending investments</w:t>
      </w:r>
      <w:r>
        <w:rPr>
          <w:rFonts w:ascii="Arial" w:cs="Arial" w:eastAsia="Arial" w:hAnsi="Arial"/>
          <w:sz w:val="16"/>
          <w:szCs w:val="16"/>
          <w:color w:val="auto"/>
        </w:rPr>
        <w:t>—The Company estimates the fair value of its performing loans and other lending investments using</w:t>
      </w:r>
      <w:r>
        <w:rPr>
          <w:rFonts w:ascii="Arial" w:cs="Arial" w:eastAsia="Arial" w:hAnsi="Arial"/>
          <w:sz w:val="16"/>
          <w:szCs w:val="16"/>
          <w:b w:val="1"/>
          <w:bCs w:val="1"/>
          <w:color w:val="auto"/>
        </w:rPr>
        <w:t xml:space="preserve"> </w:t>
      </w:r>
      <w:r>
        <w:rPr>
          <w:rFonts w:ascii="Arial" w:cs="Arial" w:eastAsia="Arial" w:hAnsi="Arial"/>
          <w:sz w:val="16"/>
          <w:szCs w:val="16"/>
          <w:color w:val="auto"/>
        </w:rPr>
        <w:t>a 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 For certain lending investments, the Company uses market quotes, to the extent they are available, that fall within Level 2 of the fair value hierarchy or broker quotes that fall within Level 3 of the fair value hierarchy.</w:t>
      </w:r>
    </w:p>
    <w:p>
      <w:pPr>
        <w:spacing w:after="0" w:line="1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Debt obligations, net</w:t>
      </w:r>
      <w:r>
        <w:rPr>
          <w:rFonts w:ascii="Arial" w:cs="Arial" w:eastAsia="Arial" w:hAnsi="Arial"/>
          <w:sz w:val="17"/>
          <w:szCs w:val="17"/>
          <w:color w:val="auto"/>
        </w:rPr>
        <w:t>—For debt obligations traded in secondary markets, the Company uses market quotes, to the extent they are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fair value and are considered Level 2 on the fair value hierarchy.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and Development segment includes the Company's activities related to its developable land portfolio.</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Company 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Finance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151,481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77,454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229,720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134,687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9,737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34,637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3,981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49,931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100,216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5,221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16,683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8,586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53,734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93,816</w:t>
            </w:r>
          </w:p>
        </w:tc>
        <w:tc>
          <w:tcPr>
            <w:tcW w:w="0" w:type="dxa"/>
            <w:vAlign w:val="bottom"/>
          </w:tcPr>
          <w:p>
            <w:pPr>
              <w:spacing w:after="0"/>
              <w:rPr>
                <w:sz w:val="1"/>
                <w:szCs w:val="1"/>
                <w:color w:val="auto"/>
              </w:rPr>
            </w:pPr>
          </w:p>
        </w:tc>
      </w:tr>
      <w:tr>
        <w:trPr>
          <w:trHeight w:val="231"/>
        </w:trPr>
        <w:tc>
          <w:tcPr>
            <w:tcW w:w="3780" w:type="dxa"/>
            <w:vAlign w:val="bottom"/>
          </w:tcPr>
          <w:p>
            <w:pPr>
              <w:ind w:left="200"/>
              <w:spacing w:after="0"/>
              <w:rPr>
                <w:sz w:val="20"/>
                <w:szCs w:val="20"/>
                <w:color w:val="auto"/>
              </w:rPr>
            </w:pPr>
            <w:r>
              <w:rPr>
                <w:rFonts w:ascii="Arial" w:cs="Arial" w:eastAsia="Arial" w:hAnsi="Arial"/>
                <w:sz w:val="16"/>
                <w:szCs w:val="16"/>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144,424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167,488</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118,903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12,567</w:t>
            </w: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640,523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(146,750)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(67,382)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(67,382)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(40,925)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(224,639)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(11,488)</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(69,264)</w:t>
            </w:r>
          </w:p>
        </w:tc>
        <w:tc>
          <w:tcPr>
            <w:tcW w:w="0" w:type="dxa"/>
            <w:vAlign w:val="bottom"/>
          </w:tcPr>
          <w:p>
            <w:pPr>
              <w:spacing w:after="0"/>
              <w:rPr>
                <w:sz w:val="1"/>
                <w:szCs w:val="1"/>
                <w:color w:val="auto"/>
              </w:rPr>
            </w:pPr>
          </w:p>
        </w:tc>
      </w:tr>
      <w:tr>
        <w:trPr>
          <w:trHeight w:val="29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Segment profit (loss)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71,896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93,213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36,598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(21,061)</w:t>
            </w:r>
          </w:p>
        </w:tc>
        <w:tc>
          <w:tcPr>
            <w:tcW w:w="100" w:type="dxa"/>
            <w:vAlign w:val="bottom"/>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(54,532)</w:t>
            </w:r>
          </w:p>
        </w:tc>
        <w:tc>
          <w:tcPr>
            <w:tcW w:w="1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126,114</w:t>
            </w:r>
          </w:p>
        </w:tc>
        <w:tc>
          <w:tcPr>
            <w:tcW w:w="0" w:type="dxa"/>
            <w:vAlign w:val="bottom"/>
          </w:tcPr>
          <w:p>
            <w:pPr>
              <w:spacing w:after="0"/>
              <w:rPr>
                <w:sz w:val="1"/>
                <w:szCs w:val="1"/>
                <w:color w:val="auto"/>
              </w:rPr>
            </w:pPr>
          </w:p>
        </w:tc>
      </w:tr>
      <w:tr>
        <w:trPr>
          <w:trHeight w:val="231"/>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36,567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36,567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24,548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1,139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65,247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84,103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94,971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183,269</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151,934</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90,331</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243,100</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122,704</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4,437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10,052</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81,033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15,191</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14,966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75,010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94,905</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89,943</w:t>
            </w:r>
          </w:p>
        </w:tc>
        <w:tc>
          <w:tcPr>
            <w:tcW w:w="0" w:type="dxa"/>
            <w:vAlign w:val="bottom"/>
          </w:tcPr>
          <w:p>
            <w:pPr>
              <w:spacing w:after="0"/>
              <w:rPr>
                <w:sz w:val="1"/>
                <w:szCs w:val="1"/>
                <w:color w:val="auto"/>
              </w:rPr>
            </w:pPr>
          </w:p>
        </w:tc>
      </w:tr>
      <w:tr>
        <w:trPr>
          <w:trHeight w:val="217"/>
        </w:trPr>
        <w:tc>
          <w:tcPr>
            <w:tcW w:w="3740" w:type="dxa"/>
            <w:vAlign w:val="bottom"/>
          </w:tcPr>
          <w:p>
            <w:pPr>
              <w:ind w:left="200"/>
              <w:spacing w:after="0"/>
              <w:rPr>
                <w:sz w:val="20"/>
                <w:szCs w:val="20"/>
                <w:color w:val="auto"/>
              </w:rPr>
            </w:pPr>
            <w:r>
              <w:rPr>
                <w:rFonts w:ascii="Arial" w:cs="Arial" w:eastAsia="Arial" w:hAnsi="Arial"/>
                <w:sz w:val="16"/>
                <w:szCs w:val="16"/>
                <w:color w:val="auto"/>
              </w:rPr>
              <w:t>Total revenue and other earnings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143,921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165,837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217,737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34,319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85,062</w:t>
            </w:r>
          </w:p>
        </w:tc>
        <w:tc>
          <w:tcPr>
            <w:tcW w:w="14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646,876</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(163,389)</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(72,089)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(29,432)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(25,384)</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(224,483)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(74,973)</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 xml:space="preserve">Segment profit (loss)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72,424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54,178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55,090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31,092</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164,851</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0"/>
              <w:spacing w:after="0"/>
              <w:rPr>
                <w:sz w:val="20"/>
                <w:szCs w:val="20"/>
                <w:color w:val="auto"/>
              </w:rPr>
            </w:pPr>
            <w:r>
              <w:rPr>
                <w:rFonts w:ascii="Arial" w:cs="Arial" w:eastAsia="Arial" w:hAnsi="Arial"/>
                <w:sz w:val="16"/>
                <w:szCs w:val="16"/>
                <w:color w:val="auto"/>
              </w:rPr>
              <w:t>Recovery of loan losses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34,634</w:t>
            </w:r>
          </w:p>
        </w:tc>
        <w:tc>
          <w:tcPr>
            <w:tcW w:w="0" w:type="dxa"/>
            <w:vAlign w:val="bottom"/>
          </w:tcPr>
          <w:p>
            <w:pPr>
              <w:spacing w:after="0"/>
              <w:rPr>
                <w:sz w:val="1"/>
                <w:szCs w:val="1"/>
                <w:color w:val="auto"/>
              </w:rPr>
            </w:pPr>
          </w:p>
        </w:tc>
      </w:tr>
      <w:tr>
        <w:trPr>
          <w:trHeight w:val="237"/>
        </w:trPr>
        <w:tc>
          <w:tcPr>
            <w:tcW w:w="3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38,841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1,148</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73,571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145,238</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38"/>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Company 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Finance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147,313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86,352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234,567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38,164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3,572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48,208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38,606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41,520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real estate</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82,603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86,658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22,233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 and other earnings</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232,754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42,178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543,936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(33,832)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(157,441)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(32,332)</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(266,225)</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(72,853)</w:t>
            </w:r>
          </w:p>
        </w:tc>
        <w:tc>
          <w:tcPr>
            <w:tcW w:w="0" w:type="dxa"/>
            <w:vAlign w:val="bottom"/>
          </w:tcPr>
          <w:p>
            <w:pPr>
              <w:spacing w:after="0"/>
              <w:rPr>
                <w:sz w:val="1"/>
                <w:szCs w:val="1"/>
                <w:color w:val="auto"/>
              </w:rPr>
            </w:pPr>
          </w:p>
        </w:tc>
      </w:tr>
      <w:tr>
        <w:trPr>
          <w:trHeight w:val="29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Segment profit (loss)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23,575</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38,212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73,407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(75,465)</w:t>
            </w:r>
          </w:p>
        </w:tc>
        <w:tc>
          <w:tcPr>
            <w:tcW w:w="100" w:type="dxa"/>
            <w:vAlign w:val="bottom"/>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(20,362)</w:t>
            </w:r>
          </w:p>
        </w:tc>
        <w:tc>
          <w:tcPr>
            <w:tcW w:w="1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39,367</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5,489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assets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12,449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14,353</w:t>
            </w:r>
          </w:p>
        </w:tc>
        <w:tc>
          <w:tcPr>
            <w:tcW w:w="0" w:type="dxa"/>
            <w:vAlign w:val="bottom"/>
          </w:tcPr>
          <w:p>
            <w:pPr>
              <w:spacing w:after="0"/>
              <w:rPr>
                <w:sz w:val="1"/>
                <w:szCs w:val="1"/>
                <w:color w:val="auto"/>
              </w:rPr>
            </w:pPr>
          </w:p>
        </w:tc>
      </w:tr>
      <w:tr>
        <w:trPr>
          <w:trHeight w:val="220"/>
        </w:trPr>
        <w:tc>
          <w:tcPr>
            <w:tcW w:w="3780" w:type="dxa"/>
            <w:vAlign w:val="bottom"/>
          </w:tcPr>
          <w:p>
            <w:pPr>
              <w:ind w:left="200"/>
              <w:spacing w:after="0"/>
              <w:rPr>
                <w:sz w:val="20"/>
                <w:szCs w:val="20"/>
                <w:color w:val="auto"/>
              </w:rPr>
            </w:pPr>
            <w:r>
              <w:rPr>
                <w:rFonts w:ascii="Arial" w:cs="Arial" w:eastAsia="Arial" w:hAnsi="Arial"/>
                <w:sz w:val="16"/>
                <w:szCs w:val="16"/>
                <w:color w:val="auto"/>
              </w:rPr>
              <w:t>Loss on transfer of interest to unconsolidated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subsidiary</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7,373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7,373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71,530</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Capitalized expenditures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34,076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41,131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36,346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111,553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Company 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Finance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4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1,593,983</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137,274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137,274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1,112,479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618,778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1,731,257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and development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1,001,963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1,001,963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1,601,985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69,096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100,419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73,533</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254,172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1,601,985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1,181,575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629,902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1,102,382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73,533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4,589,377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1,033,515</w:t>
            </w: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5,622,892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6"/>
                <w:szCs w:val="16"/>
                <w:color w:val="auto"/>
              </w:rPr>
              <w:t>Real estate, net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1,188,160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628,271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1,816,431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167,303</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1,192,681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791,053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1,983,734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978,962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978,962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1,377,843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1,377,843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125,360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109,384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354,119</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1,377,843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1,318,041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804,273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1,085,117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109,384</w:t>
            </w:r>
          </w:p>
        </w:tc>
        <w:tc>
          <w:tcPr>
            <w:tcW w:w="12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4,694,658</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768,475</w:t>
            </w:r>
          </w:p>
        </w:tc>
        <w:tc>
          <w:tcPr>
            <w:tcW w:w="0" w:type="dxa"/>
            <w:vAlign w:val="bottom"/>
          </w:tcPr>
          <w:p>
            <w:pPr>
              <w:spacing w:after="0"/>
              <w:rPr>
                <w:sz w:val="1"/>
                <w:szCs w:val="1"/>
                <w:color w:val="auto"/>
              </w:rPr>
            </w:pPr>
          </w:p>
        </w:tc>
      </w:tr>
      <w:tr>
        <w:trPr>
          <w:trHeight w:val="244"/>
        </w:trPr>
        <w:tc>
          <w:tcPr>
            <w:tcW w:w="378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Borders>
              <w:right w:val="single" w:sz="8" w:color="auto"/>
            </w:tcBorders>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5,463,133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-98425</wp:posOffset>
            </wp:positionV>
            <wp:extent cx="797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420" w:hanging="412"/>
        <w:spacing w:after="0" w:line="241" w:lineRule="auto"/>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420" w:hanging="412"/>
        <w:spacing w:after="0" w:line="241" w:lineRule="auto"/>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$12.0 million, $13.3 million and $19.3 million for the years ended December 31, 2015, 2014 and 2013, respectively.</w:t>
      </w: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25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164,851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39,367</w:t>
            </w:r>
          </w:p>
        </w:tc>
      </w:tr>
      <w:tr>
        <w:trPr>
          <w:trHeight w:val="264"/>
        </w:trPr>
        <w:tc>
          <w:tcPr>
            <w:tcW w:w="6200" w:type="dxa"/>
            <w:vAlign w:val="bottom"/>
          </w:tcPr>
          <w:p>
            <w:pPr>
              <w:ind w:left="20"/>
              <w:spacing w:after="0"/>
              <w:rPr>
                <w:sz w:val="20"/>
                <w:szCs w:val="20"/>
                <w:color w:val="auto"/>
              </w:rPr>
            </w:pPr>
            <w:r>
              <w:rPr>
                <w:rFonts w:ascii="Arial" w:cs="Arial" w:eastAsia="Arial" w:hAnsi="Arial"/>
                <w:sz w:val="14"/>
                <w:szCs w:val="14"/>
                <w:color w:val="auto"/>
              </w:rPr>
              <w:t>Less: (Provision for) recovery of loan losses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(5,489)</w:t>
            </w:r>
          </w:p>
        </w:tc>
      </w:tr>
      <w:tr>
        <w:trPr>
          <w:trHeight w:val="27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r>
              <w:rPr>
                <w:rFonts w:ascii="Arial" w:cs="Arial" w:eastAsia="Arial" w:hAnsi="Arial"/>
                <w:sz w:val="8"/>
                <w:szCs w:val="8"/>
                <w:color w:val="auto"/>
              </w:rPr>
              <w:t>(4)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(14,353)</w:t>
            </w:r>
          </w:p>
        </w:tc>
      </w:tr>
      <w:tr>
        <w:trPr>
          <w:trHeight w:val="264"/>
        </w:trPr>
        <w:tc>
          <w:tcPr>
            <w:tcW w:w="6200" w:type="dxa"/>
            <w:vAlign w:val="bottom"/>
          </w:tcPr>
          <w:p>
            <w:pPr>
              <w:ind w:left="20"/>
              <w:spacing w:after="0"/>
              <w:rPr>
                <w:sz w:val="20"/>
                <w:szCs w:val="20"/>
                <w:color w:val="auto"/>
              </w:rPr>
            </w:pPr>
            <w:r>
              <w:rPr>
                <w:rFonts w:ascii="Arial" w:cs="Arial" w:eastAsia="Arial" w:hAnsi="Arial"/>
                <w:sz w:val="14"/>
                <w:szCs w:val="14"/>
                <w:color w:val="auto"/>
              </w:rPr>
              <w:t>Less: Loss on transfer of interest to unconsolidated subsidiary</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(7,373)</w:t>
            </w:r>
          </w:p>
        </w:tc>
      </w:tr>
      <w:tr>
        <w:trPr>
          <w:trHeight w:val="27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r>
              <w:rPr>
                <w:rFonts w:ascii="Arial" w:cs="Arial" w:eastAsia="Arial" w:hAnsi="Arial"/>
                <w:sz w:val="8"/>
                <w:szCs w:val="8"/>
                <w:color w:val="auto"/>
              </w:rPr>
              <w:t>(4)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(73,571)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(71,530)</w:t>
            </w:r>
          </w:p>
        </w:tc>
      </w:tr>
      <w:tr>
        <w:trPr>
          <w:trHeight w:val="264"/>
        </w:trPr>
        <w:tc>
          <w:tcPr>
            <w:tcW w:w="620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(19,261)</w:t>
            </w:r>
          </w:p>
        </w:tc>
      </w:tr>
      <w:tr>
        <w:trPr>
          <w:trHeight w:val="27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tax (expense) benefit</w:t>
            </w:r>
            <w:r>
              <w:rPr>
                <w:rFonts w:ascii="Arial" w:cs="Arial" w:eastAsia="Arial" w:hAnsi="Arial"/>
                <w:sz w:val="8"/>
                <w:szCs w:val="8"/>
                <w:color w:val="auto"/>
              </w:rPr>
              <w:t>(4)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r>
      <w:tr>
        <w:trPr>
          <w:trHeight w:val="26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(33,190)</w:t>
            </w: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(111,233)</w:t>
            </w:r>
          </w:p>
        </w:tc>
      </w:tr>
    </w:tbl>
    <w:p>
      <w:pPr>
        <w:spacing w:after="0" w:line="8"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year ended December 31, 2013 excludes certain amounts reclassified to discontinued operations in the Company's consolidated statements of operations.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year ended December 31, 2013 includes related amounts reclassified to discontinued operations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-208915</wp:posOffset>
            </wp:positionV>
            <wp:extent cx="2727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selected quarterly financial data for the Company ($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For the Quarters Ended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120" w:type="dxa"/>
            <w:vAlign w:val="bottom"/>
          </w:tcPr>
          <w:p>
            <w:pPr>
              <w:jc w:val="right"/>
              <w:ind w:right="280"/>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172,025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120,487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109,185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112,857</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Earnings per common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Inc.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tcPr>
          <w:p>
            <w:pPr>
              <w:ind w:left="380"/>
              <w:spacing w:after="0"/>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7,685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(6,072)</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(30,950)</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(22,553)</w:t>
            </w:r>
          </w:p>
        </w:tc>
      </w:tr>
      <w:tr>
        <w:trPr>
          <w:trHeight w:val="27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(22,553)</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Weighted average number of common shares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85,497</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83,581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85,766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85,541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85,497</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HPU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Net income (loss) attributable to iStar Inc.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(49.93)</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Weighted average number of HPU shares—basic and diluted</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985" w:gutter="0" w:footer="0" w:header="0"/>
        </w:sectPr>
      </w:pPr>
    </w:p>
    <w:p>
      <w:pPr>
        <w:spacing w:after="0" w:line="64"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4"/>
          <w:szCs w:val="14"/>
          <w:color w:val="auto"/>
        </w:rPr>
        <w:t>Revenue</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common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 attributable to iStar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4"/>
          <w:szCs w:val="14"/>
          <w:color w:val="auto"/>
        </w:rPr>
        <w:t>$</w:t>
      </w:r>
    </w:p>
    <w:p>
      <w:pPr>
        <w:spacing w:after="0" w:line="37"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Earnings per share</w:t>
      </w:r>
    </w:p>
    <w:p>
      <w:pPr>
        <w:spacing w:after="0" w:line="7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number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HPU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 attributable to iStar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Earnings per share</w:t>
      </w:r>
    </w:p>
    <w:p>
      <w:pPr>
        <w:spacing w:after="0" w:line="86"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number of HPU shares—basic and diluted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79"/>
              <w:spacing w:after="0"/>
              <w:rPr>
                <w:sz w:val="20"/>
                <w:szCs w:val="20"/>
                <w:color w:val="auto"/>
              </w:rPr>
            </w:pPr>
            <w:r>
              <w:rPr>
                <w:rFonts w:ascii="Arial" w:cs="Arial" w:eastAsia="Arial" w:hAnsi="Arial"/>
                <w:sz w:val="16"/>
                <w:szCs w:val="16"/>
                <w:color w:val="auto"/>
                <w:w w:val="86"/>
              </w:rPr>
              <w:t>109,950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113,486</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129,843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108,749</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(1,955)</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35,491</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(3,594)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(14,177)</w:t>
            </w:r>
          </w:p>
        </w:tc>
      </w:tr>
      <w:tr>
        <w:trPr>
          <w:trHeight w:val="81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(13,270)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22,327</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(16,207)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(26,572)</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(13,270)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27,608</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(16,207)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(26,572)</w:t>
            </w:r>
          </w:p>
        </w:tc>
      </w:tr>
      <w:tr>
        <w:trPr>
          <w:trHeight w:val="54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54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85,188</w:t>
            </w:r>
          </w:p>
        </w:tc>
        <w:tc>
          <w:tcPr>
            <w:tcW w:w="5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85,163</w:t>
            </w:r>
          </w:p>
        </w:tc>
        <w:tc>
          <w:tcPr>
            <w:tcW w:w="5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84,916</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84,819</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85,188</w:t>
            </w:r>
          </w:p>
        </w:tc>
        <w:tc>
          <w:tcPr>
            <w:tcW w:w="5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130,160</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84,916</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84,819</w:t>
            </w:r>
          </w:p>
        </w:tc>
      </w:tr>
      <w:tr>
        <w:trPr>
          <w:trHeight w:val="81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54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(29.47)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49.60</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(36.13)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(59.27)</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(29.47)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40.13</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(36.13)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(59.27)</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5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188" w:lineRule="exact"/>
        <w:rPr>
          <w:sz w:val="20"/>
          <w:szCs w:val="20"/>
          <w:color w:val="auto"/>
        </w:rPr>
      </w:pPr>
    </w:p>
    <w:p>
      <w:pPr>
        <w:sectPr>
          <w:pgSz w:w="11900" w:h="16838" w:orient="portrait"/>
          <w:cols w:equalWidth="0" w:num="2">
            <w:col w:w="5720" w:space="640"/>
            <w:col w:w="5060"/>
          </w:cols>
          <w:pgMar w:left="240" w:top="121" w:right="239" w:bottom="985" w:gutter="0" w:footer="0" w:header="0"/>
          <w:type w:val="continuous"/>
        </w:sectPr>
      </w:pPr>
    </w:p>
    <w:p>
      <w:pPr>
        <w:ind w:left="420" w:hanging="412"/>
        <w:spacing w:after="0" w:line="241" w:lineRule="auto"/>
        <w:tabs>
          <w:tab w:leader="none" w:pos="2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Basic and diluted EPS are computed independently based on the weighted-average shares of common stock and stock equivalents outstanding for each period. Accordingly, the sum of the quarterly EPS amounts may not agree to the total for the year.</w:t>
      </w:r>
    </w:p>
    <w:p>
      <w:pPr>
        <w:jc w:val="both"/>
        <w:ind w:left="420" w:hanging="412"/>
        <w:spacing w:after="0" w:line="293" w:lineRule="auto"/>
        <w:tabs>
          <w:tab w:leader="none" w:pos="4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the quarter ended December 31, 2015 includes net income attributable to iStar Inc. and allocable to Participating Security Holders of $5 and $5 on a basic and dilutive basis, respectively. For the quarter ended September 30, 2014, includes net income attributable to iStar Inc. and allocable to Participating Security Holders of $2 and $2 on a basic and dilutive basis, respectively.</w:t>
      </w:r>
    </w:p>
    <w:p>
      <w:pPr>
        <w:sectPr>
          <w:pgSz w:w="11900" w:h="16838" w:orient="portrait"/>
          <w:cols w:equalWidth="0" w:num="1">
            <w:col w:w="11420"/>
          </w:cols>
          <w:pgMar w:left="240" w:top="121" w:right="239" w:bottom="985" w:gutter="0" w:footer="0" w:header="0"/>
          <w:type w:val="continuous"/>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1" w:right="239" w:bottom="985"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 Valuation</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12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Period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Reserve for loan losses</w:t>
            </w:r>
            <w:r>
              <w:rPr>
                <w:rFonts w:ascii="Arial" w:cs="Arial" w:eastAsia="Arial" w:hAnsi="Arial"/>
                <w:sz w:val="25"/>
                <w:szCs w:val="25"/>
                <w:color w:val="auto"/>
                <w:vertAlign w:val="superscript"/>
              </w:rPr>
              <w:t>(1)(2)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524,499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(152,784)</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Allowance for doubtful accounts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Allowance for deferred tax assets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40,880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19,855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56,262</w:t>
            </w:r>
          </w:p>
        </w:tc>
        <w:tc>
          <w:tcPr>
            <w:tcW w:w="0" w:type="dxa"/>
            <w:vAlign w:val="bottom"/>
          </w:tcPr>
          <w:p>
            <w:pPr>
              <w:spacing w:after="0"/>
              <w:rPr>
                <w:sz w:val="1"/>
                <w:szCs w:val="1"/>
                <w:color w:val="auto"/>
              </w:rPr>
            </w:pPr>
          </w:p>
        </w:tc>
      </w:tr>
      <w:tr>
        <w:trPr>
          <w:trHeight w:val="244"/>
        </w:trPr>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439,323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Reserve for loan losses</w:t>
            </w:r>
            <w:r>
              <w:rPr>
                <w:rFonts w:ascii="Arial" w:cs="Arial" w:eastAsia="Arial" w:hAnsi="Arial"/>
                <w:sz w:val="25"/>
                <w:szCs w:val="25"/>
                <w:color w:val="auto"/>
                <w:vertAlign w:val="superscript"/>
              </w:rPr>
              <w:t>(1)(2)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377,204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Allowance for doubtful accounts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Allowance for deferred tax assets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56,262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54,318</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439,323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156,454</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Reserve for loan losses</w:t>
            </w:r>
            <w:r>
              <w:rPr>
                <w:rFonts w:ascii="Arial" w:cs="Arial" w:eastAsia="Arial" w:hAnsi="Arial"/>
                <w:sz w:val="25"/>
                <w:szCs w:val="25"/>
                <w:color w:val="auto"/>
                <w:vertAlign w:val="superscript"/>
              </w:rPr>
              <w:t>(1)(2)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98,490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36,567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(26,892)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Allowance for doubtful accounts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Allowance for deferred tax assets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54,318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53,910</w:t>
            </w:r>
          </w:p>
        </w:tc>
        <w:tc>
          <w:tcPr>
            <w:tcW w:w="0" w:type="dxa"/>
            <w:vAlign w:val="bottom"/>
          </w:tcPr>
          <w:p>
            <w:pPr>
              <w:spacing w:after="0"/>
              <w:rPr>
                <w:sz w:val="1"/>
                <w:szCs w:val="1"/>
                <w:color w:val="auto"/>
              </w:rPr>
            </w:pPr>
          </w:p>
        </w:tc>
      </w:tr>
      <w:tr>
        <w:trPr>
          <w:trHeight w:val="269"/>
        </w:trPr>
        <w:tc>
          <w:tcPr>
            <w:tcW w:w="45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156,454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165,459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tabs>
          <w:tab w:leader="none" w:pos="4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Refer to Note 6 to the Company's consolidated financial statements.</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Refer to Note 3 to the Company's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2"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left="568"/>
              <w:spacing w:after="0"/>
              <w:rPr>
                <w:sz w:val="20"/>
                <w:szCs w:val="20"/>
                <w:color w:val="auto"/>
              </w:rPr>
            </w:pPr>
            <w:r>
              <w:rPr>
                <w:rFonts w:ascii="Arial" w:cs="Arial" w:eastAsia="Arial" w:hAnsi="Arial"/>
                <w:sz w:val="14"/>
                <w:szCs w:val="14"/>
                <w:b w:val="1"/>
                <w:bCs w:val="1"/>
                <w:color w:val="auto"/>
                <w:w w:val="94"/>
              </w:rPr>
              <w:t>Gross Amount Carried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91"/>
              </w:rPr>
              <w:t>Encumbrances</w:t>
            </w:r>
          </w:p>
        </w:tc>
        <w:tc>
          <w:tcPr>
            <w:tcW w:w="4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Improvements</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2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OFFICE FACILITIES:</w:t>
            </w:r>
          </w:p>
        </w:tc>
        <w:tc>
          <w:tcPr>
            <w:tcW w:w="8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OAZ002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tcPr>
          <w:p>
            <w:pPr>
              <w:ind w:left="60"/>
              <w:spacing w:after="0"/>
              <w:rPr>
                <w:sz w:val="20"/>
                <w:szCs w:val="20"/>
                <w:color w:val="auto"/>
              </w:rPr>
            </w:pPr>
            <w:r>
              <w:rPr>
                <w:rFonts w:ascii="Arial" w:cs="Arial" w:eastAsia="Arial" w:hAnsi="Arial"/>
                <w:sz w:val="14"/>
                <w:szCs w:val="14"/>
                <w:color w:val="auto"/>
              </w:rPr>
              <w:t>OAZ003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6,939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7,972</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2,766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OAZ004</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tcPr>
          <w:p>
            <w:pPr>
              <w:ind w:left="60"/>
              <w:spacing w:after="0"/>
              <w:rPr>
                <w:sz w:val="20"/>
                <w:szCs w:val="20"/>
                <w:color w:val="auto"/>
              </w:rPr>
            </w:pPr>
            <w:r>
              <w:rPr>
                <w:rFonts w:ascii="Arial" w:cs="Arial" w:eastAsia="Arial" w:hAnsi="Arial"/>
                <w:sz w:val="14"/>
                <w:szCs w:val="14"/>
                <w:color w:val="auto"/>
              </w:rPr>
              <w:t>OAZ005</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5,040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1,754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OCA002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10,799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Colorado</w:t>
            </w:r>
          </w:p>
        </w:tc>
        <w:tc>
          <w:tcPr>
            <w:tcW w:w="700" w:type="dxa"/>
            <w:vAlign w:val="bottom"/>
          </w:tcPr>
          <w:p>
            <w:pPr>
              <w:ind w:left="60"/>
              <w:spacing w:after="0"/>
              <w:rPr>
                <w:sz w:val="20"/>
                <w:szCs w:val="20"/>
                <w:color w:val="auto"/>
              </w:rPr>
            </w:pPr>
            <w:r>
              <w:rPr>
                <w:rFonts w:ascii="Arial" w:cs="Arial" w:eastAsia="Arial" w:hAnsi="Arial"/>
                <w:sz w:val="14"/>
                <w:szCs w:val="14"/>
                <w:color w:val="auto"/>
              </w:rPr>
              <w:t>OCO001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16,930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6,503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23,433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25,190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9,943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OCO002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3,860</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tcPr>
          <w:p>
            <w:pPr>
              <w:ind w:left="60"/>
              <w:spacing w:after="0"/>
              <w:rPr>
                <w:sz w:val="20"/>
                <w:szCs w:val="20"/>
                <w:color w:val="auto"/>
              </w:rPr>
            </w:pPr>
            <w:r>
              <w:rPr>
                <w:rFonts w:ascii="Arial" w:cs="Arial" w:eastAsia="Arial" w:hAnsi="Arial"/>
                <w:sz w:val="14"/>
                <w:szCs w:val="14"/>
                <w:color w:val="auto"/>
              </w:rPr>
              <w:t>OFL001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14,484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7,477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21,961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24,478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3,026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OGA001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Georgia</w:t>
            </w:r>
          </w:p>
        </w:tc>
        <w:tc>
          <w:tcPr>
            <w:tcW w:w="700" w:type="dxa"/>
            <w:vAlign w:val="bottom"/>
          </w:tcPr>
          <w:p>
            <w:pPr>
              <w:ind w:left="60"/>
              <w:spacing w:after="0"/>
              <w:rPr>
                <w:sz w:val="20"/>
                <w:szCs w:val="20"/>
                <w:color w:val="auto"/>
              </w:rPr>
            </w:pPr>
            <w:r>
              <w:rPr>
                <w:rFonts w:ascii="Arial" w:cs="Arial" w:eastAsia="Arial" w:hAnsi="Arial"/>
                <w:sz w:val="14"/>
                <w:szCs w:val="14"/>
                <w:color w:val="auto"/>
              </w:rPr>
              <w:t>OGA002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5,709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49,091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25,480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74,571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80,280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27,262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OMD001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11,111</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21,249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w w:val="92"/>
              </w:rPr>
              <w:t>Massachusetts</w:t>
            </w:r>
          </w:p>
        </w:tc>
        <w:tc>
          <w:tcPr>
            <w:tcW w:w="700" w:type="dxa"/>
            <w:vAlign w:val="bottom"/>
          </w:tcPr>
          <w:p>
            <w:pPr>
              <w:ind w:left="60"/>
              <w:spacing w:after="0"/>
              <w:rPr>
                <w:sz w:val="20"/>
                <w:szCs w:val="20"/>
                <w:color w:val="auto"/>
              </w:rPr>
            </w:pPr>
            <w:r>
              <w:rPr>
                <w:rFonts w:ascii="Arial" w:cs="Arial" w:eastAsia="Arial" w:hAnsi="Arial"/>
                <w:sz w:val="14"/>
                <w:szCs w:val="14"/>
                <w:color w:val="auto"/>
              </w:rPr>
              <w:t>OMA001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10,997</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21,947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22,232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23,832</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7,704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ONJ001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51,794</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82,165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700" w:type="dxa"/>
            <w:vAlign w:val="bottom"/>
          </w:tcPr>
          <w:p>
            <w:pPr>
              <w:ind w:left="60"/>
              <w:spacing w:after="0"/>
              <w:rPr>
                <w:sz w:val="20"/>
                <w:szCs w:val="20"/>
                <w:color w:val="auto"/>
              </w:rPr>
            </w:pPr>
            <w:r>
              <w:rPr>
                <w:rFonts w:ascii="Arial" w:cs="Arial" w:eastAsia="Arial" w:hAnsi="Arial"/>
                <w:sz w:val="14"/>
                <w:szCs w:val="14"/>
                <w:color w:val="auto"/>
              </w:rPr>
              <w:t>ONJ002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9,743</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13,763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13,943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14,951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ONJ003</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13,290</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32,185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700" w:type="dxa"/>
            <w:vAlign w:val="bottom"/>
          </w:tcPr>
          <w:p>
            <w:pPr>
              <w:ind w:left="60"/>
              <w:spacing w:after="0"/>
              <w:rPr>
                <w:sz w:val="20"/>
                <w:szCs w:val="20"/>
                <w:color w:val="auto"/>
              </w:rPr>
            </w:pPr>
            <w:r>
              <w:rPr>
                <w:rFonts w:ascii="Arial" w:cs="Arial" w:eastAsia="Arial" w:hAnsi="Arial"/>
                <w:sz w:val="14"/>
                <w:szCs w:val="14"/>
                <w:color w:val="auto"/>
              </w:rPr>
              <w:t>OPA001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26,098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26,739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OTX001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Texas</w:t>
            </w:r>
          </w:p>
        </w:tc>
        <w:tc>
          <w:tcPr>
            <w:tcW w:w="700" w:type="dxa"/>
            <w:vAlign w:val="bottom"/>
          </w:tcPr>
          <w:p>
            <w:pPr>
              <w:ind w:left="60"/>
              <w:spacing w:after="0"/>
              <w:rPr>
                <w:sz w:val="20"/>
                <w:szCs w:val="20"/>
                <w:color w:val="auto"/>
              </w:rPr>
            </w:pPr>
            <w:r>
              <w:rPr>
                <w:rFonts w:ascii="Arial" w:cs="Arial" w:eastAsia="Arial" w:hAnsi="Arial"/>
                <w:sz w:val="14"/>
                <w:szCs w:val="14"/>
                <w:color w:val="auto"/>
              </w:rPr>
              <w:t>OTX002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15,160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16,546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5,864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OTX004</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7,777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Wisconsin</w:t>
            </w:r>
          </w:p>
        </w:tc>
        <w:tc>
          <w:tcPr>
            <w:tcW w:w="7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OWI001</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(6,147)</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9,642</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7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  100,795</w:t>
            </w:r>
          </w:p>
        </w:tc>
        <w:tc>
          <w:tcPr>
            <w:tcW w:w="44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39,809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362,620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45,328</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40,816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406,941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447,757</w:t>
            </w:r>
          </w:p>
        </w:tc>
        <w:tc>
          <w:tcPr>
            <w:tcW w:w="2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142,048</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IAZ001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tcPr>
          <w:p>
            <w:pPr>
              <w:ind w:left="60"/>
              <w:spacing w:after="0"/>
              <w:rPr>
                <w:sz w:val="20"/>
                <w:szCs w:val="20"/>
                <w:color w:val="auto"/>
              </w:rPr>
            </w:pPr>
            <w:r>
              <w:rPr>
                <w:rFonts w:ascii="Arial" w:cs="Arial" w:eastAsia="Arial" w:hAnsi="Arial"/>
                <w:sz w:val="14"/>
                <w:szCs w:val="14"/>
                <w:color w:val="auto"/>
              </w:rPr>
              <w:t>IAZ002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3,218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11,718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1,745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17,425</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37,093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ICA005</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7,344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3,057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ICA006</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11,926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ICA007</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12,367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3,550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15,917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20,797</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ICA008</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16,878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ICA012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3,677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7,393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10,437</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2,662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ICA013</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ICA014</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4,114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9,741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14,341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2,697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ICA015</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ICA016</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26,935</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15,708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7,619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35,606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51,314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16,343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ICA017</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60" w:top="742" w:right="239" w:bottom="1440" w:gutter="0" w:footer="0" w:header="0"/>
          <w:type w:val="continuous"/>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left="568"/>
              <w:spacing w:after="0"/>
              <w:rPr>
                <w:sz w:val="20"/>
                <w:szCs w:val="20"/>
                <w:color w:val="auto"/>
              </w:rPr>
            </w:pPr>
            <w:r>
              <w:rPr>
                <w:rFonts w:ascii="Arial" w:cs="Arial" w:eastAsia="Arial" w:hAnsi="Arial"/>
                <w:sz w:val="14"/>
                <w:szCs w:val="14"/>
                <w:b w:val="1"/>
                <w:bCs w:val="1"/>
                <w:color w:val="auto"/>
                <w:w w:val="94"/>
              </w:rPr>
              <w:t>Gross Amount Carried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Encumbrances</w:t>
            </w:r>
          </w:p>
        </w:tc>
        <w:tc>
          <w:tcPr>
            <w:tcW w:w="4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Arial" w:cs="Arial" w:eastAsia="Arial" w:hAnsi="Arial"/>
                <w:sz w:val="14"/>
                <w:szCs w:val="14"/>
                <w:color w:val="auto"/>
              </w:rPr>
              <w:t>Colorado</w:t>
            </w:r>
          </w:p>
        </w:tc>
        <w:tc>
          <w:tcPr>
            <w:tcW w:w="700" w:type="dxa"/>
            <w:vAlign w:val="bottom"/>
          </w:tcPr>
          <w:p>
            <w:pPr>
              <w:ind w:left="60"/>
              <w:spacing w:after="0"/>
              <w:rPr>
                <w:sz w:val="20"/>
                <w:szCs w:val="20"/>
                <w:color w:val="auto"/>
              </w:rPr>
            </w:pPr>
            <w:r>
              <w:rPr>
                <w:rFonts w:ascii="Arial" w:cs="Arial" w:eastAsia="Arial" w:hAnsi="Arial"/>
                <w:sz w:val="14"/>
                <w:szCs w:val="14"/>
                <w:color w:val="auto"/>
              </w:rPr>
              <w:t>ICO001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323</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IFL002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15,095</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32,635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tcPr>
          <w:p>
            <w:pPr>
              <w:ind w:left="60"/>
              <w:spacing w:after="0"/>
              <w:rPr>
                <w:sz w:val="20"/>
                <w:szCs w:val="20"/>
                <w:color w:val="auto"/>
              </w:rPr>
            </w:pPr>
            <w:r>
              <w:rPr>
                <w:rFonts w:ascii="Arial" w:cs="Arial" w:eastAsia="Arial" w:hAnsi="Arial"/>
                <w:sz w:val="14"/>
                <w:szCs w:val="14"/>
                <w:color w:val="auto"/>
              </w:rPr>
              <w:t>IFL004</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8,676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8,676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11,724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3,506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IFL005</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tcPr>
          <w:p>
            <w:pPr>
              <w:ind w:left="60"/>
              <w:spacing w:after="0"/>
              <w:rPr>
                <w:sz w:val="20"/>
                <w:szCs w:val="20"/>
                <w:color w:val="auto"/>
              </w:rPr>
            </w:pPr>
            <w:r>
              <w:rPr>
                <w:rFonts w:ascii="Arial" w:cs="Arial" w:eastAsia="Arial" w:hAnsi="Arial"/>
                <w:sz w:val="14"/>
                <w:szCs w:val="14"/>
                <w:color w:val="auto"/>
              </w:rPr>
              <w:t>IFL006</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(4,497)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1,177</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IGA001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13,139</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27,777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Indiana</w:t>
            </w:r>
          </w:p>
        </w:tc>
        <w:tc>
          <w:tcPr>
            <w:tcW w:w="700" w:type="dxa"/>
            <w:vAlign w:val="bottom"/>
          </w:tcPr>
          <w:p>
            <w:pPr>
              <w:ind w:left="60"/>
              <w:spacing w:after="0"/>
              <w:rPr>
                <w:sz w:val="20"/>
                <w:szCs w:val="20"/>
                <w:color w:val="auto"/>
              </w:rPr>
            </w:pPr>
            <w:r>
              <w:rPr>
                <w:rFonts w:ascii="Arial" w:cs="Arial" w:eastAsia="Arial" w:hAnsi="Arial"/>
                <w:sz w:val="14"/>
                <w:szCs w:val="14"/>
                <w:color w:val="auto"/>
              </w:rPr>
              <w:t>IIN001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9,686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2,596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Massachusetts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IMA001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18,077</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40,192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Michigan</w:t>
            </w:r>
          </w:p>
        </w:tc>
        <w:tc>
          <w:tcPr>
            <w:tcW w:w="700" w:type="dxa"/>
            <w:vAlign w:val="bottom"/>
          </w:tcPr>
          <w:p>
            <w:pPr>
              <w:ind w:left="60"/>
              <w:spacing w:after="0"/>
              <w:rPr>
                <w:sz w:val="20"/>
                <w:szCs w:val="20"/>
                <w:color w:val="auto"/>
              </w:rPr>
            </w:pPr>
            <w:r>
              <w:rPr>
                <w:rFonts w:ascii="Arial" w:cs="Arial" w:eastAsia="Arial" w:hAnsi="Arial"/>
                <w:sz w:val="14"/>
                <w:szCs w:val="14"/>
                <w:color w:val="auto"/>
              </w:rPr>
              <w:t>IMI001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9,814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10,413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2,790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IMN001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Minnesota</w:t>
            </w:r>
          </w:p>
        </w:tc>
        <w:tc>
          <w:tcPr>
            <w:tcW w:w="700" w:type="dxa"/>
            <w:vAlign w:val="bottom"/>
          </w:tcPr>
          <w:p>
            <w:pPr>
              <w:ind w:left="60"/>
              <w:spacing w:after="0"/>
              <w:rPr>
                <w:sz w:val="20"/>
                <w:szCs w:val="20"/>
                <w:color w:val="auto"/>
              </w:rPr>
            </w:pPr>
            <w:r>
              <w:rPr>
                <w:rFonts w:ascii="Arial" w:cs="Arial" w:eastAsia="Arial" w:hAnsi="Arial"/>
                <w:sz w:val="14"/>
                <w:szCs w:val="14"/>
                <w:color w:val="auto"/>
              </w:rPr>
              <w:t>IMN002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17,690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24,395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4,956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INJ001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20,966</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21,141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44,885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Texas</w:t>
            </w:r>
          </w:p>
        </w:tc>
        <w:tc>
          <w:tcPr>
            <w:tcW w:w="700" w:type="dxa"/>
            <w:vAlign w:val="bottom"/>
          </w:tcPr>
          <w:p>
            <w:pPr>
              <w:ind w:left="60"/>
              <w:spacing w:after="0"/>
              <w:rPr>
                <w:sz w:val="20"/>
                <w:szCs w:val="20"/>
                <w:color w:val="auto"/>
              </w:rPr>
            </w:pPr>
            <w:r>
              <w:rPr>
                <w:rFonts w:ascii="Arial" w:cs="Arial" w:eastAsia="Arial" w:hAnsi="Arial"/>
                <w:sz w:val="14"/>
                <w:szCs w:val="14"/>
                <w:color w:val="auto"/>
              </w:rPr>
              <w:t>ITX004</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13,045</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27,858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27,442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29,073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5,557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ITX005</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Virginia</w:t>
            </w:r>
          </w:p>
        </w:tc>
        <w:tc>
          <w:tcPr>
            <w:tcW w:w="7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IVA001</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14,070</w:t>
            </w:r>
          </w:p>
        </w:tc>
        <w:tc>
          <w:tcPr>
            <w:tcW w:w="440" w:type="dxa"/>
            <w:vAlign w:val="bottom"/>
            <w:tcBorders>
              <w:bottom w:val="single" w:sz="8" w:color="CCEEFF"/>
            </w:tcBorders>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31,242</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5,854</w:t>
            </w: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7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138,752</w:t>
            </w: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  106,128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325,838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76,825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  105,055</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403,736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508,791</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114,866</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LAND:</w:t>
            </w:r>
          </w:p>
        </w:tc>
        <w:tc>
          <w:tcPr>
            <w:tcW w:w="7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LAZ002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tcPr>
          <w:p>
            <w:pPr>
              <w:ind w:left="60"/>
              <w:spacing w:after="0"/>
              <w:rPr>
                <w:sz w:val="20"/>
                <w:szCs w:val="20"/>
                <w:color w:val="auto"/>
              </w:rPr>
            </w:pPr>
            <w:r>
              <w:rPr>
                <w:rFonts w:ascii="Arial" w:cs="Arial" w:eastAsia="Arial" w:hAnsi="Arial"/>
                <w:sz w:val="14"/>
                <w:szCs w:val="14"/>
                <w:color w:val="auto"/>
              </w:rPr>
              <w:t>LAZ003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LAZ001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LCA002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28,464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20,300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2,836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LCA003</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82,302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LCA004</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68,155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(20,942)</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47,213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47,213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LCA005</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92,725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92,725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60"/>
              <w:spacing w:after="0"/>
              <w:rPr>
                <w:sz w:val="20"/>
                <w:szCs w:val="20"/>
                <w:color w:val="auto"/>
              </w:rPr>
            </w:pPr>
            <w:r>
              <w:rPr>
                <w:rFonts w:ascii="Arial" w:cs="Arial" w:eastAsia="Arial" w:hAnsi="Arial"/>
                <w:sz w:val="14"/>
                <w:szCs w:val="14"/>
                <w:color w:val="auto"/>
              </w:rPr>
              <w:t>LCA006</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59,100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59,100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59,100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LFA001</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tcPr>
          <w:p>
            <w:pPr>
              <w:ind w:left="60"/>
              <w:spacing w:after="0"/>
              <w:rPr>
                <w:sz w:val="20"/>
                <w:szCs w:val="20"/>
                <w:color w:val="auto"/>
              </w:rPr>
            </w:pPr>
            <w:r>
              <w:rPr>
                <w:rFonts w:ascii="Arial" w:cs="Arial" w:eastAsia="Arial" w:hAnsi="Arial"/>
                <w:sz w:val="14"/>
                <w:szCs w:val="14"/>
                <w:color w:val="auto"/>
              </w:rPr>
              <w:t>LFA002</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8,100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LFA007</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tcPr>
          <w:p>
            <w:pPr>
              <w:ind w:left="60"/>
              <w:spacing w:after="0"/>
              <w:rPr>
                <w:sz w:val="20"/>
                <w:szCs w:val="20"/>
                <w:color w:val="auto"/>
              </w:rPr>
            </w:pPr>
            <w:r>
              <w:rPr>
                <w:rFonts w:ascii="Arial" w:cs="Arial" w:eastAsia="Arial" w:hAnsi="Arial"/>
                <w:sz w:val="14"/>
                <w:szCs w:val="14"/>
                <w:color w:val="auto"/>
              </w:rPr>
              <w:t>LFA006</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9,171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LFA003</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66,172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tcPr>
          <w:p>
            <w:pPr>
              <w:ind w:left="60"/>
              <w:spacing w:after="0"/>
              <w:rPr>
                <w:sz w:val="20"/>
                <w:szCs w:val="20"/>
                <w:color w:val="auto"/>
              </w:rPr>
            </w:pPr>
            <w:r>
              <w:rPr>
                <w:rFonts w:ascii="Arial" w:cs="Arial" w:eastAsia="Arial" w:hAnsi="Arial"/>
                <w:sz w:val="14"/>
                <w:szCs w:val="14"/>
                <w:color w:val="auto"/>
              </w:rPr>
              <w:t>LFA004</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10,440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LFA005</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Georgia</w:t>
            </w:r>
          </w:p>
        </w:tc>
        <w:tc>
          <w:tcPr>
            <w:tcW w:w="700" w:type="dxa"/>
            <w:vAlign w:val="bottom"/>
          </w:tcPr>
          <w:p>
            <w:pPr>
              <w:ind w:left="60"/>
              <w:spacing w:after="0"/>
              <w:rPr>
                <w:sz w:val="20"/>
                <w:szCs w:val="20"/>
                <w:color w:val="auto"/>
              </w:rPr>
            </w:pPr>
            <w:r>
              <w:rPr>
                <w:rFonts w:ascii="Arial" w:cs="Arial" w:eastAsia="Arial" w:hAnsi="Arial"/>
                <w:sz w:val="14"/>
                <w:szCs w:val="14"/>
                <w:color w:val="auto"/>
              </w:rPr>
              <w:t>LGA001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3,800</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LGA002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tcPr>
          <w:p>
            <w:pPr>
              <w:ind w:left="60"/>
              <w:spacing w:after="0"/>
              <w:rPr>
                <w:sz w:val="20"/>
                <w:szCs w:val="20"/>
                <w:color w:val="auto"/>
              </w:rPr>
            </w:pPr>
            <w:r>
              <w:rPr>
                <w:rFonts w:ascii="Arial" w:cs="Arial" w:eastAsia="Arial" w:hAnsi="Arial"/>
                <w:sz w:val="14"/>
                <w:szCs w:val="14"/>
                <w:color w:val="auto"/>
              </w:rPr>
              <w:t>LMD001</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102,938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102,938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102,938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LMD002</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00"/>
          </w:cols>
          <w:pgMar w:left="260" w:top="742" w:right="239" w:bottom="1440" w:gutter="0" w:footer="0" w:header="0"/>
          <w:type w:val="continuous"/>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left="568"/>
              <w:spacing w:after="0"/>
              <w:rPr>
                <w:sz w:val="20"/>
                <w:szCs w:val="20"/>
                <w:color w:val="auto"/>
              </w:rPr>
            </w:pPr>
            <w:r>
              <w:rPr>
                <w:rFonts w:ascii="Arial" w:cs="Arial" w:eastAsia="Arial" w:hAnsi="Arial"/>
                <w:sz w:val="14"/>
                <w:szCs w:val="14"/>
                <w:b w:val="1"/>
                <w:bCs w:val="1"/>
                <w:color w:val="auto"/>
                <w:w w:val="94"/>
              </w:rPr>
              <w:t>Gross Amount Carried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3"/>
              </w:rPr>
              <w:t>Encumbrances</w:t>
            </w:r>
          </w:p>
        </w:tc>
        <w:tc>
          <w:tcPr>
            <w:tcW w:w="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Arial" w:cs="Arial" w:eastAsia="Arial" w:hAnsi="Arial"/>
                <w:sz w:val="14"/>
                <w:szCs w:val="14"/>
                <w:color w:val="auto"/>
              </w:rPr>
              <w:t>Michigan</w:t>
            </w:r>
          </w:p>
        </w:tc>
        <w:tc>
          <w:tcPr>
            <w:tcW w:w="680" w:type="dxa"/>
            <w:vAlign w:val="bottom"/>
          </w:tcPr>
          <w:p>
            <w:pPr>
              <w:ind w:left="40"/>
              <w:spacing w:after="0"/>
              <w:rPr>
                <w:sz w:val="20"/>
                <w:szCs w:val="20"/>
                <w:color w:val="auto"/>
              </w:rPr>
            </w:pPr>
            <w:r>
              <w:rPr>
                <w:rFonts w:ascii="Arial" w:cs="Arial" w:eastAsia="Arial" w:hAnsi="Arial"/>
                <w:sz w:val="14"/>
                <w:szCs w:val="14"/>
                <w:color w:val="auto"/>
              </w:rPr>
              <w:t>LMI001</w:t>
            </w:r>
          </w:p>
        </w:tc>
        <w:tc>
          <w:tcPr>
            <w:tcW w:w="320" w:type="dxa"/>
            <w:vAlign w:val="bottom"/>
          </w:tcPr>
          <w:p>
            <w:pPr>
              <w:spacing w:after="0"/>
              <w:rPr>
                <w:sz w:val="21"/>
                <w:szCs w:val="21"/>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5,374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LNJ001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70,231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113,531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40"/>
              <w:spacing w:after="0"/>
              <w:rPr>
                <w:sz w:val="20"/>
                <w:szCs w:val="20"/>
                <w:color w:val="auto"/>
              </w:rPr>
            </w:pPr>
            <w:r>
              <w:rPr>
                <w:rFonts w:ascii="Arial" w:cs="Arial" w:eastAsia="Arial" w:hAnsi="Arial"/>
                <w:sz w:val="14"/>
                <w:szCs w:val="14"/>
                <w:color w:val="auto"/>
              </w:rPr>
              <w:t>LNY002</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58,900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(9,506)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49,394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49,394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LNY003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10,712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40"/>
              <w:spacing w:after="0"/>
              <w:rPr>
                <w:sz w:val="20"/>
                <w:szCs w:val="20"/>
                <w:color w:val="auto"/>
              </w:rPr>
            </w:pPr>
            <w:r>
              <w:rPr>
                <w:rFonts w:ascii="Arial" w:cs="Arial" w:eastAsia="Arial" w:hAnsi="Arial"/>
                <w:sz w:val="14"/>
                <w:szCs w:val="14"/>
                <w:color w:val="auto"/>
              </w:rPr>
              <w:t>LNY001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52,461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52,461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54,986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LOR002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LTX001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3,375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LTX002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LVA001</w:t>
            </w: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72,138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28,925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101,063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101,063</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1,958</w:t>
            </w:r>
          </w:p>
        </w:tc>
        <w:tc>
          <w:tcPr>
            <w:tcW w:w="22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(3)</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5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889,008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102,049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  941,290</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999,037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6,068</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ENTERTAINMENT:</w:t>
            </w:r>
          </w:p>
        </w:tc>
        <w:tc>
          <w:tcPr>
            <w:tcW w:w="3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EAL001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Alabama</w:t>
            </w:r>
          </w:p>
        </w:tc>
        <w:tc>
          <w:tcPr>
            <w:tcW w:w="680" w:type="dxa"/>
            <w:vAlign w:val="bottom"/>
          </w:tcPr>
          <w:p>
            <w:pPr>
              <w:ind w:left="40"/>
              <w:spacing w:after="0"/>
              <w:rPr>
                <w:sz w:val="20"/>
                <w:szCs w:val="20"/>
                <w:color w:val="auto"/>
              </w:rPr>
            </w:pPr>
            <w:r>
              <w:rPr>
                <w:rFonts w:ascii="Arial" w:cs="Arial" w:eastAsia="Arial" w:hAnsi="Arial"/>
                <w:sz w:val="14"/>
                <w:szCs w:val="14"/>
                <w:color w:val="auto"/>
              </w:rPr>
              <w:t>EAL002</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733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EAZ001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tcPr>
          <w:p>
            <w:pPr>
              <w:ind w:left="40"/>
              <w:spacing w:after="0"/>
              <w:rPr>
                <w:sz w:val="20"/>
                <w:szCs w:val="20"/>
                <w:color w:val="auto"/>
              </w:rPr>
            </w:pPr>
            <w:r>
              <w:rPr>
                <w:rFonts w:ascii="Arial" w:cs="Arial" w:eastAsia="Arial" w:hAnsi="Arial"/>
                <w:sz w:val="14"/>
                <w:szCs w:val="14"/>
                <w:color w:val="auto"/>
              </w:rPr>
              <w:t>EAZ002</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EAZ003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tcPr>
          <w:p>
            <w:pPr>
              <w:ind w:left="40"/>
              <w:spacing w:after="0"/>
              <w:rPr>
                <w:sz w:val="20"/>
                <w:szCs w:val="20"/>
                <w:color w:val="auto"/>
              </w:rPr>
            </w:pPr>
            <w:r>
              <w:rPr>
                <w:rFonts w:ascii="Arial" w:cs="Arial" w:eastAsia="Arial" w:hAnsi="Arial"/>
                <w:sz w:val="14"/>
                <w:szCs w:val="14"/>
                <w:color w:val="auto"/>
              </w:rPr>
              <w:t>EAZ004</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1,445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EAZ005</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1,354</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tcPr>
          <w:p>
            <w:pPr>
              <w:ind w:left="40"/>
              <w:spacing w:after="0"/>
              <w:rPr>
                <w:sz w:val="20"/>
                <w:szCs w:val="20"/>
                <w:color w:val="auto"/>
              </w:rPr>
            </w:pPr>
            <w:r>
              <w:rPr>
                <w:rFonts w:ascii="Arial" w:cs="Arial" w:eastAsia="Arial" w:hAnsi="Arial"/>
                <w:sz w:val="14"/>
                <w:szCs w:val="14"/>
                <w:color w:val="auto"/>
              </w:rPr>
              <w:t>EAZ006</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EAZ007</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tcPr>
          <w:p>
            <w:pPr>
              <w:ind w:left="40"/>
              <w:spacing w:after="0"/>
              <w:rPr>
                <w:sz w:val="20"/>
                <w:szCs w:val="20"/>
                <w:color w:val="auto"/>
              </w:rPr>
            </w:pPr>
            <w:r>
              <w:rPr>
                <w:rFonts w:ascii="Arial" w:cs="Arial" w:eastAsia="Arial" w:hAnsi="Arial"/>
                <w:sz w:val="14"/>
                <w:szCs w:val="14"/>
                <w:color w:val="auto"/>
              </w:rPr>
              <w:t>EAZ008</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EAZ009</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2,518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ECA002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ECA003</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ECA005</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ECA006</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1,652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ECA007</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ECA008</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ECA009</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ECA010</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18,000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5,184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ECA011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ECA012</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3,607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ECA013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27,725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ECA014</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1,505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ECA015</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00"/>
          </w:cols>
          <w:pgMar w:left="260" w:top="742" w:right="239" w:bottom="1440" w:gutter="0" w:footer="0" w:header="0"/>
          <w:type w:val="continuous"/>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w w:val="93"/>
              </w:rPr>
              <w:t>Encumbrances</w:t>
            </w:r>
          </w:p>
        </w:tc>
        <w:tc>
          <w:tcPr>
            <w:tcW w:w="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ECA004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2,124</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3,750</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ECO002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Colorado</w:t>
            </w:r>
          </w:p>
        </w:tc>
        <w:tc>
          <w:tcPr>
            <w:tcW w:w="680" w:type="dxa"/>
            <w:vAlign w:val="bottom"/>
          </w:tcPr>
          <w:p>
            <w:pPr>
              <w:ind w:left="40"/>
              <w:spacing w:after="0"/>
              <w:rPr>
                <w:sz w:val="20"/>
                <w:szCs w:val="20"/>
                <w:color w:val="auto"/>
              </w:rPr>
            </w:pPr>
            <w:r>
              <w:rPr>
                <w:rFonts w:ascii="Arial" w:cs="Arial" w:eastAsia="Arial" w:hAnsi="Arial"/>
                <w:sz w:val="14"/>
                <w:szCs w:val="14"/>
                <w:color w:val="auto"/>
              </w:rPr>
              <w:t>ECO003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1,673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ECO004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Colorado</w:t>
            </w:r>
          </w:p>
        </w:tc>
        <w:tc>
          <w:tcPr>
            <w:tcW w:w="680" w:type="dxa"/>
            <w:vAlign w:val="bottom"/>
          </w:tcPr>
          <w:p>
            <w:pPr>
              <w:ind w:left="40"/>
              <w:spacing w:after="0"/>
              <w:rPr>
                <w:sz w:val="20"/>
                <w:szCs w:val="20"/>
                <w:color w:val="auto"/>
              </w:rPr>
            </w:pPr>
            <w:r>
              <w:rPr>
                <w:rFonts w:ascii="Arial" w:cs="Arial" w:eastAsia="Arial" w:hAnsi="Arial"/>
                <w:sz w:val="14"/>
                <w:szCs w:val="14"/>
                <w:color w:val="auto"/>
              </w:rPr>
              <w:t>ECO006</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2,057</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Connecticut</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ECT001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1,420</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Connecticut</w:t>
            </w:r>
          </w:p>
        </w:tc>
        <w:tc>
          <w:tcPr>
            <w:tcW w:w="680" w:type="dxa"/>
            <w:vAlign w:val="bottom"/>
          </w:tcPr>
          <w:p>
            <w:pPr>
              <w:ind w:left="40"/>
              <w:spacing w:after="0"/>
              <w:rPr>
                <w:sz w:val="20"/>
                <w:szCs w:val="20"/>
                <w:color w:val="auto"/>
              </w:rPr>
            </w:pPr>
            <w:r>
              <w:rPr>
                <w:rFonts w:ascii="Arial" w:cs="Arial" w:eastAsia="Arial" w:hAnsi="Arial"/>
                <w:sz w:val="14"/>
                <w:szCs w:val="14"/>
                <w:color w:val="auto"/>
              </w:rPr>
              <w:t>ECT002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EDE001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1,390</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41,809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41,809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41,809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16,742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27.0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6,550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17,118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6,533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17,135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23,668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3,710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EFL006</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EFL007</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EFL008</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EFL009</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EFL011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1,004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EFL012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EFL014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EFL016</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EFL018</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833</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EFL019</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18,272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18,272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22,472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EFL020</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714</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EFL021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40"/>
              <w:spacing w:after="0"/>
              <w:rPr>
                <w:sz w:val="20"/>
                <w:szCs w:val="20"/>
                <w:color w:val="auto"/>
              </w:rPr>
            </w:pPr>
            <w:r>
              <w:rPr>
                <w:rFonts w:ascii="Arial" w:cs="Arial" w:eastAsia="Arial" w:hAnsi="Arial"/>
                <w:sz w:val="14"/>
                <w:szCs w:val="14"/>
                <w:color w:val="auto"/>
              </w:rPr>
              <w:t>EFL022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1,163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EFL023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19,337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19,337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5,243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tcPr>
          <w:p>
            <w:pPr>
              <w:ind w:left="40"/>
              <w:spacing w:after="0"/>
              <w:rPr>
                <w:sz w:val="20"/>
                <w:szCs w:val="20"/>
                <w:color w:val="auto"/>
              </w:rPr>
            </w:pPr>
            <w:r>
              <w:rPr>
                <w:rFonts w:ascii="Arial" w:cs="Arial" w:eastAsia="Arial" w:hAnsi="Arial"/>
                <w:sz w:val="14"/>
                <w:szCs w:val="14"/>
                <w:color w:val="auto"/>
              </w:rPr>
              <w:t>EGA001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EGA002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tcPr>
          <w:p>
            <w:pPr>
              <w:ind w:left="40"/>
              <w:spacing w:after="0"/>
              <w:rPr>
                <w:sz w:val="20"/>
                <w:szCs w:val="20"/>
                <w:color w:val="auto"/>
              </w:rPr>
            </w:pPr>
            <w:r>
              <w:rPr>
                <w:rFonts w:ascii="Arial" w:cs="Arial" w:eastAsia="Arial" w:hAnsi="Arial"/>
                <w:sz w:val="14"/>
                <w:szCs w:val="14"/>
                <w:color w:val="auto"/>
              </w:rPr>
              <w:t>EGA003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1,087</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EGA004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tcPr>
          <w:p>
            <w:pPr>
              <w:ind w:left="40"/>
              <w:spacing w:after="0"/>
              <w:rPr>
                <w:sz w:val="20"/>
                <w:szCs w:val="20"/>
                <w:color w:val="auto"/>
              </w:rPr>
            </w:pPr>
            <w:r>
              <w:rPr>
                <w:rFonts w:ascii="Arial" w:cs="Arial" w:eastAsia="Arial" w:hAnsi="Arial"/>
                <w:sz w:val="14"/>
                <w:szCs w:val="14"/>
                <w:color w:val="auto"/>
              </w:rPr>
              <w:t>EGA005</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930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1,641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EGA006</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tcPr>
          <w:p>
            <w:pPr>
              <w:ind w:left="40"/>
              <w:spacing w:after="0"/>
              <w:rPr>
                <w:sz w:val="20"/>
                <w:szCs w:val="20"/>
                <w:color w:val="auto"/>
              </w:rPr>
            </w:pPr>
            <w:r>
              <w:rPr>
                <w:rFonts w:ascii="Arial" w:cs="Arial" w:eastAsia="Arial" w:hAnsi="Arial"/>
                <w:sz w:val="14"/>
                <w:szCs w:val="14"/>
                <w:color w:val="auto"/>
              </w:rPr>
              <w:t>EGA007</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651</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1,148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EIL001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Illinois</w:t>
            </w:r>
          </w:p>
        </w:tc>
        <w:tc>
          <w:tcPr>
            <w:tcW w:w="680" w:type="dxa"/>
            <w:vAlign w:val="bottom"/>
          </w:tcPr>
          <w:p>
            <w:pPr>
              <w:ind w:left="40"/>
              <w:spacing w:after="0"/>
              <w:rPr>
                <w:sz w:val="20"/>
                <w:szCs w:val="20"/>
                <w:color w:val="auto"/>
              </w:rPr>
            </w:pPr>
            <w:r>
              <w:rPr>
                <w:rFonts w:ascii="Arial" w:cs="Arial" w:eastAsia="Arial" w:hAnsi="Arial"/>
                <w:sz w:val="14"/>
                <w:szCs w:val="14"/>
                <w:color w:val="auto"/>
              </w:rPr>
              <w:t>EIL002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1,103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EIL003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30,479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30,536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39,339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00"/>
          </w:cols>
          <w:pgMar w:left="260" w:top="742" w:right="239" w:bottom="1440" w:gutter="0" w:footer="0" w:header="0"/>
          <w:type w:val="continuous"/>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3"/>
              </w:rPr>
              <w:t>Encumbrances</w:t>
            </w:r>
          </w:p>
        </w:tc>
        <w:tc>
          <w:tcPr>
            <w:tcW w:w="4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Arial" w:cs="Arial" w:eastAsia="Arial" w:hAnsi="Arial"/>
                <w:sz w:val="14"/>
                <w:szCs w:val="14"/>
                <w:color w:val="auto"/>
              </w:rPr>
              <w:t>Illinois</w:t>
            </w:r>
          </w:p>
        </w:tc>
        <w:tc>
          <w:tcPr>
            <w:tcW w:w="700" w:type="dxa"/>
            <w:vAlign w:val="bottom"/>
          </w:tcPr>
          <w:p>
            <w:pPr>
              <w:ind w:left="60"/>
              <w:spacing w:after="0"/>
              <w:rPr>
                <w:sz w:val="20"/>
                <w:szCs w:val="20"/>
                <w:color w:val="auto"/>
              </w:rPr>
            </w:pPr>
            <w:r>
              <w:rPr>
                <w:rFonts w:ascii="Arial" w:cs="Arial" w:eastAsia="Arial" w:hAnsi="Arial"/>
                <w:sz w:val="14"/>
                <w:szCs w:val="14"/>
                <w:color w:val="auto"/>
              </w:rPr>
              <w:t>EIL004</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988</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EIL005</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Indiana</w:t>
            </w:r>
          </w:p>
        </w:tc>
        <w:tc>
          <w:tcPr>
            <w:tcW w:w="700" w:type="dxa"/>
            <w:vAlign w:val="bottom"/>
          </w:tcPr>
          <w:p>
            <w:pPr>
              <w:ind w:left="60"/>
              <w:spacing w:after="0"/>
              <w:rPr>
                <w:sz w:val="20"/>
                <w:szCs w:val="20"/>
                <w:color w:val="auto"/>
              </w:rPr>
            </w:pPr>
            <w:r>
              <w:rPr>
                <w:rFonts w:ascii="Arial" w:cs="Arial" w:eastAsia="Arial" w:hAnsi="Arial"/>
                <w:sz w:val="14"/>
                <w:szCs w:val="14"/>
                <w:color w:val="auto"/>
              </w:rPr>
              <w:t>EIN001</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701</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Kentucky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EKY001</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Kentucky</w:t>
            </w:r>
          </w:p>
        </w:tc>
        <w:tc>
          <w:tcPr>
            <w:tcW w:w="700" w:type="dxa"/>
            <w:vAlign w:val="bottom"/>
          </w:tcPr>
          <w:p>
            <w:pPr>
              <w:ind w:left="60"/>
              <w:spacing w:after="0"/>
              <w:rPr>
                <w:sz w:val="20"/>
                <w:szCs w:val="20"/>
                <w:color w:val="auto"/>
              </w:rPr>
            </w:pPr>
            <w:r>
              <w:rPr>
                <w:rFonts w:ascii="Arial" w:cs="Arial" w:eastAsia="Arial" w:hAnsi="Arial"/>
                <w:sz w:val="14"/>
                <w:szCs w:val="14"/>
                <w:color w:val="auto"/>
              </w:rPr>
              <w:t>EKY002</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EMD001</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tcPr>
          <w:p>
            <w:pPr>
              <w:ind w:left="60"/>
              <w:spacing w:after="0"/>
              <w:rPr>
                <w:sz w:val="20"/>
                <w:szCs w:val="20"/>
                <w:color w:val="auto"/>
              </w:rPr>
            </w:pPr>
            <w:r>
              <w:rPr>
                <w:rFonts w:ascii="Arial" w:cs="Arial" w:eastAsia="Arial" w:hAnsi="Arial"/>
                <w:sz w:val="14"/>
                <w:szCs w:val="14"/>
                <w:color w:val="auto"/>
              </w:rPr>
              <w:t>EMD002</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1,320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EMD003</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tcPr>
          <w:p>
            <w:pPr>
              <w:ind w:left="60"/>
              <w:spacing w:after="0"/>
              <w:rPr>
                <w:sz w:val="20"/>
                <w:szCs w:val="20"/>
                <w:color w:val="auto"/>
              </w:rPr>
            </w:pPr>
            <w:r>
              <w:rPr>
                <w:rFonts w:ascii="Arial" w:cs="Arial" w:eastAsia="Arial" w:hAnsi="Arial"/>
                <w:sz w:val="14"/>
                <w:szCs w:val="14"/>
                <w:color w:val="auto"/>
              </w:rPr>
              <w:t>EMD004</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1,145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EMD006</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tcPr>
          <w:p>
            <w:pPr>
              <w:ind w:left="60"/>
              <w:spacing w:after="0"/>
              <w:rPr>
                <w:sz w:val="20"/>
                <w:szCs w:val="20"/>
                <w:color w:val="auto"/>
              </w:rPr>
            </w:pPr>
            <w:r>
              <w:rPr>
                <w:rFonts w:ascii="Arial" w:cs="Arial" w:eastAsia="Arial" w:hAnsi="Arial"/>
                <w:sz w:val="14"/>
                <w:szCs w:val="14"/>
                <w:color w:val="auto"/>
              </w:rPr>
              <w:t>EMD007</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839</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1,482</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EMD008</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tcPr>
          <w:p>
            <w:pPr>
              <w:ind w:left="60"/>
              <w:spacing w:after="0"/>
              <w:rPr>
                <w:sz w:val="20"/>
                <w:szCs w:val="20"/>
                <w:color w:val="auto"/>
              </w:rPr>
            </w:pPr>
            <w:r>
              <w:rPr>
                <w:rFonts w:ascii="Arial" w:cs="Arial" w:eastAsia="Arial" w:hAnsi="Arial"/>
                <w:sz w:val="14"/>
                <w:szCs w:val="14"/>
                <w:color w:val="auto"/>
              </w:rPr>
              <w:t>EMD009</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EMD011</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w w:val="92"/>
              </w:rPr>
              <w:t>Massachusetts</w:t>
            </w:r>
          </w:p>
        </w:tc>
        <w:tc>
          <w:tcPr>
            <w:tcW w:w="700" w:type="dxa"/>
            <w:vAlign w:val="bottom"/>
          </w:tcPr>
          <w:p>
            <w:pPr>
              <w:ind w:left="60"/>
              <w:spacing w:after="0"/>
              <w:rPr>
                <w:sz w:val="20"/>
                <w:szCs w:val="20"/>
                <w:color w:val="auto"/>
              </w:rPr>
            </w:pPr>
            <w:r>
              <w:rPr>
                <w:rFonts w:ascii="Arial" w:cs="Arial" w:eastAsia="Arial" w:hAnsi="Arial"/>
                <w:sz w:val="14"/>
                <w:szCs w:val="14"/>
                <w:color w:val="auto"/>
              </w:rPr>
              <w:t>EMA001</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678</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1,195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Massachusetts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EMA002</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w w:val="92"/>
              </w:rPr>
              <w:t>Massachusetts</w:t>
            </w:r>
          </w:p>
        </w:tc>
        <w:tc>
          <w:tcPr>
            <w:tcW w:w="700" w:type="dxa"/>
            <w:vAlign w:val="bottom"/>
          </w:tcPr>
          <w:p>
            <w:pPr>
              <w:ind w:left="60"/>
              <w:spacing w:after="0"/>
              <w:rPr>
                <w:sz w:val="20"/>
                <w:szCs w:val="20"/>
                <w:color w:val="auto"/>
              </w:rPr>
            </w:pPr>
            <w:r>
              <w:rPr>
                <w:rFonts w:ascii="Arial" w:cs="Arial" w:eastAsia="Arial" w:hAnsi="Arial"/>
                <w:sz w:val="14"/>
                <w:szCs w:val="14"/>
                <w:color w:val="auto"/>
              </w:rPr>
              <w:t>EMA003</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1,186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Massachusetts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EMA004</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Michigan</w:t>
            </w:r>
          </w:p>
        </w:tc>
        <w:tc>
          <w:tcPr>
            <w:tcW w:w="700" w:type="dxa"/>
            <w:vAlign w:val="bottom"/>
          </w:tcPr>
          <w:p>
            <w:pPr>
              <w:ind w:left="60"/>
              <w:spacing w:after="0"/>
              <w:rPr>
                <w:sz w:val="20"/>
                <w:szCs w:val="20"/>
                <w:color w:val="auto"/>
              </w:rPr>
            </w:pPr>
            <w:r>
              <w:rPr>
                <w:rFonts w:ascii="Arial" w:cs="Arial" w:eastAsia="Arial" w:hAnsi="Arial"/>
                <w:sz w:val="14"/>
                <w:szCs w:val="14"/>
                <w:color w:val="auto"/>
              </w:rPr>
              <w:t>EMI002</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667</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1,178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EMI003</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Michigan</w:t>
            </w:r>
          </w:p>
        </w:tc>
        <w:tc>
          <w:tcPr>
            <w:tcW w:w="700" w:type="dxa"/>
            <w:vAlign w:val="bottom"/>
          </w:tcPr>
          <w:p>
            <w:pPr>
              <w:ind w:left="60"/>
              <w:spacing w:after="0"/>
              <w:rPr>
                <w:sz w:val="20"/>
                <w:szCs w:val="20"/>
                <w:color w:val="auto"/>
              </w:rPr>
            </w:pPr>
            <w:r>
              <w:rPr>
                <w:rFonts w:ascii="Arial" w:cs="Arial" w:eastAsia="Arial" w:hAnsi="Arial"/>
                <w:sz w:val="14"/>
                <w:szCs w:val="14"/>
                <w:color w:val="auto"/>
              </w:rPr>
              <w:t>EMI004</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EMI005</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Minnesota</w:t>
            </w:r>
          </w:p>
        </w:tc>
        <w:tc>
          <w:tcPr>
            <w:tcW w:w="700" w:type="dxa"/>
            <w:vAlign w:val="bottom"/>
          </w:tcPr>
          <w:p>
            <w:pPr>
              <w:ind w:left="60"/>
              <w:spacing w:after="0"/>
              <w:rPr>
                <w:sz w:val="20"/>
                <w:szCs w:val="20"/>
                <w:color w:val="auto"/>
              </w:rPr>
            </w:pPr>
            <w:r>
              <w:rPr>
                <w:rFonts w:ascii="Arial" w:cs="Arial" w:eastAsia="Arial" w:hAnsi="Arial"/>
                <w:sz w:val="14"/>
                <w:szCs w:val="14"/>
                <w:color w:val="auto"/>
              </w:rPr>
              <w:t>EMN001</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1,521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EMN002</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17,164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17,164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20,126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Minnesota</w:t>
            </w:r>
          </w:p>
        </w:tc>
        <w:tc>
          <w:tcPr>
            <w:tcW w:w="700" w:type="dxa"/>
            <w:vAlign w:val="bottom"/>
          </w:tcPr>
          <w:p>
            <w:pPr>
              <w:ind w:left="60"/>
              <w:spacing w:after="0"/>
              <w:rPr>
                <w:sz w:val="20"/>
                <w:szCs w:val="20"/>
                <w:color w:val="auto"/>
              </w:rPr>
            </w:pPr>
            <w:r>
              <w:rPr>
                <w:rFonts w:ascii="Arial" w:cs="Arial" w:eastAsia="Arial" w:hAnsi="Arial"/>
                <w:sz w:val="14"/>
                <w:szCs w:val="14"/>
                <w:color w:val="auto"/>
              </w:rPr>
              <w:t>EMN004</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2,437</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8,715</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2,437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10,813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13,250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2,709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Missouri</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EMO001</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Missouri</w:t>
            </w:r>
          </w:p>
        </w:tc>
        <w:tc>
          <w:tcPr>
            <w:tcW w:w="700" w:type="dxa"/>
            <w:vAlign w:val="bottom"/>
          </w:tcPr>
          <w:p>
            <w:pPr>
              <w:ind w:left="60"/>
              <w:spacing w:after="0"/>
              <w:rPr>
                <w:sz w:val="20"/>
                <w:szCs w:val="20"/>
                <w:color w:val="auto"/>
              </w:rPr>
            </w:pPr>
            <w:r>
              <w:rPr>
                <w:rFonts w:ascii="Arial" w:cs="Arial" w:eastAsia="Arial" w:hAnsi="Arial"/>
                <w:sz w:val="14"/>
                <w:szCs w:val="14"/>
                <w:color w:val="auto"/>
              </w:rPr>
              <w:t>EMO004</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ENJ001</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700" w:type="dxa"/>
            <w:vAlign w:val="bottom"/>
          </w:tcPr>
          <w:p>
            <w:pPr>
              <w:ind w:left="60"/>
              <w:spacing w:after="0"/>
              <w:rPr>
                <w:sz w:val="20"/>
                <w:szCs w:val="20"/>
                <w:color w:val="auto"/>
              </w:rPr>
            </w:pPr>
            <w:r>
              <w:rPr>
                <w:rFonts w:ascii="Arial" w:cs="Arial" w:eastAsia="Arial" w:hAnsi="Arial"/>
                <w:sz w:val="14"/>
                <w:szCs w:val="14"/>
                <w:color w:val="auto"/>
              </w:rPr>
              <w:t>ENJ002</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1,905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Nevada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ENV001</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tcPr>
          <w:p>
            <w:pPr>
              <w:ind w:left="60"/>
              <w:spacing w:after="0"/>
              <w:rPr>
                <w:sz w:val="20"/>
                <w:szCs w:val="20"/>
                <w:color w:val="auto"/>
              </w:rPr>
            </w:pPr>
            <w:r>
              <w:rPr>
                <w:rFonts w:ascii="Arial" w:cs="Arial" w:eastAsia="Arial" w:hAnsi="Arial"/>
                <w:sz w:val="14"/>
                <w:szCs w:val="14"/>
                <w:color w:val="auto"/>
              </w:rPr>
              <w:t>ENY001</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779</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1,376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ENY002</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tcPr>
          <w:p>
            <w:pPr>
              <w:ind w:left="60"/>
              <w:spacing w:after="0"/>
              <w:rPr>
                <w:sz w:val="20"/>
                <w:szCs w:val="20"/>
                <w:color w:val="auto"/>
              </w:rPr>
            </w:pPr>
            <w:r>
              <w:rPr>
                <w:rFonts w:ascii="Arial" w:cs="Arial" w:eastAsia="Arial" w:hAnsi="Arial"/>
                <w:sz w:val="14"/>
                <w:szCs w:val="14"/>
                <w:color w:val="auto"/>
              </w:rPr>
              <w:t>ENY004</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ENY005</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tcPr>
          <w:p>
            <w:pPr>
              <w:ind w:left="60"/>
              <w:spacing w:after="0"/>
              <w:rPr>
                <w:sz w:val="20"/>
                <w:szCs w:val="20"/>
                <w:color w:val="auto"/>
              </w:rPr>
            </w:pPr>
            <w:r>
              <w:rPr>
                <w:rFonts w:ascii="Arial" w:cs="Arial" w:eastAsia="Arial" w:hAnsi="Arial"/>
                <w:sz w:val="14"/>
                <w:szCs w:val="14"/>
                <w:color w:val="auto"/>
              </w:rPr>
              <w:t>ENY007</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ENY006</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00"/>
          </w:cols>
          <w:pgMar w:left="260" w:top="742" w:right="239" w:bottom="1440" w:gutter="0" w:footer="0" w:header="0"/>
          <w:type w:val="continuous"/>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w w:val="96"/>
              </w:rPr>
              <w:t>Encumbrances</w:t>
            </w:r>
          </w:p>
        </w:tc>
        <w:tc>
          <w:tcPr>
            <w:tcW w:w="46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60"/>
              <w:spacing w:after="0"/>
              <w:rPr>
                <w:sz w:val="20"/>
                <w:szCs w:val="20"/>
                <w:color w:val="auto"/>
              </w:rPr>
            </w:pPr>
            <w:r>
              <w:rPr>
                <w:rFonts w:ascii="Arial" w:cs="Arial" w:eastAsia="Arial" w:hAnsi="Arial"/>
                <w:sz w:val="14"/>
                <w:szCs w:val="14"/>
                <w:color w:val="auto"/>
              </w:rPr>
              <w:t>ENY008</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731</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ENY009</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60"/>
              <w:spacing w:after="0"/>
              <w:rPr>
                <w:sz w:val="20"/>
                <w:szCs w:val="20"/>
                <w:color w:val="auto"/>
              </w:rPr>
            </w:pPr>
            <w:r>
              <w:rPr>
                <w:rFonts w:ascii="Arial" w:cs="Arial" w:eastAsia="Arial" w:hAnsi="Arial"/>
                <w:sz w:val="14"/>
                <w:szCs w:val="14"/>
                <w:color w:val="auto"/>
              </w:rPr>
              <w:t>ENY010</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1,240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2,190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ENY011</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60"/>
              <w:spacing w:after="0"/>
              <w:rPr>
                <w:sz w:val="20"/>
                <w:szCs w:val="20"/>
                <w:color w:val="auto"/>
              </w:rPr>
            </w:pPr>
            <w:r>
              <w:rPr>
                <w:rFonts w:ascii="Arial" w:cs="Arial" w:eastAsia="Arial" w:hAnsi="Arial"/>
                <w:sz w:val="14"/>
                <w:szCs w:val="14"/>
                <w:color w:val="auto"/>
              </w:rPr>
              <w:t>ENY012</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675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1,191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ENY013</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60"/>
              <w:spacing w:after="0"/>
              <w:rPr>
                <w:sz w:val="20"/>
                <w:szCs w:val="20"/>
                <w:color w:val="auto"/>
              </w:rPr>
            </w:pPr>
            <w:r>
              <w:rPr>
                <w:rFonts w:ascii="Arial" w:cs="Arial" w:eastAsia="Arial" w:hAnsi="Arial"/>
                <w:sz w:val="14"/>
                <w:szCs w:val="14"/>
                <w:color w:val="auto"/>
              </w:rPr>
              <w:t>ENY014</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723</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1,275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ENY015</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60"/>
              <w:spacing w:after="0"/>
              <w:rPr>
                <w:sz w:val="20"/>
                <w:szCs w:val="20"/>
                <w:color w:val="auto"/>
              </w:rPr>
            </w:pPr>
            <w:r>
              <w:rPr>
                <w:rFonts w:ascii="Arial" w:cs="Arial" w:eastAsia="Arial" w:hAnsi="Arial"/>
                <w:sz w:val="14"/>
                <w:szCs w:val="14"/>
                <w:color w:val="auto"/>
              </w:rPr>
              <w:t>ENY016</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885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1,561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ENY017</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1,933</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tcPr>
          <w:p>
            <w:pPr>
              <w:ind w:left="60"/>
              <w:spacing w:after="0"/>
              <w:rPr>
                <w:sz w:val="20"/>
                <w:szCs w:val="20"/>
                <w:color w:val="auto"/>
              </w:rPr>
            </w:pPr>
            <w:r>
              <w:rPr>
                <w:rFonts w:ascii="Arial" w:cs="Arial" w:eastAsia="Arial" w:hAnsi="Arial"/>
                <w:sz w:val="14"/>
                <w:szCs w:val="14"/>
                <w:color w:val="auto"/>
              </w:rPr>
              <w:t>ENY018</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1,904</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1,890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3,361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ENC001</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North</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60"/>
              <w:spacing w:after="0"/>
              <w:rPr>
                <w:sz w:val="20"/>
                <w:szCs w:val="20"/>
                <w:color w:val="auto"/>
              </w:rPr>
            </w:pPr>
            <w:r>
              <w:rPr>
                <w:rFonts w:ascii="Arial" w:cs="Arial" w:eastAsia="Arial" w:hAnsi="Arial"/>
                <w:sz w:val="14"/>
                <w:szCs w:val="14"/>
                <w:color w:val="auto"/>
              </w:rPr>
              <w:t>ENC002</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1,087</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ENC003</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North</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60"/>
              <w:spacing w:after="0"/>
              <w:rPr>
                <w:sz w:val="20"/>
                <w:szCs w:val="20"/>
                <w:color w:val="auto"/>
              </w:rPr>
            </w:pPr>
            <w:r>
              <w:rPr>
                <w:rFonts w:ascii="Arial" w:cs="Arial" w:eastAsia="Arial" w:hAnsi="Arial"/>
                <w:sz w:val="14"/>
                <w:szCs w:val="14"/>
                <w:color w:val="auto"/>
              </w:rPr>
              <w:t>ENC004</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918</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ENC005</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2,175</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North</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60"/>
              <w:spacing w:after="0"/>
              <w:rPr>
                <w:sz w:val="20"/>
                <w:szCs w:val="20"/>
                <w:color w:val="auto"/>
              </w:rPr>
            </w:pPr>
            <w:r>
              <w:rPr>
                <w:rFonts w:ascii="Arial" w:cs="Arial" w:eastAsia="Arial" w:hAnsi="Arial"/>
                <w:sz w:val="14"/>
                <w:szCs w:val="14"/>
                <w:color w:val="auto"/>
              </w:rPr>
              <w:t>ENC006</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592</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ENC007</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North</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60"/>
              <w:spacing w:after="0"/>
              <w:rPr>
                <w:sz w:val="20"/>
                <w:szCs w:val="20"/>
                <w:color w:val="auto"/>
              </w:rPr>
            </w:pPr>
            <w:r>
              <w:rPr>
                <w:rFonts w:ascii="Arial" w:cs="Arial" w:eastAsia="Arial" w:hAnsi="Arial"/>
                <w:sz w:val="14"/>
                <w:szCs w:val="14"/>
                <w:color w:val="auto"/>
              </w:rPr>
              <w:t>ENC008</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1,468</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ENC009</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North</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60"/>
              <w:spacing w:after="0"/>
              <w:rPr>
                <w:sz w:val="20"/>
                <w:szCs w:val="20"/>
                <w:color w:val="auto"/>
              </w:rPr>
            </w:pPr>
            <w:r>
              <w:rPr>
                <w:rFonts w:ascii="Arial" w:cs="Arial" w:eastAsia="Arial" w:hAnsi="Arial"/>
                <w:sz w:val="14"/>
                <w:szCs w:val="14"/>
                <w:color w:val="auto"/>
              </w:rPr>
              <w:t>ENC010</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1,249</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2,204</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ENC011</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North</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60"/>
              <w:spacing w:after="0"/>
              <w:rPr>
                <w:sz w:val="20"/>
                <w:szCs w:val="20"/>
                <w:color w:val="auto"/>
              </w:rPr>
            </w:pPr>
            <w:r>
              <w:rPr>
                <w:rFonts w:ascii="Arial" w:cs="Arial" w:eastAsia="Arial" w:hAnsi="Arial"/>
                <w:sz w:val="14"/>
                <w:szCs w:val="14"/>
                <w:color w:val="auto"/>
              </w:rPr>
              <w:t>ENC012</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1,128</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EOH001</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Ohio</w:t>
            </w:r>
          </w:p>
        </w:tc>
        <w:tc>
          <w:tcPr>
            <w:tcW w:w="680" w:type="dxa"/>
            <w:vAlign w:val="bottom"/>
          </w:tcPr>
          <w:p>
            <w:pPr>
              <w:ind w:left="60"/>
              <w:spacing w:after="0"/>
              <w:rPr>
                <w:sz w:val="20"/>
                <w:szCs w:val="20"/>
                <w:color w:val="auto"/>
              </w:rPr>
            </w:pPr>
            <w:r>
              <w:rPr>
                <w:rFonts w:ascii="Arial" w:cs="Arial" w:eastAsia="Arial" w:hAnsi="Arial"/>
                <w:sz w:val="14"/>
                <w:szCs w:val="14"/>
                <w:color w:val="auto"/>
              </w:rPr>
              <w:t>EOH002</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1,252</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EOH003</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Ohio</w:t>
            </w:r>
          </w:p>
        </w:tc>
        <w:tc>
          <w:tcPr>
            <w:tcW w:w="680" w:type="dxa"/>
            <w:vAlign w:val="bottom"/>
          </w:tcPr>
          <w:p>
            <w:pPr>
              <w:ind w:left="60"/>
              <w:spacing w:after="0"/>
              <w:rPr>
                <w:sz w:val="20"/>
                <w:szCs w:val="20"/>
                <w:color w:val="auto"/>
              </w:rPr>
            </w:pPr>
            <w:r>
              <w:rPr>
                <w:rFonts w:ascii="Arial" w:cs="Arial" w:eastAsia="Arial" w:hAnsi="Arial"/>
                <w:sz w:val="14"/>
                <w:szCs w:val="14"/>
                <w:color w:val="auto"/>
              </w:rPr>
              <w:t>EOH004</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901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Oklahoma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EOK001</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Oklahoma</w:t>
            </w:r>
          </w:p>
        </w:tc>
        <w:tc>
          <w:tcPr>
            <w:tcW w:w="680" w:type="dxa"/>
            <w:vAlign w:val="bottom"/>
          </w:tcPr>
          <w:p>
            <w:pPr>
              <w:ind w:left="60"/>
              <w:spacing w:after="0"/>
              <w:rPr>
                <w:sz w:val="20"/>
                <w:szCs w:val="20"/>
                <w:color w:val="auto"/>
              </w:rPr>
            </w:pPr>
            <w:r>
              <w:rPr>
                <w:rFonts w:ascii="Arial" w:cs="Arial" w:eastAsia="Arial" w:hAnsi="Arial"/>
                <w:sz w:val="14"/>
                <w:szCs w:val="14"/>
                <w:color w:val="auto"/>
              </w:rPr>
              <w:t>EOK002</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2,189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EOR002</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w w:val="96"/>
              </w:rPr>
              <w:t>Pennsylvania</w:t>
            </w:r>
          </w:p>
        </w:tc>
        <w:tc>
          <w:tcPr>
            <w:tcW w:w="680" w:type="dxa"/>
            <w:vAlign w:val="bottom"/>
          </w:tcPr>
          <w:p>
            <w:pPr>
              <w:ind w:left="60"/>
              <w:spacing w:after="0"/>
              <w:rPr>
                <w:sz w:val="20"/>
                <w:szCs w:val="20"/>
                <w:color w:val="auto"/>
              </w:rPr>
            </w:pPr>
            <w:r>
              <w:rPr>
                <w:rFonts w:ascii="Arial" w:cs="Arial" w:eastAsia="Arial" w:hAnsi="Arial"/>
                <w:sz w:val="14"/>
                <w:szCs w:val="14"/>
                <w:color w:val="auto"/>
              </w:rPr>
              <w:t>EPA001</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934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Pennsylvania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EPA002</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w w:val="96"/>
              </w:rPr>
              <w:t>Pennsylvania</w:t>
            </w:r>
          </w:p>
        </w:tc>
        <w:tc>
          <w:tcPr>
            <w:tcW w:w="680" w:type="dxa"/>
            <w:vAlign w:val="bottom"/>
          </w:tcPr>
          <w:p>
            <w:pPr>
              <w:ind w:left="60"/>
              <w:spacing w:after="0"/>
              <w:rPr>
                <w:sz w:val="20"/>
                <w:szCs w:val="20"/>
                <w:color w:val="auto"/>
              </w:rPr>
            </w:pPr>
            <w:r>
              <w:rPr>
                <w:rFonts w:ascii="Arial" w:cs="Arial" w:eastAsia="Arial" w:hAnsi="Arial"/>
                <w:sz w:val="14"/>
                <w:szCs w:val="14"/>
                <w:color w:val="auto"/>
              </w:rPr>
              <w:t>EPA003</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528</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Pennsylvania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EPA004</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Puerto Rico</w:t>
            </w:r>
          </w:p>
        </w:tc>
        <w:tc>
          <w:tcPr>
            <w:tcW w:w="680" w:type="dxa"/>
            <w:vAlign w:val="bottom"/>
          </w:tcPr>
          <w:p>
            <w:pPr>
              <w:ind w:left="60"/>
              <w:spacing w:after="0"/>
              <w:rPr>
                <w:sz w:val="20"/>
                <w:szCs w:val="20"/>
                <w:color w:val="auto"/>
              </w:rPr>
            </w:pPr>
            <w:r>
              <w:rPr>
                <w:rFonts w:ascii="Arial" w:cs="Arial" w:eastAsia="Arial" w:hAnsi="Arial"/>
                <w:sz w:val="14"/>
                <w:szCs w:val="14"/>
                <w:color w:val="auto"/>
              </w:rPr>
              <w:t>EPR001</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2,180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Rhode Island</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ERI001</w:t>
            </w: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60" w:top="742" w:right="239" w:bottom="1440" w:gutter="0" w:footer="0" w:header="0"/>
          <w:type w:val="continuous"/>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Land</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w w:val="93"/>
              </w:rPr>
              <w:t>Encumbrances</w:t>
            </w:r>
          </w:p>
        </w:tc>
        <w:tc>
          <w:tcPr>
            <w:tcW w:w="4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Improvements</w:t>
            </w:r>
          </w:p>
        </w:tc>
        <w:tc>
          <w:tcPr>
            <w:tcW w:w="820" w:type="dxa"/>
            <w:vAlign w:val="bottom"/>
            <w:gridSpan w:val="2"/>
            <w:vMerge w:val="continue"/>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4"/>
                <w:szCs w:val="14"/>
                <w:color w:val="auto"/>
              </w:rPr>
              <w:t>South</w:t>
            </w:r>
          </w:p>
        </w:tc>
        <w:tc>
          <w:tcPr>
            <w:tcW w:w="6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tcPr>
          <w:p>
            <w:pPr>
              <w:ind w:left="40"/>
              <w:spacing w:after="0"/>
              <w:rPr>
                <w:sz w:val="20"/>
                <w:szCs w:val="20"/>
                <w:color w:val="auto"/>
              </w:rPr>
            </w:pPr>
            <w:r>
              <w:rPr>
                <w:rFonts w:ascii="Arial" w:cs="Arial" w:eastAsia="Arial" w:hAnsi="Arial"/>
                <w:sz w:val="14"/>
                <w:szCs w:val="14"/>
                <w:color w:val="auto"/>
              </w:rPr>
              <w:t>ESC002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2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w:t>
            </w: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ESC003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Tennessee</w:t>
            </w:r>
          </w:p>
        </w:tc>
        <w:tc>
          <w:tcPr>
            <w:tcW w:w="680" w:type="dxa"/>
            <w:vAlign w:val="bottom"/>
          </w:tcPr>
          <w:p>
            <w:pPr>
              <w:ind w:left="40"/>
              <w:spacing w:after="0"/>
              <w:rPr>
                <w:sz w:val="20"/>
                <w:szCs w:val="20"/>
                <w:color w:val="auto"/>
              </w:rPr>
            </w:pPr>
            <w:r>
              <w:rPr>
                <w:rFonts w:ascii="Arial" w:cs="Arial" w:eastAsia="Arial" w:hAnsi="Arial"/>
                <w:sz w:val="14"/>
                <w:szCs w:val="14"/>
                <w:color w:val="auto"/>
              </w:rPr>
              <w:t>ETN001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767</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1,354</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1,083</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ETX005</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1,205</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ETX006</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ETX007</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1,261</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2,226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ETX008</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1,433</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ETX009</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549</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ETX010</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ETX011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1,740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ETX013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ETX014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1,001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ETX017</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ETX018</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1,729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ETX019</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ETX020</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821</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1,449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ETX021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40"/>
              <w:spacing w:after="0"/>
              <w:rPr>
                <w:sz w:val="20"/>
                <w:szCs w:val="20"/>
                <w:color w:val="auto"/>
              </w:rPr>
            </w:pPr>
            <w:r>
              <w:rPr>
                <w:rFonts w:ascii="Arial" w:cs="Arial" w:eastAsia="Arial" w:hAnsi="Arial"/>
                <w:sz w:val="14"/>
                <w:szCs w:val="14"/>
                <w:color w:val="auto"/>
              </w:rPr>
              <w:t>ETX022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1,358</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Pr>
          <w:p>
            <w:pPr>
              <w:ind w:left="40"/>
              <w:spacing w:after="0"/>
              <w:rPr>
                <w:sz w:val="20"/>
                <w:szCs w:val="20"/>
                <w:color w:val="auto"/>
              </w:rPr>
            </w:pPr>
            <w:r>
              <w:rPr>
                <w:rFonts w:ascii="Arial" w:cs="Arial" w:eastAsia="Arial" w:hAnsi="Arial"/>
                <w:sz w:val="14"/>
                <w:szCs w:val="14"/>
                <w:color w:val="auto"/>
              </w:rPr>
              <w:t>EVA002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1,939</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Pr>
          <w:p>
            <w:pPr>
              <w:ind w:left="40"/>
              <w:spacing w:after="0"/>
              <w:rPr>
                <w:sz w:val="20"/>
                <w:szCs w:val="20"/>
                <w:color w:val="auto"/>
              </w:rPr>
            </w:pPr>
            <w:r>
              <w:rPr>
                <w:rFonts w:ascii="Arial" w:cs="Arial" w:eastAsia="Arial" w:hAnsi="Arial"/>
                <w:sz w:val="14"/>
                <w:szCs w:val="14"/>
                <w:color w:val="auto"/>
              </w:rPr>
              <w:t>EVA004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1,233</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2,176</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EVA005</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Pr>
          <w:p>
            <w:pPr>
              <w:ind w:left="40"/>
              <w:spacing w:after="0"/>
              <w:rPr>
                <w:sz w:val="20"/>
                <w:szCs w:val="20"/>
                <w:color w:val="auto"/>
              </w:rPr>
            </w:pPr>
            <w:r>
              <w:rPr>
                <w:rFonts w:ascii="Arial" w:cs="Arial" w:eastAsia="Arial" w:hAnsi="Arial"/>
                <w:sz w:val="14"/>
                <w:szCs w:val="14"/>
                <w:color w:val="auto"/>
              </w:rPr>
              <w:t>EVA006</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550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EVA007</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Pr>
          <w:p>
            <w:pPr>
              <w:ind w:left="40"/>
              <w:spacing w:after="0"/>
              <w:rPr>
                <w:sz w:val="20"/>
                <w:szCs w:val="20"/>
                <w:color w:val="auto"/>
              </w:rPr>
            </w:pPr>
            <w:r>
              <w:rPr>
                <w:rFonts w:ascii="Arial" w:cs="Arial" w:eastAsia="Arial" w:hAnsi="Arial"/>
                <w:sz w:val="14"/>
                <w:szCs w:val="14"/>
                <w:color w:val="auto"/>
              </w:rPr>
              <w:t>EVA008</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EVA009</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Pr>
          <w:p>
            <w:pPr>
              <w:ind w:left="40"/>
              <w:spacing w:after="0"/>
              <w:rPr>
                <w:sz w:val="20"/>
                <w:szCs w:val="20"/>
                <w:color w:val="auto"/>
              </w:rPr>
            </w:pPr>
            <w:r>
              <w:rPr>
                <w:rFonts w:ascii="Arial" w:cs="Arial" w:eastAsia="Arial" w:hAnsi="Arial"/>
                <w:sz w:val="14"/>
                <w:szCs w:val="14"/>
                <w:color w:val="auto"/>
              </w:rPr>
              <w:t>EVA010</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1,880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EVA011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Pr>
          <w:p>
            <w:pPr>
              <w:ind w:left="40"/>
              <w:spacing w:after="0"/>
              <w:rPr>
                <w:sz w:val="20"/>
                <w:szCs w:val="20"/>
                <w:color w:val="auto"/>
              </w:rPr>
            </w:pPr>
            <w:r>
              <w:rPr>
                <w:rFonts w:ascii="Arial" w:cs="Arial" w:eastAsia="Arial" w:hAnsi="Arial"/>
                <w:sz w:val="14"/>
                <w:szCs w:val="14"/>
                <w:color w:val="auto"/>
              </w:rPr>
              <w:t>EVA012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EVA013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4"/>
                <w:szCs w:val="14"/>
                <w:color w:val="auto"/>
              </w:rPr>
              <w:t>Washington</w:t>
            </w:r>
          </w:p>
        </w:tc>
        <w:tc>
          <w:tcPr>
            <w:tcW w:w="680" w:type="dxa"/>
            <w:vAlign w:val="bottom"/>
          </w:tcPr>
          <w:p>
            <w:pPr>
              <w:ind w:left="40"/>
              <w:spacing w:after="0"/>
              <w:rPr>
                <w:sz w:val="20"/>
                <w:szCs w:val="20"/>
                <w:color w:val="auto"/>
              </w:rPr>
            </w:pPr>
            <w:r>
              <w:rPr>
                <w:rFonts w:ascii="Arial" w:cs="Arial" w:eastAsia="Arial" w:hAnsi="Arial"/>
                <w:sz w:val="14"/>
                <w:szCs w:val="14"/>
                <w:color w:val="auto"/>
              </w:rPr>
              <w:t>EWA001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8,000</w:t>
            </w:r>
          </w:p>
        </w:tc>
        <w:tc>
          <w:tcPr>
            <w:tcW w:w="2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EWI001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00"/>
          </w:cols>
          <w:pgMar w:left="260" w:top="742" w:right="239" w:bottom="1440" w:gutter="0" w:footer="0" w:header="0"/>
          <w:type w:val="continuous"/>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left="428"/>
              <w:spacing w:after="0"/>
              <w:rPr>
                <w:sz w:val="20"/>
                <w:szCs w:val="20"/>
                <w:color w:val="auto"/>
              </w:rPr>
            </w:pPr>
            <w:r>
              <w:rPr>
                <w:rFonts w:ascii="Arial" w:cs="Arial" w:eastAsia="Arial" w:hAnsi="Arial"/>
                <w:sz w:val="14"/>
                <w:szCs w:val="14"/>
                <w:b w:val="1"/>
                <w:bCs w:val="1"/>
                <w:color w:val="auto"/>
                <w:w w:val="94"/>
              </w:rPr>
              <w:t>Gross Amount Carried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7"/>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Subsequent to</w:t>
            </w:r>
          </w:p>
        </w:tc>
        <w:tc>
          <w:tcPr>
            <w:tcW w:w="14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6"/>
              </w:rPr>
              <w:t>Encumbrances</w:t>
            </w: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Wisconsin</w:t>
            </w:r>
          </w:p>
        </w:tc>
        <w:tc>
          <w:tcPr>
            <w:tcW w:w="680" w:type="dxa"/>
            <w:vAlign w:val="bottom"/>
          </w:tcPr>
          <w:p>
            <w:pPr>
              <w:ind w:left="60"/>
              <w:spacing w:after="0"/>
              <w:rPr>
                <w:sz w:val="20"/>
                <w:szCs w:val="20"/>
                <w:color w:val="auto"/>
              </w:rPr>
            </w:pPr>
            <w:r>
              <w:rPr>
                <w:rFonts w:ascii="Arial" w:cs="Arial" w:eastAsia="Arial" w:hAnsi="Arial"/>
                <w:sz w:val="14"/>
                <w:szCs w:val="14"/>
                <w:color w:val="auto"/>
              </w:rPr>
              <w:t>EWI002</w:t>
            </w:r>
          </w:p>
        </w:tc>
        <w:tc>
          <w:tcPr>
            <w:tcW w:w="5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EWI004</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Wisconsin</w:t>
            </w:r>
          </w:p>
        </w:tc>
        <w:tc>
          <w:tcPr>
            <w:tcW w:w="6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EWI005</w:t>
            </w:r>
          </w:p>
        </w:tc>
        <w:tc>
          <w:tcPr>
            <w:tcW w:w="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243,033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92,113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125,635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335,163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460,798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93,586</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RETAIL:</w:t>
            </w:r>
          </w:p>
        </w:tc>
        <w:tc>
          <w:tcPr>
            <w:tcW w:w="6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RAZ003</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tcPr>
          <w:p>
            <w:pPr>
              <w:ind w:left="60"/>
              <w:spacing w:after="0"/>
              <w:rPr>
                <w:sz w:val="20"/>
                <w:szCs w:val="20"/>
                <w:color w:val="auto"/>
              </w:rPr>
            </w:pPr>
            <w:r>
              <w:rPr>
                <w:rFonts w:ascii="Arial" w:cs="Arial" w:eastAsia="Arial" w:hAnsi="Arial"/>
                <w:sz w:val="14"/>
                <w:szCs w:val="14"/>
                <w:color w:val="auto"/>
              </w:rPr>
              <w:t>RAZ004</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4,652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RAZ005</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60"/>
              <w:spacing w:after="0"/>
              <w:rPr>
                <w:sz w:val="20"/>
                <w:szCs w:val="20"/>
                <w:color w:val="auto"/>
              </w:rPr>
            </w:pPr>
            <w:r>
              <w:rPr>
                <w:rFonts w:ascii="Arial" w:cs="Arial" w:eastAsia="Arial" w:hAnsi="Arial"/>
                <w:sz w:val="14"/>
                <w:szCs w:val="14"/>
                <w:color w:val="auto"/>
              </w:rPr>
              <w:t>RCA001</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6,228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RCO001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Florida</w:t>
            </w:r>
          </w:p>
        </w:tc>
        <w:tc>
          <w:tcPr>
            <w:tcW w:w="680" w:type="dxa"/>
            <w:vAlign w:val="bottom"/>
          </w:tcPr>
          <w:p>
            <w:pPr>
              <w:ind w:left="60"/>
              <w:spacing w:after="0"/>
              <w:rPr>
                <w:sz w:val="20"/>
                <w:szCs w:val="20"/>
                <w:color w:val="auto"/>
              </w:rPr>
            </w:pPr>
            <w:r>
              <w:rPr>
                <w:rFonts w:ascii="Arial" w:cs="Arial" w:eastAsia="Arial" w:hAnsi="Arial"/>
                <w:sz w:val="14"/>
                <w:szCs w:val="14"/>
                <w:color w:val="auto"/>
              </w:rPr>
              <w:t>RFL003</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14,236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2,398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Hawaii</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RHI001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Illinois</w:t>
            </w:r>
          </w:p>
        </w:tc>
        <w:tc>
          <w:tcPr>
            <w:tcW w:w="680" w:type="dxa"/>
            <w:vAlign w:val="bottom"/>
          </w:tcPr>
          <w:p>
            <w:pPr>
              <w:ind w:left="60"/>
              <w:spacing w:after="0"/>
              <w:rPr>
                <w:sz w:val="20"/>
                <w:szCs w:val="20"/>
                <w:color w:val="auto"/>
              </w:rPr>
            </w:pPr>
            <w:r>
              <w:rPr>
                <w:rFonts w:ascii="Arial" w:cs="Arial" w:eastAsia="Arial" w:hAnsi="Arial"/>
                <w:sz w:val="14"/>
                <w:szCs w:val="14"/>
                <w:color w:val="auto"/>
              </w:rPr>
              <w:t>RIL002</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14,934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29,675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14,934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41,273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56,207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RIL001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New Mexico</w:t>
            </w:r>
          </w:p>
        </w:tc>
        <w:tc>
          <w:tcPr>
            <w:tcW w:w="680" w:type="dxa"/>
            <w:vAlign w:val="bottom"/>
          </w:tcPr>
          <w:p>
            <w:pPr>
              <w:ind w:left="60"/>
              <w:spacing w:after="0"/>
              <w:rPr>
                <w:sz w:val="20"/>
                <w:szCs w:val="20"/>
                <w:color w:val="auto"/>
              </w:rPr>
            </w:pPr>
            <w:r>
              <w:rPr>
                <w:rFonts w:ascii="Arial" w:cs="Arial" w:eastAsia="Arial" w:hAnsi="Arial"/>
                <w:sz w:val="14"/>
                <w:szCs w:val="14"/>
                <w:color w:val="auto"/>
              </w:rPr>
              <w:t>RNM001</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10,103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RNY001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w w:val="96"/>
              </w:rPr>
              <w:t>Pennsylvania</w:t>
            </w:r>
          </w:p>
        </w:tc>
        <w:tc>
          <w:tcPr>
            <w:tcW w:w="680" w:type="dxa"/>
            <w:vAlign w:val="bottom"/>
          </w:tcPr>
          <w:p>
            <w:pPr>
              <w:ind w:left="60"/>
              <w:spacing w:after="0"/>
              <w:rPr>
                <w:sz w:val="20"/>
                <w:szCs w:val="20"/>
                <w:color w:val="auto"/>
              </w:rPr>
            </w:pPr>
            <w:r>
              <w:rPr>
                <w:rFonts w:ascii="Arial" w:cs="Arial" w:eastAsia="Arial" w:hAnsi="Arial"/>
                <w:sz w:val="14"/>
                <w:szCs w:val="14"/>
                <w:color w:val="auto"/>
              </w:rPr>
              <w:t>RPA001</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5,687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56,950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5,687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62,333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68,020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8,263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w:t>
            </w: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RSC001</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Texas</w:t>
            </w:r>
          </w:p>
        </w:tc>
        <w:tc>
          <w:tcPr>
            <w:tcW w:w="680" w:type="dxa"/>
            <w:vAlign w:val="bottom"/>
          </w:tcPr>
          <w:p>
            <w:pPr>
              <w:ind w:left="60"/>
              <w:spacing w:after="0"/>
              <w:rPr>
                <w:sz w:val="20"/>
                <w:szCs w:val="20"/>
                <w:color w:val="auto"/>
              </w:rPr>
            </w:pPr>
            <w:r>
              <w:rPr>
                <w:rFonts w:ascii="Arial" w:cs="Arial" w:eastAsia="Arial" w:hAnsi="Arial"/>
                <w:sz w:val="14"/>
                <w:szCs w:val="14"/>
                <w:color w:val="auto"/>
              </w:rPr>
              <w:t>RTX001</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3,514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7,924</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1,385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RUT001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Virginia</w:t>
            </w:r>
          </w:p>
        </w:tc>
        <w:tc>
          <w:tcPr>
            <w:tcW w:w="6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RVA001</w:t>
            </w:r>
          </w:p>
        </w:tc>
        <w:tc>
          <w:tcPr>
            <w:tcW w:w="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16,711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21,431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150,970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56,053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191,067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247,120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HOTEL:</w:t>
            </w:r>
          </w:p>
        </w:tc>
        <w:tc>
          <w:tcPr>
            <w:tcW w:w="6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HCA002</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30,553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60"/>
              <w:spacing w:after="0"/>
              <w:rPr>
                <w:sz w:val="20"/>
                <w:szCs w:val="20"/>
                <w:color w:val="auto"/>
              </w:rPr>
            </w:pPr>
            <w:r>
              <w:rPr>
                <w:rFonts w:ascii="Arial" w:cs="Arial" w:eastAsia="Arial" w:hAnsi="Arial"/>
                <w:sz w:val="14"/>
                <w:szCs w:val="14"/>
                <w:color w:val="auto"/>
              </w:rPr>
              <w:t>HCA003</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20,623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19,959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23,267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9,130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HCO001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tcPr>
          <w:p>
            <w:pPr>
              <w:ind w:left="60"/>
              <w:spacing w:after="0"/>
              <w:rPr>
                <w:sz w:val="20"/>
                <w:szCs w:val="20"/>
                <w:color w:val="auto"/>
              </w:rPr>
            </w:pPr>
            <w:r>
              <w:rPr>
                <w:rFonts w:ascii="Arial" w:cs="Arial" w:eastAsia="Arial" w:hAnsi="Arial"/>
                <w:sz w:val="14"/>
                <w:szCs w:val="14"/>
                <w:color w:val="auto"/>
              </w:rPr>
              <w:t>HGA001</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6,378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25,514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6,378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27,379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33,757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4,646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Hawaii</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HHI001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14,187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Hawaii</w:t>
            </w:r>
          </w:p>
        </w:tc>
        <w:tc>
          <w:tcPr>
            <w:tcW w:w="680" w:type="dxa"/>
            <w:vAlign w:val="bottom"/>
          </w:tcPr>
          <w:p>
            <w:pPr>
              <w:ind w:left="60"/>
              <w:spacing w:after="0"/>
              <w:rPr>
                <w:sz w:val="20"/>
                <w:szCs w:val="20"/>
                <w:color w:val="auto"/>
              </w:rPr>
            </w:pPr>
            <w:r>
              <w:rPr>
                <w:rFonts w:ascii="Arial" w:cs="Arial" w:eastAsia="Arial" w:hAnsi="Arial"/>
                <w:sz w:val="14"/>
                <w:szCs w:val="14"/>
                <w:color w:val="auto"/>
              </w:rPr>
              <w:t>HHI002</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16,178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1,963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HUT001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37,257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Washington</w:t>
            </w:r>
          </w:p>
        </w:tc>
        <w:tc>
          <w:tcPr>
            <w:tcW w:w="6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HWA004</w:t>
            </w:r>
          </w:p>
        </w:tc>
        <w:tc>
          <w:tcPr>
            <w:tcW w:w="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36,150</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14,185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175,803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(22,639)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32,462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167,741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200,203</w:t>
            </w:r>
          </w:p>
        </w:tc>
        <w:tc>
          <w:tcPr>
            <w:tcW w:w="2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64,537</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APARTMENT/RESIDENTIAL:</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AAZ001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40"/>
              <w:spacing w:after="0"/>
              <w:rPr>
                <w:sz w:val="20"/>
                <w:szCs w:val="20"/>
                <w:color w:val="auto"/>
              </w:rPr>
            </w:pPr>
            <w:r>
              <w:rPr>
                <w:rFonts w:ascii="Arial" w:cs="Arial" w:eastAsia="Arial" w:hAnsi="Arial"/>
                <w:sz w:val="14"/>
                <w:szCs w:val="14"/>
                <w:color w:val="auto"/>
              </w:rPr>
              <w:t>ACA002</w:t>
            </w:r>
          </w:p>
        </w:tc>
        <w:tc>
          <w:tcPr>
            <w:tcW w:w="52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10,078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40,312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(44,678)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5,712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AGA001</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24,506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2"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00"/>
          </w:cols>
          <w:pgMar w:left="260" w:top="742"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7"/>
          </w:tcPr>
          <w:p>
            <w:pPr>
              <w:jc w:val="center"/>
              <w:ind w:right="28"/>
              <w:spacing w:after="0"/>
              <w:rPr>
                <w:sz w:val="20"/>
                <w:szCs w:val="20"/>
                <w:color w:val="auto"/>
              </w:rPr>
            </w:pPr>
            <w:r>
              <w:rPr>
                <w:rFonts w:ascii="Arial" w:cs="Arial" w:eastAsia="Arial" w:hAnsi="Arial"/>
                <w:sz w:val="14"/>
                <w:szCs w:val="14"/>
                <w:b w:val="1"/>
                <w:bCs w:val="1"/>
                <w:color w:val="auto"/>
                <w:w w:val="94"/>
              </w:rPr>
              <w:t>Gross Amount Carried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8"/>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4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Subsequent to</w:t>
            </w: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b w:val="1"/>
                <w:bCs w:val="1"/>
                <w:color w:val="auto"/>
                <w:w w:val="93"/>
              </w:rPr>
              <w:t>Encumbrances</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8"/>
                <w:szCs w:val="8"/>
                <w:b w:val="1"/>
                <w:bCs w:val="1"/>
                <w:color w:val="auto"/>
                <w:w w:val="95"/>
              </w:rPr>
              <w:t>(2)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Nevada</w:t>
            </w:r>
          </w:p>
        </w:tc>
        <w:tc>
          <w:tcPr>
            <w:tcW w:w="640" w:type="dxa"/>
            <w:vAlign w:val="bottom"/>
          </w:tcPr>
          <w:p>
            <w:pPr>
              <w:spacing w:after="0"/>
              <w:rPr>
                <w:sz w:val="20"/>
                <w:szCs w:val="20"/>
                <w:color w:val="auto"/>
              </w:rPr>
            </w:pPr>
            <w:r>
              <w:rPr>
                <w:rFonts w:ascii="Arial" w:cs="Arial" w:eastAsia="Arial" w:hAnsi="Arial"/>
                <w:sz w:val="14"/>
                <w:szCs w:val="14"/>
                <w:color w:val="auto"/>
              </w:rPr>
              <w:t>ANZ001</w:t>
            </w:r>
          </w:p>
        </w:tc>
        <w:tc>
          <w:tcPr>
            <w:tcW w:w="160" w:type="dxa"/>
            <w:vAlign w:val="bottom"/>
          </w:tcPr>
          <w:p>
            <w:pPr>
              <w:spacing w:after="0"/>
              <w:rPr>
                <w:sz w:val="21"/>
                <w:szCs w:val="21"/>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106,829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ANJ001</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640" w:type="dxa"/>
            <w:vAlign w:val="bottom"/>
          </w:tcPr>
          <w:p>
            <w:pPr>
              <w:spacing w:after="0"/>
              <w:rPr>
                <w:sz w:val="20"/>
                <w:szCs w:val="20"/>
                <w:color w:val="auto"/>
              </w:rPr>
            </w:pPr>
            <w:r>
              <w:rPr>
                <w:rFonts w:ascii="Arial" w:cs="Arial" w:eastAsia="Arial" w:hAnsi="Arial"/>
                <w:sz w:val="14"/>
                <w:szCs w:val="14"/>
                <w:color w:val="auto"/>
              </w:rPr>
              <w:t>APA001</w:t>
            </w:r>
          </w:p>
        </w:tc>
        <w:tc>
          <w:tcPr>
            <w:tcW w:w="16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44,438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82,527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(120,315)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6,650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APA002</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62,035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Washington</w:t>
            </w:r>
          </w:p>
        </w:tc>
        <w:tc>
          <w:tcPr>
            <w:tcW w:w="640" w:type="dxa"/>
            <w:vAlign w:val="bottom"/>
          </w:tcPr>
          <w:p>
            <w:pPr>
              <w:spacing w:after="0"/>
              <w:rPr>
                <w:sz w:val="20"/>
                <w:szCs w:val="20"/>
                <w:color w:val="auto"/>
              </w:rPr>
            </w:pPr>
            <w:r>
              <w:rPr>
                <w:rFonts w:ascii="Arial" w:cs="Arial" w:eastAsia="Arial" w:hAnsi="Arial"/>
                <w:sz w:val="14"/>
                <w:szCs w:val="14"/>
                <w:color w:val="auto"/>
              </w:rPr>
              <w:t>AWA001</w:t>
            </w:r>
          </w:p>
        </w:tc>
        <w:tc>
          <w:tcPr>
            <w:tcW w:w="16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12,082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12,145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13,487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AWA002</w:t>
            </w: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44,478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Subtotal</w:t>
            </w:r>
          </w:p>
        </w:tc>
        <w:tc>
          <w:tcPr>
            <w:tcW w:w="6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133,998</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392,307</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(392,597)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28,625</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105,083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133,708</w:t>
            </w:r>
          </w:p>
        </w:tc>
        <w:tc>
          <w:tcPr>
            <w:tcW w:w="2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MIXED USE:</w:t>
            </w:r>
          </w:p>
        </w:tc>
        <w:tc>
          <w:tcPr>
            <w:tcW w:w="6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tcPr>
          <w:p>
            <w:pPr>
              <w:ind w:left="20"/>
              <w:spacing w:after="0"/>
              <w:rPr>
                <w:sz w:val="20"/>
                <w:szCs w:val="20"/>
                <w:color w:val="auto"/>
              </w:rPr>
            </w:pPr>
            <w:r>
              <w:rPr>
                <w:rFonts w:ascii="Arial" w:cs="Arial" w:eastAsia="Arial" w:hAnsi="Arial"/>
                <w:sz w:val="14"/>
                <w:szCs w:val="14"/>
                <w:color w:val="auto"/>
              </w:rPr>
              <w:t>MAZ002</w:t>
            </w:r>
          </w:p>
        </w:tc>
        <w:tc>
          <w:tcPr>
            <w:tcW w:w="16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10,182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52,544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10,182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92,773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10,545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MCA001</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tcPr>
          <w:p>
            <w:pPr>
              <w:ind w:left="20"/>
              <w:spacing w:after="0"/>
              <w:rPr>
                <w:sz w:val="20"/>
                <w:szCs w:val="20"/>
                <w:color w:val="auto"/>
              </w:rPr>
            </w:pPr>
            <w:r>
              <w:rPr>
                <w:rFonts w:ascii="Arial" w:cs="Arial" w:eastAsia="Arial" w:hAnsi="Arial"/>
                <w:sz w:val="14"/>
                <w:szCs w:val="14"/>
                <w:color w:val="auto"/>
              </w:rPr>
              <w:t>MFL001</w:t>
            </w:r>
          </w:p>
        </w:tc>
        <w:tc>
          <w:tcPr>
            <w:tcW w:w="16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8,450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8,450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14,710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2,179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MFL002</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22,643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40,872</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tcPr>
          <w:p>
            <w:pPr>
              <w:ind w:left="20"/>
              <w:spacing w:after="0"/>
              <w:rPr>
                <w:sz w:val="20"/>
                <w:szCs w:val="20"/>
                <w:color w:val="auto"/>
              </w:rPr>
            </w:pPr>
            <w:r>
              <w:rPr>
                <w:rFonts w:ascii="Arial" w:cs="Arial" w:eastAsia="Arial" w:hAnsi="Arial"/>
                <w:sz w:val="14"/>
                <w:szCs w:val="14"/>
                <w:color w:val="auto"/>
              </w:rPr>
              <w:t>MFL003</w:t>
            </w:r>
          </w:p>
        </w:tc>
        <w:tc>
          <w:tcPr>
            <w:tcW w:w="16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9,406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11,913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MFL004</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19,735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MGA001</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11,945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16,425</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123,011</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25,999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149,010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202,928</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17,694</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6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239,547</w:t>
            </w:r>
          </w:p>
        </w:tc>
        <w:tc>
          <w:tcPr>
            <w:tcW w:w="4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89"/>
              </w:rPr>
              <w:t>1,452,532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1,781,562</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(33,752)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89"/>
              </w:rPr>
              <w:t>1,383,854</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1,816,488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89"/>
              </w:rPr>
              <w:t>3,200,342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467,122</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0</wp:posOffset>
            </wp:positionV>
            <wp:extent cx="51282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-98425</wp:posOffset>
            </wp:positionV>
            <wp:extent cx="51282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Consists of properties pledged as collateral under the Company's secured credit facilities with a total book value of $591.4 million</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impairments and unit sales.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properties have land improvements which have depreciable lives of 15 to 20 years.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aggregate cost for Federal income tax purposes was approximately $3.41 billion at December 31, 2015.</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$6.0 million and $4.5 million relating to accumulated depreciation for land and development assets and real estate assets held for sale, respectively, as of December 31, 2015.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42" w:right="239" w:bottom="1440" w:gutter="0" w:footer="0" w:header="0"/>
        </w:sectPr>
      </w:pPr>
    </w:p>
    <w:bookmarkStart w:id="116" w:name="page117"/>
    <w:bookmarkEnd w:id="116"/>
    <w:p>
      <w:pPr>
        <w:ind w:left="49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right"/>
        <w:ind w:right="179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As of December 31, 2015</w:t>
      </w:r>
    </w:p>
    <w:p>
      <w:pPr>
        <w:spacing w:after="0" w:line="144"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 in thousands)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real estate from January 1, 2013 to December 31, 2015:</w:t>
      </w:r>
    </w:p>
    <w:p>
      <w:pPr>
        <w:spacing w:after="0" w:line="365"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3,444,676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3,763,310</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Improvements and additions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183,269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145,238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126,664</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through foreclosure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31,764</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acquisitions</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69,379</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(388,906)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(13,139)</w:t>
            </w: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3,444,676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3,589,072</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accumulated depreciation from January 1, 2013 to December 31, 2015:</w:t>
      </w:r>
    </w:p>
    <w:p>
      <w:pPr>
        <w:spacing w:after="0" w:line="365"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35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(388,346)</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(59,208)</w:t>
            </w:r>
          </w:p>
        </w:tc>
      </w:tr>
      <w:tr>
        <w:trPr>
          <w:trHeight w:val="27"/>
        </w:trPr>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15,180</w:t>
            </w: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(432,374)</w:t>
            </w:r>
          </w:p>
        </w:tc>
      </w:tr>
      <w:tr>
        <w:trPr>
          <w:trHeight w:val="20"/>
        </w:trPr>
        <w:tc>
          <w:tcPr>
            <w:tcW w:w="3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8"/>
        </w:trPr>
        <w:tc>
          <w:tcPr>
            <w:tcW w:w="352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9779"/>
          </w:cols>
          <w:pgMar w:left="680" w:top="742"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IV—Mortgage Loans on Real Estate</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2015</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Periodic</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Face</w:t>
            </w:r>
          </w:p>
        </w:tc>
        <w:tc>
          <w:tcPr>
            <w:tcW w:w="16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1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Loan/Borrower</w:t>
            </w:r>
          </w:p>
        </w:tc>
        <w:tc>
          <w:tcPr>
            <w:tcW w:w="100" w:type="dxa"/>
            <w:vAlign w:val="bottom"/>
            <w:vMerge w:val="restart"/>
          </w:tcPr>
          <w:p>
            <w:pPr>
              <w:spacing w:after="0"/>
              <w:rPr>
                <w:sz w:val="12"/>
                <w:szCs w:val="12"/>
                <w:color w:val="auto"/>
              </w:rPr>
            </w:pPr>
          </w:p>
        </w:tc>
        <w:tc>
          <w:tcPr>
            <w:tcW w:w="2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Underlying Property Type</w:t>
            </w:r>
          </w:p>
        </w:tc>
        <w:tc>
          <w:tcPr>
            <w:tcW w:w="10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Accrual</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Payment</w:t>
            </w: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Terms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Liens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Mortgages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Mortgages</w:t>
            </w:r>
            <w:r>
              <w:rPr>
                <w:rFonts w:ascii="Arial" w:cs="Arial" w:eastAsia="Arial" w:hAnsi="Arial"/>
                <w:sz w:val="8"/>
                <w:szCs w:val="8"/>
                <w:b w:val="1"/>
                <w:bCs w:val="1"/>
                <w:color w:val="auto"/>
                <w:w w:val="95"/>
              </w:rPr>
              <w:t>(1)(2)</w:t>
            </w:r>
          </w:p>
        </w:tc>
        <w:tc>
          <w:tcPr>
            <w:tcW w:w="0" w:type="dxa"/>
            <w:vAlign w:val="bottom"/>
          </w:tcPr>
          <w:p>
            <w:pPr>
              <w:spacing w:after="0"/>
              <w:rPr>
                <w:sz w:val="1"/>
                <w:szCs w:val="1"/>
                <w:color w:val="auto"/>
              </w:rPr>
            </w:pPr>
          </w:p>
        </w:tc>
      </w:tr>
      <w:tr>
        <w:trPr>
          <w:trHeight w:val="190"/>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Senior Mortgages: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880" w:type="dxa"/>
            <w:vAlign w:val="bottom"/>
            <w:gridSpan w:val="2"/>
          </w:tcPr>
          <w:p>
            <w:pPr>
              <w:ind w:left="180"/>
              <w:spacing w:after="0"/>
              <w:rPr>
                <w:sz w:val="20"/>
                <w:szCs w:val="20"/>
                <w:color w:val="auto"/>
              </w:rPr>
            </w:pPr>
            <w:r>
              <w:rPr>
                <w:rFonts w:ascii="Arial" w:cs="Arial" w:eastAsia="Arial" w:hAnsi="Arial"/>
                <w:sz w:val="14"/>
                <w:szCs w:val="14"/>
                <w:color w:val="auto"/>
              </w:rPr>
              <w:t>Borrower A</w:t>
            </w:r>
            <w:r>
              <w:rPr>
                <w:rFonts w:ascii="Arial" w:cs="Arial" w:eastAsia="Arial" w:hAnsi="Arial"/>
                <w:sz w:val="8"/>
                <w:szCs w:val="8"/>
                <w:color w:val="auto"/>
              </w:rPr>
              <w:t>(3)</w:t>
            </w: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Apartment/Residential</w:t>
            </w:r>
          </w:p>
        </w:tc>
        <w:tc>
          <w:tcPr>
            <w:tcW w:w="1460" w:type="dxa"/>
            <w:vAlign w:val="bottom"/>
            <w:gridSpan w:val="2"/>
          </w:tcPr>
          <w:p>
            <w:pPr>
              <w:ind w:left="40"/>
              <w:spacing w:after="0"/>
              <w:rPr>
                <w:sz w:val="20"/>
                <w:szCs w:val="20"/>
                <w:color w:val="auto"/>
              </w:rPr>
            </w:pPr>
            <w:r>
              <w:rPr>
                <w:rFonts w:ascii="Arial" w:cs="Arial" w:eastAsia="Arial" w:hAnsi="Arial"/>
                <w:sz w:val="14"/>
                <w:szCs w:val="14"/>
                <w:color w:val="auto"/>
              </w:rPr>
              <w:t>LIBOR + 6.75%</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LIBOR + 6.75%</w:t>
            </w: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January 2018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IO</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179,075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178,118</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B</w:t>
            </w: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Office</w:t>
            </w: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LIBOR + 5.25%</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+ 5.25%</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IO</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155,383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153,947</w:t>
            </w: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80" w:type="dxa"/>
            <w:vAlign w:val="bottom"/>
            <w:gridSpan w:val="2"/>
          </w:tcPr>
          <w:p>
            <w:pPr>
              <w:ind w:left="180"/>
              <w:spacing w:after="0"/>
              <w:rPr>
                <w:sz w:val="20"/>
                <w:szCs w:val="20"/>
                <w:color w:val="auto"/>
              </w:rPr>
            </w:pPr>
            <w:r>
              <w:rPr>
                <w:rFonts w:ascii="Arial" w:cs="Arial" w:eastAsia="Arial" w:hAnsi="Arial"/>
                <w:sz w:val="14"/>
                <w:szCs w:val="14"/>
                <w:color w:val="auto"/>
              </w:rPr>
              <w:t>Borrower C</w:t>
            </w: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Mixed Use/Mixed Collateral</w:t>
            </w:r>
          </w:p>
        </w:tc>
        <w:tc>
          <w:tcPr>
            <w:tcW w:w="1460" w:type="dxa"/>
            <w:vAlign w:val="bottom"/>
            <w:gridSpan w:val="2"/>
          </w:tcPr>
          <w:p>
            <w:pPr>
              <w:ind w:left="40"/>
              <w:spacing w:after="0"/>
              <w:rPr>
                <w:sz w:val="20"/>
                <w:szCs w:val="20"/>
                <w:color w:val="auto"/>
              </w:rPr>
            </w:pPr>
            <w:r>
              <w:rPr>
                <w:rFonts w:ascii="Arial" w:cs="Arial" w:eastAsia="Arial" w:hAnsi="Arial"/>
                <w:sz w:val="14"/>
                <w:szCs w:val="14"/>
                <w:color w:val="auto"/>
              </w:rPr>
              <w:t>LIBOR + 6%</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LIBOR + 6%</w:t>
            </w: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July 2017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IO</w:t>
            </w:r>
          </w:p>
        </w:tc>
        <w:tc>
          <w:tcPr>
            <w:tcW w:w="1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150,456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150,291</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D</w:t>
            </w:r>
            <w:r>
              <w:rPr>
                <w:rFonts w:ascii="Arial" w:cs="Arial" w:eastAsia="Arial" w:hAnsi="Arial"/>
                <w:sz w:val="8"/>
                <w:szCs w:val="8"/>
                <w:color w:val="auto"/>
              </w:rPr>
              <w:t>(4)</w:t>
            </w: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Mixed Use/Mixed Collateral</w:t>
            </w: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LIBOR + 8%</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+ 8%</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2017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IO</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118,089</w:t>
            </w: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80" w:type="dxa"/>
            <w:vAlign w:val="bottom"/>
            <w:gridSpan w:val="2"/>
          </w:tcPr>
          <w:p>
            <w:pPr>
              <w:ind w:left="180"/>
              <w:spacing w:after="0"/>
              <w:rPr>
                <w:sz w:val="20"/>
                <w:szCs w:val="20"/>
                <w:color w:val="auto"/>
              </w:rPr>
            </w:pPr>
            <w:r>
              <w:rPr>
                <w:rFonts w:ascii="Arial" w:cs="Arial" w:eastAsia="Arial" w:hAnsi="Arial"/>
                <w:sz w:val="14"/>
                <w:szCs w:val="14"/>
                <w:color w:val="auto"/>
              </w:rPr>
              <w:t>Borrower E</w:t>
            </w:r>
            <w:r>
              <w:rPr>
                <w:rFonts w:ascii="Arial" w:cs="Arial" w:eastAsia="Arial" w:hAnsi="Arial"/>
                <w:sz w:val="8"/>
                <w:szCs w:val="8"/>
                <w:color w:val="auto"/>
              </w:rPr>
              <w:t>(5)</w:t>
            </w: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Hotel</w:t>
            </w:r>
          </w:p>
        </w:tc>
        <w:tc>
          <w:tcPr>
            <w:tcW w:w="1460" w:type="dxa"/>
            <w:vAlign w:val="bottom"/>
            <w:gridSpan w:val="2"/>
          </w:tcPr>
          <w:p>
            <w:pPr>
              <w:ind w:left="40"/>
              <w:spacing w:after="0"/>
              <w:rPr>
                <w:sz w:val="20"/>
                <w:szCs w:val="20"/>
                <w:color w:val="auto"/>
              </w:rPr>
            </w:pPr>
            <w:r>
              <w:rPr>
                <w:rFonts w:ascii="Arial" w:cs="Arial" w:eastAsia="Arial" w:hAnsi="Arial"/>
                <w:sz w:val="14"/>
                <w:szCs w:val="14"/>
                <w:color w:val="auto"/>
              </w:rPr>
              <w:t>LIBOR + 6%</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LIBOR + 6%</w:t>
            </w: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July 2018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IO</w:t>
            </w:r>
          </w:p>
        </w:tc>
        <w:tc>
          <w:tcPr>
            <w:tcW w:w="1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90,000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89,917</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8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Senior mortgages</w:t>
            </w:r>
          </w:p>
        </w:tc>
        <w:tc>
          <w:tcPr>
            <w:tcW w:w="21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Apartment/Residential, Retail,</w:t>
            </w:r>
          </w:p>
        </w:tc>
        <w:tc>
          <w:tcPr>
            <w:tcW w:w="14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Fixed: 3% to 9.68%</w:t>
            </w:r>
          </w:p>
        </w:tc>
        <w:tc>
          <w:tcPr>
            <w:tcW w:w="14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Fixed: 3% to 9.68%</w:t>
            </w:r>
          </w:p>
        </w:tc>
        <w:tc>
          <w:tcPr>
            <w:tcW w:w="11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2016 to 2024</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individually &lt;3%</w:t>
            </w:r>
          </w:p>
        </w:tc>
        <w:tc>
          <w:tcPr>
            <w:tcW w:w="2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Land, Mixed Use/Mixed</w:t>
            </w:r>
          </w:p>
        </w:tc>
        <w:tc>
          <w:tcPr>
            <w:tcW w:w="1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Variable: LIBOR +</w:t>
            </w:r>
          </w:p>
        </w:tc>
        <w:tc>
          <w:tcPr>
            <w:tcW w:w="1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Variable: LIBOR +</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Collateral, Office, Hotel, Other</w:t>
            </w:r>
          </w:p>
        </w:tc>
        <w:tc>
          <w:tcPr>
            <w:tcW w:w="1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2.75% to LIBOR +</w:t>
            </w:r>
          </w:p>
        </w:tc>
        <w:tc>
          <w:tcPr>
            <w:tcW w:w="1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2.75% to LIBOR +</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287,736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215,926</w:t>
            </w:r>
          </w:p>
        </w:tc>
        <w:tc>
          <w:tcPr>
            <w:tcW w:w="0" w:type="dxa"/>
            <w:vAlign w:val="bottom"/>
          </w:tcPr>
          <w:p>
            <w:pPr>
              <w:spacing w:after="0"/>
              <w:rPr>
                <w:sz w:val="1"/>
                <w:szCs w:val="1"/>
                <w:color w:val="auto"/>
              </w:rPr>
            </w:pPr>
          </w:p>
        </w:tc>
      </w:tr>
      <w:tr>
        <w:trPr>
          <w:trHeight w:val="250"/>
        </w:trPr>
        <w:tc>
          <w:tcPr>
            <w:tcW w:w="1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981,400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906,288</w:t>
            </w:r>
          </w:p>
        </w:tc>
        <w:tc>
          <w:tcPr>
            <w:tcW w:w="0" w:type="dxa"/>
            <w:vAlign w:val="bottom"/>
          </w:tcPr>
          <w:p>
            <w:pPr>
              <w:spacing w:after="0"/>
              <w:rPr>
                <w:sz w:val="1"/>
                <w:szCs w:val="1"/>
                <w:color w:val="auto"/>
              </w:rPr>
            </w:pPr>
          </w:p>
        </w:tc>
      </w:tr>
      <w:tr>
        <w:trPr>
          <w:trHeight w:val="177"/>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Subordinate Mortgages:</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88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Subordinate mortgages</w:t>
            </w:r>
          </w:p>
        </w:tc>
        <w:tc>
          <w:tcPr>
            <w:tcW w:w="21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Retail, Hotel</w:t>
            </w:r>
          </w:p>
        </w:tc>
        <w:tc>
          <w:tcPr>
            <w:tcW w:w="14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Fixed: 6.8% to 14.0%</w:t>
            </w:r>
          </w:p>
        </w:tc>
        <w:tc>
          <w:tcPr>
            <w:tcW w:w="14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Fixed: 8.12% to</w:t>
            </w:r>
          </w:p>
        </w:tc>
        <w:tc>
          <w:tcPr>
            <w:tcW w:w="11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2016 to 2057</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individually &lt;3%</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28,708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28,676</w:t>
            </w:r>
          </w:p>
        </w:tc>
        <w:tc>
          <w:tcPr>
            <w:tcW w:w="0" w:type="dxa"/>
            <w:vAlign w:val="bottom"/>
          </w:tcPr>
          <w:p>
            <w:pPr>
              <w:spacing w:after="0"/>
              <w:rPr>
                <w:sz w:val="1"/>
                <w:szCs w:val="1"/>
                <w:color w:val="auto"/>
              </w:rPr>
            </w:pPr>
          </w:p>
        </w:tc>
      </w:tr>
      <w:tr>
        <w:trPr>
          <w:trHeight w:val="250"/>
        </w:trPr>
        <w:tc>
          <w:tcPr>
            <w:tcW w:w="1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28,708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28,676</w:t>
            </w:r>
          </w:p>
        </w:tc>
        <w:tc>
          <w:tcPr>
            <w:tcW w:w="0" w:type="dxa"/>
            <w:vAlign w:val="bottom"/>
          </w:tcPr>
          <w:p>
            <w:pPr>
              <w:spacing w:after="0"/>
              <w:rPr>
                <w:sz w:val="1"/>
                <w:szCs w:val="1"/>
                <w:color w:val="auto"/>
              </w:rPr>
            </w:pPr>
          </w:p>
        </w:tc>
      </w:tr>
      <w:tr>
        <w:trPr>
          <w:trHeight w:val="177"/>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mortgages</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9"/>
              </w:rPr>
              <w:t>1,010,108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934,964</w:t>
            </w:r>
          </w:p>
        </w:tc>
        <w:tc>
          <w:tcPr>
            <w:tcW w:w="0" w:type="dxa"/>
            <w:vAlign w:val="bottom"/>
          </w:tcPr>
          <w:p>
            <w:pPr>
              <w:spacing w:after="0"/>
              <w:rPr>
                <w:sz w:val="1"/>
                <w:szCs w:val="1"/>
                <w:color w:val="auto"/>
              </w:rPr>
            </w:pPr>
          </w:p>
        </w:tc>
      </w:tr>
      <w:tr>
        <w:trPr>
          <w:trHeight w:val="60"/>
        </w:trPr>
        <w:tc>
          <w:tcPr>
            <w:tcW w:w="17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-98425</wp:posOffset>
            </wp:positionV>
            <wp:extent cx="1209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are presented net of asset-specific reserves of $69.6 million on impaired loans. Impairment is measured using the estimated fair value of collateral, less costs to sell.</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carrying amount of mortgages approximated the federal income tax basis.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December 31, 2015, included a LIBOR interest rate floor of 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December 31, 2015, included a LIBOR interest rate floor of 0.25%.</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December 31, 2015, included a LIBOR interest rate floor of 0.18%.</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20"/>
          </w:cols>
          <w:pgMar w:left="24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Schedule IV—Mortgage Loans on Real Estate (Continued)</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2015</w:t>
      </w:r>
    </w:p>
    <w:p>
      <w:pPr>
        <w:spacing w:after="0" w:line="27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 in thousands)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Mortgage Loans on Real Estate: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Mortgage Loans on Real Estate from January 1, 2013 to December 31, 2015</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1,421,654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mortgage loans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19,249</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Additions under existing mortgage loans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92,887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31,589</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16,385</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Deductions</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Collections of principal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(636,883)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(Provision for) recovery of loan losses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25,011</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(to) real estate and equity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Amortization of premium</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934,964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827,796</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-98425</wp:posOffset>
            </wp:positionV>
            <wp:extent cx="24612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420" w:hanging="412"/>
        <w:spacing w:after="0"/>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Balances represent the carrying value of loans, which are net of asset specific reserves.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Amount includes amortization of discount, deferred interest capitalized and mark-to-market adjustments resulting from changes in foreign exchange rates.</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Amounts are presented net of charge-offs of $1.0 million, $239.6 million and $152.8 million for the years ended December 31, 2015,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219"/>
          </w:cols>
          <w:pgMar w:left="240" w:top="121" w:right="1440"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and Disagreements with Registered Public Accounting Firm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Evaluation of Disclosure Controls and Procedures</w:t>
      </w:r>
      <w:r>
        <w:rPr>
          <w:rFonts w:ascii="Arial" w:cs="Arial" w:eastAsia="Arial" w:hAnsi="Arial"/>
          <w:sz w:val="16"/>
          <w:szCs w:val="16"/>
          <w:color w:val="auto"/>
        </w:rPr>
        <w:t>—The Company has established and maintains disclosure controls and procedures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 are members of the disclosure committee.</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upon their evaluation as of December 31, 2015,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23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—Management is responsible for establishing and maintaining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in 2013 by the Committee of Sponsoring Organizations of the Treadway Commission.</w:t>
      </w:r>
    </w:p>
    <w:p>
      <w:pPr>
        <w:spacing w:after="0" w:line="24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Based on management's assessment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its internal control over financial reporting was effective as of December 31, 2015.</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internal control over financial reporting as of December 31, 2015, has been audited by PricewaterhouseCoopers LLP, an independent registered public accounting firm, as stated in their report which appears on page 45.</w:t>
      </w:r>
    </w:p>
    <w:p>
      <w:pPr>
        <w:spacing w:after="0" w:line="220"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Changes in Internal Controls Over Financial Reporting</w:t>
      </w:r>
      <w:r>
        <w:rPr>
          <w:rFonts w:ascii="Arial" w:cs="Arial" w:eastAsia="Arial" w:hAnsi="Arial"/>
          <w:sz w:val="18"/>
          <w:szCs w:val="18"/>
          <w:color w:val="auto"/>
        </w:rPr>
        <w:t>—There have been no changes during the last fiscal quarter in the Company's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identified in connection with the evaluation required by paragraph (d) of Exchange Act Rules 13a-15 or 15d-15 that have materially affected, or are reasonably likely to materially affect, the Company's internal control over financial reporting.</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the Registrant</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2016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2016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2016 annual meeting of shareholders to be filed within 120 days after the close of the Company's fiscal year are incorporated herein by reference.</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3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2016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Registered Public Accounting Firm Fees and Services</w:t>
      </w:r>
    </w:p>
    <w:p>
      <w:pPr>
        <w:spacing w:after="0" w:line="148"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Portions of the Company's definitive proxy statement for the 2016 annual meeting of shareholders to be filed within 120 days after the close of the Company's fiscal year are incorporated herein by reference.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36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and (c) Financial statements and schedules—see Index to Financial Statements and Schedules included in Item 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Exhibits—see index on following page.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39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423"/>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3.1.1</w:t>
            </w:r>
          </w:p>
        </w:tc>
        <w:tc>
          <w:tcPr>
            <w:tcW w:w="100" w:type="dxa"/>
            <w:vAlign w:val="bottom"/>
          </w:tcPr>
          <w:p>
            <w:pPr>
              <w:spacing w:after="0"/>
              <w:rPr>
                <w:sz w:val="24"/>
                <w:szCs w:val="24"/>
                <w:color w:val="auto"/>
              </w:rPr>
            </w:pPr>
          </w:p>
        </w:tc>
        <w:tc>
          <w:tcPr>
            <w:tcW w:w="10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Charter of the Company (including the Articles Supplementary for each Series of the Company's Preferred Stock).</w:t>
            </w:r>
            <w:r>
              <w:rPr>
                <w:rFonts w:ascii="Arial" w:cs="Arial" w:eastAsia="Arial" w:hAnsi="Arial"/>
                <w:sz w:val="25"/>
                <w:szCs w:val="25"/>
                <w:color w:val="auto"/>
                <w:w w:val="93"/>
                <w:vertAlign w:val="superscript"/>
              </w:rPr>
              <w:t>(1)</w:t>
            </w:r>
          </w:p>
        </w:tc>
        <w:tc>
          <w:tcPr>
            <w:tcW w:w="0" w:type="dxa"/>
            <w:vAlign w:val="bottom"/>
          </w:tcPr>
          <w:p>
            <w:pPr>
              <w:spacing w:after="0"/>
              <w:rPr>
                <w:sz w:val="1"/>
                <w:szCs w:val="1"/>
                <w:color w:val="auto"/>
              </w:rPr>
            </w:pPr>
          </w:p>
        </w:tc>
      </w:tr>
      <w:tr>
        <w:trPr>
          <w:trHeight w:val="392"/>
        </w:trPr>
        <w:tc>
          <w:tcPr>
            <w:tcW w:w="82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 xml:space="preserve">Articles of Amendment, dated August 17, 2015 (reflecting a change in the Company's name to iStar Inc.) </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608"/>
        </w:trPr>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Articles Supplementary relating to Series E Preferred Stock.</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Articles Supplementary relating to Series F Preferred Stock.</w:t>
            </w:r>
            <w:r>
              <w:rPr>
                <w:rFonts w:ascii="Arial" w:cs="Arial" w:eastAsia="Arial" w:hAnsi="Arial"/>
                <w:sz w:val="25"/>
                <w:szCs w:val="25"/>
                <w:color w:val="auto"/>
                <w:vertAlign w:val="superscript"/>
              </w:rPr>
              <w:t>(29)</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Articles Supplementary relating to Series G Preferred Stock.</w:t>
            </w:r>
            <w:r>
              <w:rPr>
                <w:rFonts w:ascii="Arial" w:cs="Arial" w:eastAsia="Arial" w:hAnsi="Arial"/>
                <w:sz w:val="25"/>
                <w:szCs w:val="25"/>
                <w:color w:val="auto"/>
                <w:vertAlign w:val="superscript"/>
              </w:rPr>
              <w:t>(7)</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Articles Supplementary relating to Series I Preferred Stock.</w:t>
            </w:r>
            <w:r>
              <w:rPr>
                <w:rFonts w:ascii="Arial" w:cs="Arial" w:eastAsia="Arial" w:hAnsi="Arial"/>
                <w:sz w:val="25"/>
                <w:szCs w:val="25"/>
                <w:color w:val="auto"/>
                <w:vertAlign w:val="superscript"/>
              </w:rPr>
              <w:t>(9)</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Articles Supplementary relating to Series J Preferred Stock.</w:t>
            </w:r>
            <w:r>
              <w:rPr>
                <w:rFonts w:ascii="Arial" w:cs="Arial" w:eastAsia="Arial" w:hAnsi="Arial"/>
                <w:sz w:val="25"/>
                <w:szCs w:val="25"/>
                <w:color w:val="auto"/>
                <w:vertAlign w:val="superscript"/>
              </w:rPr>
              <w:t>(17)</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Form of 77/8% Series E Cumulative Redeemable Preferred Stock Certificate.</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Arial" w:cs="Arial" w:eastAsia="Arial" w:hAnsi="Arial"/>
                <w:sz w:val="18"/>
                <w:szCs w:val="18"/>
                <w:color w:val="auto"/>
              </w:rPr>
              <w:t>Form of 7.8% Series F Cumulative Redeemable Preferred Stock Certificate.</w:t>
            </w:r>
            <w:r>
              <w:rPr>
                <w:rFonts w:ascii="Arial" w:cs="Arial" w:eastAsia="Arial" w:hAnsi="Arial"/>
                <w:sz w:val="25"/>
                <w:szCs w:val="25"/>
                <w:color w:val="auto"/>
                <w:vertAlign w:val="superscript"/>
              </w:rPr>
              <w:t>(6)</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3260" w:type="dxa"/>
            <w:vAlign w:val="bottom"/>
          </w:tcPr>
          <w:p>
            <w:pPr>
              <w:jc w:val="center"/>
              <w:ind w:right="2368"/>
              <w:spacing w:after="0"/>
              <w:rPr>
                <w:sz w:val="20"/>
                <w:szCs w:val="20"/>
                <w:color w:val="auto"/>
              </w:rPr>
            </w:pPr>
            <w:r>
              <w:rPr>
                <w:rFonts w:ascii="Arial" w:cs="Arial" w:eastAsia="Arial" w:hAnsi="Arial"/>
                <w:sz w:val="14"/>
                <w:szCs w:val="14"/>
                <w:b w:val="1"/>
                <w:bCs w:val="1"/>
                <w:color w:val="auto"/>
                <w:w w:val="98"/>
              </w:rPr>
              <w:t>Exhibit</w:t>
            </w:r>
          </w:p>
        </w:tc>
        <w:tc>
          <w:tcPr>
            <w:tcW w:w="3600" w:type="dxa"/>
            <w:vAlign w:val="bottom"/>
            <w:vMerge w:val="restart"/>
          </w:tcPr>
          <w:p>
            <w:pPr>
              <w:ind w:left="2220"/>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86"/>
        </w:trPr>
        <w:tc>
          <w:tcPr>
            <w:tcW w:w="3260" w:type="dxa"/>
            <w:vAlign w:val="bottom"/>
          </w:tcPr>
          <w:p>
            <w:pPr>
              <w:jc w:val="center"/>
              <w:ind w:right="2368"/>
              <w:spacing w:after="0"/>
              <w:rPr>
                <w:sz w:val="20"/>
                <w:szCs w:val="20"/>
                <w:color w:val="auto"/>
              </w:rPr>
            </w:pPr>
            <w:r>
              <w:rPr>
                <w:rFonts w:ascii="Arial" w:cs="Arial" w:eastAsia="Arial" w:hAnsi="Arial"/>
                <w:sz w:val="14"/>
                <w:szCs w:val="14"/>
                <w:b w:val="1"/>
                <w:bCs w:val="1"/>
                <w:color w:val="auto"/>
                <w:w w:val="94"/>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7.65% Series G Cumulative Redeemable Preferred Stock Certificate.</w:t>
      </w:r>
      <w:r>
        <w:rPr>
          <w:rFonts w:ascii="Arial" w:cs="Arial" w:eastAsia="Arial" w:hAnsi="Arial"/>
          <w:sz w:val="22"/>
          <w:szCs w:val="22"/>
          <w:color w:val="auto"/>
          <w:vertAlign w:val="superscript"/>
        </w:rPr>
        <w:t>(7)</w:t>
      </w:r>
    </w:p>
    <w:p>
      <w:pPr>
        <w:spacing w:after="0" w:line="206"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7.50% Series I Cumulative Redeemable Preferred Stock Certificate.</w:t>
      </w:r>
      <w:r>
        <w:rPr>
          <w:rFonts w:ascii="Arial" w:cs="Arial" w:eastAsia="Arial" w:hAnsi="Arial"/>
          <w:sz w:val="22"/>
          <w:szCs w:val="22"/>
          <w:color w:val="auto"/>
          <w:vertAlign w:val="superscript"/>
        </w:rPr>
        <w:t>(9)</w:t>
      </w:r>
    </w:p>
    <w:p>
      <w:pPr>
        <w:spacing w:after="0" w:line="206"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4.50% Series J Cumulative Convertible Perpetual Preferred Stock Certificate.</w:t>
      </w:r>
      <w:r>
        <w:rPr>
          <w:rFonts w:ascii="Arial" w:cs="Arial" w:eastAsia="Arial" w:hAnsi="Arial"/>
          <w:sz w:val="22"/>
          <w:szCs w:val="22"/>
          <w:color w:val="auto"/>
          <w:vertAlign w:val="superscript"/>
        </w:rPr>
        <w:t>(23)</w:t>
      </w:r>
    </w:p>
    <w:p>
      <w:pPr>
        <w:spacing w:after="0" w:line="206"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Stock Certificate for the Company's Common Stock.</w:t>
      </w:r>
      <w:r>
        <w:rPr>
          <w:rFonts w:ascii="Arial" w:cs="Arial" w:eastAsia="Arial" w:hAnsi="Arial"/>
          <w:sz w:val="22"/>
          <w:szCs w:val="22"/>
          <w:color w:val="auto"/>
          <w:vertAlign w:val="superscript"/>
        </w:rPr>
        <w:t>(14)</w:t>
      </w:r>
    </w:p>
    <w:p>
      <w:pPr>
        <w:spacing w:after="0" w:line="206"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Global Note evidencing 5.85% Senior Notes due 2017 issued on March 9, 2007.</w:t>
      </w:r>
      <w:r>
        <w:rPr>
          <w:rFonts w:ascii="Arial" w:cs="Arial" w:eastAsia="Arial" w:hAnsi="Arial"/>
          <w:sz w:val="22"/>
          <w:szCs w:val="22"/>
          <w:color w:val="auto"/>
          <w:vertAlign w:val="superscript"/>
        </w:rPr>
        <w:t>(21)</w:t>
      </w:r>
    </w:p>
    <w:p>
      <w:pPr>
        <w:spacing w:after="0" w:line="206"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Global Note evidencing 5.875% Senior Notes due 2016 issued on February 21, 2006.</w:t>
      </w:r>
      <w:r>
        <w:rPr>
          <w:rFonts w:ascii="Arial" w:cs="Arial" w:eastAsia="Arial" w:hAnsi="Arial"/>
          <w:sz w:val="22"/>
          <w:szCs w:val="22"/>
          <w:color w:val="auto"/>
          <w:vertAlign w:val="superscript"/>
        </w:rPr>
        <w:t>(16)</w:t>
      </w:r>
    </w:p>
    <w:p>
      <w:pPr>
        <w:spacing w:after="0" w:line="206"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Global Note evidencing 9.0% Senior Series B Notes due 2017 issued on July 9, 2012.</w:t>
      </w:r>
      <w:r>
        <w:rPr>
          <w:rFonts w:ascii="Arial" w:cs="Arial" w:eastAsia="Arial" w:hAnsi="Arial"/>
          <w:sz w:val="22"/>
          <w:szCs w:val="22"/>
          <w:color w:val="auto"/>
          <w:vertAlign w:val="superscript"/>
        </w:rPr>
        <w:t>(26)</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Form of Global Note evidencing 7.125% Senior Notes due 2018 issued on November 13, 2012.</w:t>
      </w:r>
      <w:r>
        <w:rPr>
          <w:rFonts w:ascii="Arial" w:cs="Arial" w:eastAsia="Arial" w:hAnsi="Arial"/>
          <w:sz w:val="22"/>
          <w:szCs w:val="22"/>
          <w:color w:val="auto"/>
          <w:vertAlign w:val="superscript"/>
        </w:rPr>
        <w:t>(27)</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Global Note evidencing 3.00% Convertible Senior Notes due 2016 issued on November 13, 2012.</w:t>
      </w:r>
      <w:r>
        <w:rPr>
          <w:rFonts w:ascii="Arial" w:cs="Arial" w:eastAsia="Arial" w:hAnsi="Arial"/>
          <w:sz w:val="22"/>
          <w:szCs w:val="22"/>
          <w:color w:val="auto"/>
          <w:vertAlign w:val="superscript"/>
        </w:rPr>
        <w:t>(27)</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Form of Global Note evidencing 3.875% Senior Notes due 2016 issued on May 10, 2013.</w:t>
      </w:r>
      <w:r>
        <w:rPr>
          <w:rFonts w:ascii="Arial" w:cs="Arial" w:eastAsia="Arial" w:hAnsi="Arial"/>
          <w:sz w:val="22"/>
          <w:szCs w:val="22"/>
          <w:color w:val="auto"/>
          <w:vertAlign w:val="superscript"/>
        </w:rPr>
        <w:t>(28)</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Global Note evidencing 4.875% Senior Notes due 2018 issued on May 10, 2013.</w:t>
      </w:r>
      <w:r>
        <w:rPr>
          <w:rFonts w:ascii="Arial" w:cs="Arial" w:eastAsia="Arial" w:hAnsi="Arial"/>
          <w:sz w:val="22"/>
          <w:szCs w:val="22"/>
          <w:color w:val="auto"/>
          <w:vertAlign w:val="superscript"/>
        </w:rPr>
        <w:t>(28)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4.14</w:t>
            </w:r>
          </w:p>
        </w:tc>
        <w:tc>
          <w:tcPr>
            <w:tcW w:w="7180" w:type="dxa"/>
            <w:vAlign w:val="bottom"/>
          </w:tcPr>
          <w:p>
            <w:pPr>
              <w:ind w:left="200"/>
              <w:spacing w:after="0"/>
              <w:rPr>
                <w:sz w:val="20"/>
                <w:szCs w:val="20"/>
                <w:color w:val="auto"/>
              </w:rPr>
            </w:pPr>
            <w:r>
              <w:rPr>
                <w:rFonts w:ascii="Arial" w:cs="Arial" w:eastAsia="Arial" w:hAnsi="Arial"/>
                <w:sz w:val="18"/>
                <w:szCs w:val="18"/>
                <w:color w:val="auto"/>
                <w:w w:val="90"/>
              </w:rPr>
              <w:t>Form of Rule 144A Global Note evidencing 1.50% Convertible Senior Notes due 2016 issued on</w:t>
            </w:r>
          </w:p>
        </w:tc>
      </w:tr>
      <w:tr>
        <w:trPr>
          <w:trHeight w:val="329"/>
        </w:trPr>
        <w:tc>
          <w:tcPr>
            <w:tcW w:w="50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November 19, 2013.</w:t>
            </w:r>
            <w:r>
              <w:rPr>
                <w:rFonts w:ascii="Arial" w:cs="Arial" w:eastAsia="Arial" w:hAnsi="Arial"/>
                <w:sz w:val="25"/>
                <w:szCs w:val="25"/>
                <w:color w:val="auto"/>
                <w:vertAlign w:val="superscript"/>
              </w:rPr>
              <w:t>(11)</w:t>
            </w:r>
          </w:p>
        </w:tc>
      </w:tr>
    </w:tbl>
    <w:p>
      <w:pPr>
        <w:spacing w:after="0" w:line="34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Form of Global Note, No. 1-A evidencing 4.00% Senior Notes due 2017 issued on June 13, 2014.</w:t>
      </w:r>
      <w:r>
        <w:rPr>
          <w:rFonts w:ascii="Arial" w:cs="Arial" w:eastAsia="Arial" w:hAnsi="Arial"/>
          <w:sz w:val="22"/>
          <w:szCs w:val="22"/>
          <w:color w:val="auto"/>
          <w:vertAlign w:val="superscript"/>
        </w:rPr>
        <w:t>(30)</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Form of Global Note, No. 1-B evidencing 4.00% Senior Notes due 2017 issued on June 13, 2014.</w:t>
      </w:r>
      <w:r>
        <w:rPr>
          <w:rFonts w:ascii="Arial" w:cs="Arial" w:eastAsia="Arial" w:hAnsi="Arial"/>
          <w:sz w:val="22"/>
          <w:szCs w:val="22"/>
          <w:color w:val="auto"/>
          <w:vertAlign w:val="superscript"/>
        </w:rPr>
        <w:t>(30)</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Form of Global Note, No. 2-A evidencing 5.00% Senior Notes due 2019 issued on June 13, 2014.</w:t>
      </w:r>
      <w:r>
        <w:rPr>
          <w:rFonts w:ascii="Arial" w:cs="Arial" w:eastAsia="Arial" w:hAnsi="Arial"/>
          <w:sz w:val="22"/>
          <w:szCs w:val="22"/>
          <w:color w:val="auto"/>
          <w:vertAlign w:val="superscript"/>
        </w:rPr>
        <w:t>(30)</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Form of Global Note, No. 2-B evidencing 5.00% Senior Notes due 2019 issued on June 13, 2014.</w:t>
      </w:r>
      <w:r>
        <w:rPr>
          <w:rFonts w:ascii="Arial" w:cs="Arial" w:eastAsia="Arial" w:hAnsi="Arial"/>
          <w:sz w:val="22"/>
          <w:szCs w:val="22"/>
          <w:color w:val="auto"/>
          <w:vertAlign w:val="superscript"/>
        </w:rPr>
        <w:t>(30)</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Form of Global Note, No. 2-B evidencing 5.00% Senior Notes due 2019 issued on June 13, 2014.</w:t>
      </w:r>
      <w:r>
        <w:rPr>
          <w:rFonts w:ascii="Arial" w:cs="Arial" w:eastAsia="Arial" w:hAnsi="Arial"/>
          <w:sz w:val="22"/>
          <w:szCs w:val="22"/>
          <w:color w:val="auto"/>
          <w:vertAlign w:val="superscript"/>
        </w:rPr>
        <w:t>(30)</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Seventeenth Supplemental Indenture, dated as of March 9, 2007, governing the 5.85% Senior Notes due 2017.</w:t>
      </w:r>
      <w:r>
        <w:rPr>
          <w:rFonts w:ascii="Arial" w:cs="Arial" w:eastAsia="Arial" w:hAnsi="Arial"/>
          <w:sz w:val="22"/>
          <w:szCs w:val="22"/>
          <w:color w:val="auto"/>
          <w:vertAlign w:val="superscript"/>
        </w:rPr>
        <w:t>(20)</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Base Indenture, dated as of February 5, 2001, between the Company and State Street Bank and Trust Company.</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34"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Indenture, dated as of May 8, 2012, between the Company and U.S. Bank National Association governing the 9.0% Senior Series B Notes due</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(25)</w:t>
      </w:r>
    </w:p>
    <w:p>
      <w:pPr>
        <w:spacing w:after="0" w:line="378"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Twenty-First Supplemental Indenture, dated as of November 13, 2012 governing the 7.125% Senior Notes due 2018.</w:t>
      </w:r>
      <w:r>
        <w:rPr>
          <w:rFonts w:ascii="Arial" w:cs="Arial" w:eastAsia="Arial" w:hAnsi="Arial"/>
          <w:sz w:val="22"/>
          <w:szCs w:val="22"/>
          <w:color w:val="auto"/>
          <w:vertAlign w:val="superscript"/>
        </w:rPr>
        <w:t>(27)</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Twenty-Second Supplemental Indenture, dated as of November 13, 2012 governing the 3.00% Convertible Senior Notes due 2016.</w:t>
      </w:r>
      <w:r>
        <w:rPr>
          <w:rFonts w:ascii="Arial" w:cs="Arial" w:eastAsia="Arial" w:hAnsi="Arial"/>
          <w:sz w:val="22"/>
          <w:szCs w:val="22"/>
          <w:color w:val="auto"/>
          <w:vertAlign w:val="superscript"/>
        </w:rPr>
        <w:t>(27)</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Twenty-Third Supplemental Indenture, dated as of May 10, 2013, governing the 3.875% Senior Notes due 2016.</w:t>
      </w:r>
      <w:r>
        <w:rPr>
          <w:rFonts w:ascii="Arial" w:cs="Arial" w:eastAsia="Arial" w:hAnsi="Arial"/>
          <w:sz w:val="22"/>
          <w:szCs w:val="22"/>
          <w:color w:val="auto"/>
          <w:vertAlign w:val="superscript"/>
        </w:rPr>
        <w:t>(28)</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Twenty-Fourth Supplemental Indenture, dated as of May 10, 2013, governing the 4.875% Senior Notes due 2018.</w:t>
      </w:r>
      <w:r>
        <w:rPr>
          <w:rFonts w:ascii="Arial" w:cs="Arial" w:eastAsia="Arial" w:hAnsi="Arial"/>
          <w:sz w:val="22"/>
          <w:szCs w:val="22"/>
          <w:color w:val="auto"/>
          <w:vertAlign w:val="superscript"/>
        </w:rPr>
        <w:t>(28)</w:t>
      </w: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Twenty-Sixth Supplemental Indenture, dated June 13, 2014, governing the 4.00% Senior Notes due 2017.</w:t>
      </w:r>
      <w:r>
        <w:rPr>
          <w:rFonts w:ascii="Arial" w:cs="Arial" w:eastAsia="Arial" w:hAnsi="Arial"/>
          <w:sz w:val="22"/>
          <w:szCs w:val="22"/>
          <w:color w:val="auto"/>
          <w:vertAlign w:val="superscript"/>
        </w:rPr>
        <w:t>(30)</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Twenty-Seventh Supplemental Indenture, dated June 13, 2014, governing the 5.00% Senior Notes due 2019.</w:t>
      </w:r>
      <w:r>
        <w:rPr>
          <w:rFonts w:ascii="Arial" w:cs="Arial" w:eastAsia="Arial" w:hAnsi="Arial"/>
          <w:sz w:val="22"/>
          <w:szCs w:val="22"/>
          <w:color w:val="auto"/>
          <w:vertAlign w:val="superscript"/>
        </w:rPr>
        <w:t>(30)</w:t>
      </w:r>
    </w:p>
    <w:p>
      <w:pPr>
        <w:sectPr>
          <w:pgSz w:w="11900" w:h="16879" w:orient="portrait"/>
          <w:cols w:equalWidth="0" w:num="1">
            <w:col w:w="11220"/>
          </w:cols>
          <w:pgMar w:left="240" w:top="122" w:right="439" w:bottom="0"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9019"/>
          </w:cols>
          <w:pgMar w:left="1440" w:top="530"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3260" w:type="dxa"/>
            <w:vAlign w:val="bottom"/>
          </w:tcPr>
          <w:p>
            <w:pPr>
              <w:jc w:val="center"/>
              <w:ind w:right="2368"/>
              <w:spacing w:after="0"/>
              <w:rPr>
                <w:sz w:val="20"/>
                <w:szCs w:val="20"/>
                <w:color w:val="auto"/>
              </w:rPr>
            </w:pPr>
            <w:r>
              <w:rPr>
                <w:rFonts w:ascii="Arial" w:cs="Arial" w:eastAsia="Arial" w:hAnsi="Arial"/>
                <w:sz w:val="14"/>
                <w:szCs w:val="14"/>
                <w:b w:val="1"/>
                <w:bCs w:val="1"/>
                <w:color w:val="auto"/>
                <w:w w:val="98"/>
              </w:rPr>
              <w:t>Exhibit</w:t>
            </w:r>
          </w:p>
        </w:tc>
        <w:tc>
          <w:tcPr>
            <w:tcW w:w="3600" w:type="dxa"/>
            <w:vAlign w:val="bottom"/>
            <w:vMerge w:val="restart"/>
          </w:tcPr>
          <w:p>
            <w:pPr>
              <w:ind w:left="2220"/>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86"/>
        </w:trPr>
        <w:tc>
          <w:tcPr>
            <w:tcW w:w="3260" w:type="dxa"/>
            <w:vAlign w:val="bottom"/>
          </w:tcPr>
          <w:p>
            <w:pPr>
              <w:jc w:val="center"/>
              <w:ind w:right="2368"/>
              <w:spacing w:after="0"/>
              <w:rPr>
                <w:sz w:val="20"/>
                <w:szCs w:val="20"/>
                <w:color w:val="auto"/>
              </w:rPr>
            </w:pPr>
            <w:r>
              <w:rPr>
                <w:rFonts w:ascii="Arial" w:cs="Arial" w:eastAsia="Arial" w:hAnsi="Arial"/>
                <w:sz w:val="14"/>
                <w:szCs w:val="14"/>
                <w:b w:val="1"/>
                <w:bCs w:val="1"/>
                <w:color w:val="auto"/>
                <w:w w:val="94"/>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iStar Inc. 2007 Incentive Compensation Plan.</w:t>
      </w:r>
      <w:r>
        <w:rPr>
          <w:rFonts w:ascii="Arial" w:cs="Arial" w:eastAsia="Arial" w:hAnsi="Arial"/>
          <w:sz w:val="22"/>
          <w:szCs w:val="22"/>
          <w:color w:val="auto"/>
          <w:vertAlign w:val="superscript"/>
        </w:rPr>
        <w:t>(31)</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iStar Inc. 2009 Long Term Incentive Compensation Plan.</w:t>
      </w:r>
      <w:r>
        <w:rPr>
          <w:rFonts w:ascii="Arial" w:cs="Arial" w:eastAsia="Arial" w:hAnsi="Arial"/>
          <w:sz w:val="22"/>
          <w:szCs w:val="22"/>
          <w:color w:val="auto"/>
          <w:vertAlign w:val="superscript"/>
        </w:rPr>
        <w:t>(18)</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iStar Inc. 2013 Performance Incentive Plan.</w:t>
      </w:r>
      <w:r>
        <w:rPr>
          <w:rFonts w:ascii="Arial" w:cs="Arial" w:eastAsia="Arial" w:hAnsi="Arial"/>
          <w:sz w:val="22"/>
          <w:szCs w:val="22"/>
          <w:color w:val="auto"/>
          <w:vertAlign w:val="superscript"/>
        </w:rPr>
        <w:t>(18)</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Non-Employee Directors' Deferral Plan.</w:t>
      </w:r>
      <w:r>
        <w:rPr>
          <w:rFonts w:ascii="Arial" w:cs="Arial" w:eastAsia="Arial" w:hAnsi="Arial"/>
          <w:sz w:val="22"/>
          <w:szCs w:val="22"/>
          <w:color w:val="auto"/>
          <w:vertAlign w:val="superscript"/>
        </w:rPr>
        <w:t>(10)</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Restricted Stock Unit Award Agreement.</w:t>
      </w:r>
      <w:r>
        <w:rPr>
          <w:rFonts w:ascii="Arial" w:cs="Arial" w:eastAsia="Arial" w:hAnsi="Arial"/>
          <w:sz w:val="22"/>
          <w:szCs w:val="22"/>
          <w:color w:val="auto"/>
          <w:vertAlign w:val="superscript"/>
        </w:rPr>
        <w:t>(19)</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Unit Award Agreement (Performance-Based Vesting).</w:t>
      </w:r>
      <w:r>
        <w:rPr>
          <w:rFonts w:ascii="Arial" w:cs="Arial" w:eastAsia="Arial" w:hAnsi="Arial"/>
          <w:sz w:val="22"/>
          <w:szCs w:val="22"/>
          <w:color w:val="auto"/>
          <w:vertAlign w:val="superscript"/>
        </w:rPr>
        <w:t>(22)</w:t>
      </w:r>
    </w:p>
    <w:p>
      <w:pPr>
        <w:spacing w:after="0" w:line="20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Award Agreement For Investment Pool.</w:t>
      </w:r>
      <w:r>
        <w:rPr>
          <w:rFonts w:ascii="Arial" w:cs="Arial" w:eastAsia="Arial" w:hAnsi="Arial"/>
          <w:sz w:val="22"/>
          <w:szCs w:val="22"/>
          <w:color w:val="auto"/>
          <w:vertAlign w:val="superscript"/>
        </w:rPr>
        <w:t>(14)</w:t>
      </w:r>
    </w:p>
    <w:p>
      <w:pPr>
        <w:spacing w:after="0" w:line="206" w:lineRule="exact"/>
        <w:rPr>
          <w:sz w:val="20"/>
          <w:szCs w:val="20"/>
          <w:color w:val="auto"/>
        </w:rPr>
      </w:pPr>
    </w:p>
    <w:p>
      <w:pPr>
        <w:ind w:left="960" w:hanging="697"/>
        <w:spacing w:after="0" w:line="282"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Credit Agreement, dated as of March 19, 2012, by the Company, the banks set forth therein and Barclays Bank PLC, as administrative agent, Bank Of America, N.A., as syndication agent, JPMorgan Chase Bank, N.A., as documentation agent.</w:t>
      </w:r>
      <w:r>
        <w:rPr>
          <w:rFonts w:ascii="Arial" w:cs="Arial" w:eastAsia="Arial" w:hAnsi="Arial"/>
          <w:sz w:val="25"/>
          <w:szCs w:val="25"/>
          <w:color w:val="auto"/>
          <w:vertAlign w:val="superscript"/>
        </w:rPr>
        <w:t>(24)</w:t>
      </w:r>
    </w:p>
    <w:p>
      <w:pPr>
        <w:spacing w:after="0" w:line="94" w:lineRule="exact"/>
        <w:rPr>
          <w:sz w:val="20"/>
          <w:szCs w:val="20"/>
          <w:color w:val="auto"/>
        </w:rPr>
      </w:pPr>
    </w:p>
    <w:p>
      <w:pPr>
        <w:ind w:left="960" w:right="320" w:hanging="697"/>
        <w:spacing w:after="0" w:line="282" w:lineRule="auto"/>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Security Agreement, dated as of March 19, 2012, made by the Company, and the other parties thereto in favor of Barclays Bank PLC, as administrative agent.</w:t>
      </w:r>
      <w:r>
        <w:rPr>
          <w:rFonts w:ascii="Arial" w:cs="Arial" w:eastAsia="Arial" w:hAnsi="Arial"/>
          <w:sz w:val="25"/>
          <w:szCs w:val="25"/>
          <w:color w:val="auto"/>
          <w:vertAlign w:val="superscript"/>
        </w:rPr>
        <w:t>(24)</w:t>
      </w:r>
    </w:p>
    <w:p>
      <w:pPr>
        <w:spacing w:after="0" w:line="94" w:lineRule="exact"/>
        <w:rPr>
          <w:sz w:val="20"/>
          <w:szCs w:val="20"/>
          <w:color w:val="auto"/>
        </w:rPr>
      </w:pPr>
    </w:p>
    <w:p>
      <w:pPr>
        <w:ind w:left="960" w:right="300" w:hanging="738"/>
        <w:spacing w:after="0" w:line="282"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Credit Agreement dated as of March 27, 2015, among the Company, the other parties named therein and JPMorgan Chase Bank, N.A. as administrative agent.</w:t>
      </w:r>
      <w:r>
        <w:rPr>
          <w:rFonts w:ascii="Arial" w:cs="Arial" w:eastAsia="Arial" w:hAnsi="Arial"/>
          <w:sz w:val="25"/>
          <w:szCs w:val="25"/>
          <w:color w:val="auto"/>
          <w:vertAlign w:val="superscript"/>
        </w:rPr>
        <w:t>(15)</w:t>
      </w:r>
    </w:p>
    <w:p>
      <w:pPr>
        <w:spacing w:after="0" w:line="310"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and Earnings to fixed charges and preferred stock dividends.</w:t>
      </w:r>
    </w:p>
    <w:p>
      <w:pPr>
        <w:spacing w:after="0" w:line="25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5"/>
          <w:szCs w:val="15"/>
          <w:color w:val="auto"/>
        </w:rPr>
        <w:t>iStar Inc. Code of Conduct.</w:t>
      </w:r>
      <w:r>
        <w:rPr>
          <w:rFonts w:ascii="Arial" w:cs="Arial" w:eastAsia="Arial" w:hAnsi="Arial"/>
          <w:sz w:val="21"/>
          <w:szCs w:val="21"/>
          <w:color w:val="auto"/>
          <w:vertAlign w:val="superscript"/>
        </w:rPr>
        <w:t>(12)</w:t>
      </w:r>
    </w:p>
    <w:p>
      <w:pPr>
        <w:spacing w:after="0" w:line="218"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w:t>
      </w:r>
    </w:p>
    <w:p>
      <w:pPr>
        <w:spacing w:after="0" w:line="25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5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25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pacing w:after="0" w:line="252" w:lineRule="exact"/>
        <w:rPr>
          <w:sz w:val="20"/>
          <w:szCs w:val="20"/>
          <w:color w:val="auto"/>
        </w:rPr>
      </w:pPr>
    </w:p>
    <w:p>
      <w:pPr>
        <w:ind w:left="960" w:hanging="68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XBRL-related documents</w:t>
      </w:r>
    </w:p>
    <w:p>
      <w:pPr>
        <w:spacing w:after="0" w:line="252" w:lineRule="exact"/>
        <w:rPr>
          <w:rFonts w:ascii="Arial" w:cs="Arial" w:eastAsia="Arial" w:hAnsi="Arial"/>
          <w:sz w:val="18"/>
          <w:szCs w:val="18"/>
          <w:color w:val="auto"/>
        </w:rPr>
      </w:pPr>
    </w:p>
    <w:p>
      <w:pPr>
        <w:ind w:left="960" w:hanging="68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55"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2000 filed on May 15, 2000.</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October 25, 2013.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S-3 Registration Statement filed on February 12, 2001.</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August 19, 2015.</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July 8, 2003.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September 25, 2003.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December 10, 2003.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2003 filed on March 15, 2004.</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February 27, 2004.</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28, 2004.</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November 19, 2013.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2004 filed on March 16, 2005.</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Falcon Financial Investment Trust's Form 8-K filed on January 24, 2005.</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2014 filed on March 2, 2015.</w:t>
      </w:r>
    </w:p>
    <w:p>
      <w:pPr>
        <w:sectPr>
          <w:pgSz w:w="11900" w:h="16838" w:orient="portrait"/>
          <w:cols w:equalWidth="0" w:num="1">
            <w:col w:w="11100"/>
          </w:cols>
          <w:pgMar w:left="240" w:top="121" w:right="559" w:bottom="1440" w:gutter="0" w:footer="0" w:header="0"/>
        </w:sectPr>
      </w:pPr>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100"/>
          </w:cols>
          <w:pgMar w:left="240" w:top="121" w:right="559" w:bottom="1440" w:gutter="0" w:footer="0" w:header="0"/>
          <w:type w:val="continuous"/>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4" w:lineRule="exact"/>
        <w:rPr>
          <w:sz w:val="20"/>
          <w:szCs w:val="20"/>
          <w:color w:val="auto"/>
        </w:rPr>
      </w:pPr>
    </w:p>
    <w:p>
      <w:pPr>
        <w:ind w:left="420" w:hanging="398"/>
        <w:spacing w:after="0"/>
        <w:tabs>
          <w:tab w:leader="none" w:pos="4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2015 filed on May 4, 2015.</w:t>
      </w:r>
    </w:p>
    <w:p>
      <w:pPr>
        <w:spacing w:after="0" w:line="9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February 24, 2006.</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18, 2013.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11, 2014.</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25, 2007.</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15, 2007.</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2007 filed on May 9, 2007.</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2008 filed on May 9, 2008.</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March 18, 2013.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23, 2012.</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11, 2012.</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Registration Statement filed on June 8, 2012.</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November 19, 2012.</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16, 2013.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September 30, 2003.</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June 13, 2014.</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27, 2007.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8"/>
        <w:spacing w:after="0" w:line="394" w:lineRule="auto"/>
        <w:tabs>
          <w:tab w:leader="none" w:pos="108"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8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7"/>
          <w:szCs w:val="17"/>
          <w:color w:val="auto"/>
        </w:rPr>
        <w:t>/s/ DAVID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David DiStaso</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accounting officer)</w:t>
      </w:r>
    </w:p>
    <w:p>
      <w:pPr>
        <w:spacing w:after="0" w:line="31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7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/s/ JAY SUGARMAN</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6"/>
              </w:rPr>
              <w:t>Jay Sugarman</w:t>
            </w:r>
          </w:p>
        </w:tc>
      </w:tr>
      <w:tr>
        <w:trPr>
          <w:trHeight w:val="216"/>
        </w:trPr>
        <w:tc>
          <w:tcPr>
            <w:tcW w:w="67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CLIFFORD DE SOUZA</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Clifford De Souza</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ROBERT W. HOLMAN, JR.</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Robert W. Holman, Jr.</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/s/ ROBIN JOSEPHS</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7"/>
              </w:rPr>
              <w:t>Robin Josephs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/s/ JOHN G. MCDONALD</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John G. McDonald</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DALE A. REISS</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Dale A. Reiss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26, 2016</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/s/ BARRY W. RIDINGS</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Barry W. Ridings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Computation of Ratio of Earnings to Fixed Charges and Earnings to Fixed Charges and Preferred Dividends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 in thousands, except ratios)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3"/>
        </w:trPr>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Earnings: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Pre-tax income from continuing operations before earnings from equity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method investments and other items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(409,242)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(150,820)</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Add: Fixed charges as calculated below</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231,967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232,037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270,872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359,844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348,664</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Distributions from operations of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85,766</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Less: Capitalized interest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earnings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282,822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224,639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224,483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266,225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356,161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345,914</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Add: Capitalized interest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788</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Implied interest component on the company's rent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231,967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232,037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270,872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359,844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348,664</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Fixed charges and preferred dividends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283,287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283,357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319,892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402,164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390,984</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Earnings to fixed charges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500" w:type="dxa"/>
            <w:vAlign w:val="bottom"/>
          </w:tcPr>
          <w:p>
            <w:pPr>
              <w:ind w:left="220"/>
              <w:spacing w:after="0" w:line="263" w:lineRule="exact"/>
              <w:rPr>
                <w:sz w:val="20"/>
                <w:szCs w:val="20"/>
                <w:color w:val="auto"/>
              </w:rPr>
            </w:pPr>
            <w:r>
              <w:rPr>
                <w:rFonts w:ascii="Arial" w:cs="Arial" w:eastAsia="Arial" w:hAnsi="Arial"/>
                <w:sz w:val="18"/>
                <w:szCs w:val="18"/>
                <w:color w:val="auto"/>
              </w:rPr>
              <w:t>Earnings to fixed charges and preferred dividends</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the years ended December 31, 2012 and 2011, interest expense includes $1,064 and $3,728, respectively, of interest expense reclassified to discontinued operations.</w:t>
      </w:r>
    </w:p>
    <w:p>
      <w:pPr>
        <w:spacing w:after="0" w:line="1" w:lineRule="exact"/>
        <w:rPr>
          <w:rFonts w:ascii="Arial" w:cs="Arial" w:eastAsia="Arial" w:hAnsi="Arial"/>
          <w:sz w:val="14"/>
          <w:szCs w:val="14"/>
          <w:color w:val="auto"/>
        </w:rPr>
      </w:pPr>
    </w:p>
    <w:p>
      <w:pPr>
        <w:ind w:left="660" w:hanging="652"/>
        <w:spacing w:after="0" w:line="293" w:lineRule="auto"/>
        <w:tabs>
          <w:tab w:leader="none" w:pos="6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For the years ended December 31, 2015, 2014, 2013, 2012 and 2011 earnings were not sufficient to cover fixed charges by $99,825, $89,948, $240,912, $305,450 and $65,842, respectively, and earnings were not sufficient to cover fixed charges and preferred dividends by $151,145, $141,268, $289,932, $347,770 and $108,162, respectively.</w:t>
      </w:r>
    </w:p>
    <w:p>
      <w:pPr>
        <w:sectPr>
          <w:pgSz w:w="11900" w:h="16838" w:orient="portrait"/>
          <w:cols w:equalWidth="0" w:num="1">
            <w:col w:w="11420"/>
          </w:cols>
          <w:pgMar w:left="240" w:top="79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Borders>
              <w:bottom w:val="single" w:sz="8" w:color="CCEEFF"/>
            </w:tcBorders>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12 Union Street-Westborough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100</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Elkhorn Road-Sun Valley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100</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Riverview Condominium Association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38 North Almaden Boulevard Venture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45-10 19th Avenue-Astoria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210</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5th Ave. Venture Urban Renewal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210 5</w:t>
            </w:r>
            <w:r>
              <w:rPr>
                <w:rFonts w:ascii="Arial" w:cs="Arial" w:eastAsia="Arial" w:hAnsi="Arial"/>
                <w:sz w:val="8"/>
                <w:szCs w:val="8"/>
                <w:color w:val="auto"/>
              </w:rPr>
              <w:t>th</w:t>
            </w:r>
            <w:r>
              <w:rPr>
                <w:rFonts w:ascii="Arial" w:cs="Arial" w:eastAsia="Arial" w:hAnsi="Arial"/>
                <w:sz w:val="14"/>
                <w:szCs w:val="14"/>
                <w:color w:val="auto"/>
              </w:rPr>
              <w:t xml:space="preserve"> Ave. Venture LLC</w:t>
            </w: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212</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Fifth Lender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221</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American Boulevard-Bloomington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240</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 Pineapple Office-Sarasota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240 S Pineapple Parking-Sarasota LLC</w:t>
            </w: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246</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Spring Street LOC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300</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Riverview Condominium Association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328-342 Washington Blvd-Jersey City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333</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Rector Park-River Rose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iStar Garden City LLC</w:t>
            </w: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401</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W Michigan Street-Milwaukee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475-525 Sycamore Drive-Milpitas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500 Woodward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500 Woodward Café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560</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Cottonwood Drive-Milpitas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615</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 Weber Drive-Tempe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ind w:left="40"/>
              <w:spacing w:after="0"/>
              <w:rPr>
                <w:sz w:val="20"/>
                <w:szCs w:val="20"/>
                <w:color w:val="auto"/>
              </w:rPr>
            </w:pPr>
            <w:r>
              <w:rPr>
                <w:rFonts w:ascii="Arial" w:cs="Arial" w:eastAsia="Arial" w:hAnsi="Arial"/>
                <w:sz w:val="14"/>
                <w:szCs w:val="14"/>
                <w:color w:val="auto"/>
                <w:w w:val="85"/>
              </w:rPr>
              <w:t>628</w:t>
            </w:r>
          </w:p>
        </w:tc>
        <w:tc>
          <w:tcPr>
            <w:tcW w:w="4600" w:type="dxa"/>
            <w:vAlign w:val="bottom"/>
            <w:gridSpan w:val="3"/>
          </w:tcPr>
          <w:p>
            <w:pPr>
              <w:ind w:left="20"/>
              <w:spacing w:after="0"/>
              <w:rPr>
                <w:sz w:val="20"/>
                <w:szCs w:val="20"/>
                <w:color w:val="auto"/>
              </w:rPr>
            </w:pPr>
            <w:r>
              <w:rPr>
                <w:rFonts w:ascii="Arial" w:cs="Arial" w:eastAsia="Arial" w:hAnsi="Arial"/>
                <w:sz w:val="14"/>
                <w:szCs w:val="14"/>
                <w:color w:val="auto"/>
              </w:rPr>
              <w:t>East Cleveland Street-Clearwater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1000</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Clark Street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1000</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South Clark Street Partners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1050</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 El Mirage Road-Avondale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1200</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Holiday Drive-Coconut Grove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8440 Warner Crossing-Tempe LLC</w:t>
            </w: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1250</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 El Mirage Road-Avondale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1419-1425 Locust Street-Philadelphia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1504-1530 McCarthy Boulevard-Milpitas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1515</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Dock Street-Tacoma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1804</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McCarthy Boulevard-Milpitas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1812 North Moore Lender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1855</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Barber Lane-Milpitas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2003-2007 Nonconnah Boulevard-Memphis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2021</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Lakeside Boulevard-Richardson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2220</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West First Street-Fort Myers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2611 Corporate West Drive Venture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4"/>
          </w:tcPr>
          <w:p>
            <w:pPr>
              <w:ind w:left="40"/>
              <w:spacing w:after="0"/>
              <w:rPr>
                <w:sz w:val="20"/>
                <w:szCs w:val="20"/>
                <w:color w:val="auto"/>
              </w:rPr>
            </w:pPr>
            <w:r>
              <w:rPr>
                <w:rFonts w:ascii="Arial" w:cs="Arial" w:eastAsia="Arial" w:hAnsi="Arial"/>
                <w:sz w:val="14"/>
                <w:szCs w:val="14"/>
                <w:color w:val="auto"/>
              </w:rPr>
              <w:t>2611 CWD Net Lease REIT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2901</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Kinwest Parkway - Irving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3000</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Waterview Parkway-Richardson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3150 SW 38th Avenue-Miami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Peachtree Commercial Unit 1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Borders>
              <w:bottom w:val="single" w:sz="8" w:color="CCEEFF"/>
            </w:tcBorders>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Peachtree Commercial Unit 2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Peachtree Hotel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Peachtree Penthouse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Peachtree Residential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Georgia</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Peachtree Retail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Peachtree Villas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Peachtree Road - Atlanta Hotel LL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3376</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Peachtree Road - Atlanta Restaurant LL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3460</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14th Street NW-Washington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4471</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Dean Martin Drive-Las Vegas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4230 S. Decatur Boulevard - Las Vegas LLC</w:t>
            </w: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6087</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Sunset Boulevard-Hollywood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6162</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S Willow Drive-Englewood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6400</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Christie Avenue-Emeryville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6801 Woolridge Road GenPar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6801 Woolridge Road - Moseley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6801 Woolridge Road - Moseley TRS LLC</w:t>
            </w:r>
          </w:p>
        </w:tc>
        <w:tc>
          <w:tcPr>
            <w:tcW w:w="0" w:type="dxa"/>
            <w:vAlign w:val="bottom"/>
          </w:tcPr>
          <w:p>
            <w:pPr>
              <w:spacing w:after="0"/>
              <w:rPr>
                <w:sz w:val="1"/>
                <w:szCs w:val="1"/>
                <w:color w:val="auto"/>
              </w:rPr>
            </w:pPr>
          </w:p>
        </w:tc>
      </w:tr>
      <w:tr>
        <w:trPr>
          <w:trHeight w:val="264"/>
        </w:trPr>
        <w:tc>
          <w:tcPr>
            <w:tcW w:w="340" w:type="dxa"/>
            <w:vAlign w:val="bottom"/>
          </w:tcPr>
          <w:p>
            <w:pPr>
              <w:ind w:left="40"/>
              <w:spacing w:after="0"/>
              <w:rPr>
                <w:sz w:val="20"/>
                <w:szCs w:val="20"/>
                <w:color w:val="auto"/>
              </w:rPr>
            </w:pPr>
            <w:r>
              <w:rPr>
                <w:rFonts w:ascii="Arial" w:cs="Arial" w:eastAsia="Arial" w:hAnsi="Arial"/>
                <w:sz w:val="14"/>
                <w:szCs w:val="14"/>
                <w:color w:val="auto"/>
                <w:w w:val="89"/>
              </w:rPr>
              <w:t>7000</w:t>
            </w:r>
          </w:p>
        </w:tc>
        <w:tc>
          <w:tcPr>
            <w:tcW w:w="4520" w:type="dxa"/>
            <w:vAlign w:val="bottom"/>
            <w:gridSpan w:val="2"/>
          </w:tcPr>
          <w:p>
            <w:pPr>
              <w:ind w:left="20"/>
              <w:spacing w:after="0"/>
              <w:rPr>
                <w:sz w:val="20"/>
                <w:szCs w:val="20"/>
                <w:color w:val="auto"/>
              </w:rPr>
            </w:pPr>
            <w:r>
              <w:rPr>
                <w:rFonts w:ascii="Arial" w:cs="Arial" w:eastAsia="Arial" w:hAnsi="Arial"/>
                <w:sz w:val="14"/>
                <w:szCs w:val="14"/>
                <w:color w:val="auto"/>
              </w:rPr>
              <w:t>Hawaii Kai lender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7445</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East Chaparral Road-Scottsdale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11650 Central Parkway-Jacksonville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13351 Overseas Highway-Marathon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475-525 Sycamore Drive-Milpitas LLC</w:t>
            </w: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14000 N. Hayden Road-Scottsdale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17093 Biscayne Boulevard-North Miami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21625 Red Rum Drive-Ashburn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46702 Bayside Parkway-Fremont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46831 Lakeview Boulevard-Fremont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Acquest Government Holdings II,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Acquest Government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York</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Acquest Holdings FC,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ACRE IDG,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 at Monroe Urban Renewal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 at Monroe LLC</w:t>
            </w: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AP at South Grand Urban Renewal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ind w:left="20"/>
              <w:spacing w:after="0"/>
              <w:rPr>
                <w:sz w:val="20"/>
                <w:szCs w:val="20"/>
                <w:color w:val="auto"/>
              </w:rPr>
            </w:pPr>
            <w:r>
              <w:rPr>
                <w:rFonts w:ascii="Arial" w:cs="Arial" w:eastAsia="Arial" w:hAnsi="Arial"/>
                <w:sz w:val="14"/>
                <w:szCs w:val="14"/>
                <w:color w:val="auto"/>
              </w:rPr>
              <w:t>AP at South Grand LLC</w:t>
            </w: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 Block 146 Developer Urban Renewal,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 Block 146 Developer LLC</w:t>
            </w: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AP Block 176 Venture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 Block 178 Venture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AP Fifteen Property Holding,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 Five Property Holding,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AP Mortgagee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 Retail Venture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AP Ten Property Holding,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 Triangle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Madison Wesley Lake Three LLC</w:t>
            </w: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AP Wesley Lake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Madison Wesley Lake Two LLC</w:t>
            </w: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Asbury Convention Hall Limited Liability Company</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Asbury One Liquor License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Asbury Partners,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Asbury Shores Community, LLC</w:t>
            </w:r>
          </w:p>
        </w:tc>
        <w:tc>
          <w:tcPr>
            <w:tcW w:w="0" w:type="dxa"/>
            <w:vAlign w:val="bottom"/>
          </w:tcPr>
          <w:p>
            <w:pPr>
              <w:spacing w:after="0"/>
              <w:rPr>
                <w:sz w:val="1"/>
                <w:szCs w:val="1"/>
                <w:color w:val="auto"/>
              </w:rPr>
            </w:pPr>
          </w:p>
        </w:tc>
      </w:tr>
      <w:tr>
        <w:trPr>
          <w:trHeight w:val="264"/>
        </w:trPr>
        <w:tc>
          <w:tcPr>
            <w:tcW w:w="4860" w:type="dxa"/>
            <w:vAlign w:val="bottom"/>
            <w:gridSpan w:val="3"/>
          </w:tcPr>
          <w:p>
            <w:pPr>
              <w:ind w:left="40"/>
              <w:spacing w:after="0"/>
              <w:rPr>
                <w:sz w:val="20"/>
                <w:szCs w:val="20"/>
                <w:color w:val="auto"/>
              </w:rPr>
            </w:pPr>
            <w:r>
              <w:rPr>
                <w:rFonts w:ascii="Arial" w:cs="Arial" w:eastAsia="Arial" w:hAnsi="Arial"/>
                <w:sz w:val="14"/>
                <w:szCs w:val="14"/>
                <w:color w:val="auto"/>
              </w:rPr>
              <w:t>ASTAR 1360 Greely Chapel Road-Lima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ASTAR ASB AR1,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AR2,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FL1,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FL10,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FL2,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FL3,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FL4,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FL5,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FL6,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FL7,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FL8,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FL9,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GA1,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GA2,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GA3,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NC1,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NC2,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NC3,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NC4,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TX1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TX1 LimPar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TX1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ASB VA1,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ASB VA2,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Finance Falcon I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Finance Falcon II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Finance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ASTAR AF NH1,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FRR FL1,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FRR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FRR TX1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FRR TX1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Highway 290-North Hempstead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Dallas FC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Pima Road-Scottsdale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ROU LA1,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Route 33 - Hamilton NJ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Spokane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Suncadia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Two Notch Columbia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UAG AZ1,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UAG AZ2,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UAG AZ3,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UAG FL1,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UAG NJ1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ASTAR West Genesee Street II-Syracuse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ASTAR West Genesee Street I-Syracuse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Autostar Investors Partnership LLP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AutoStar Realty Operating Partnership,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Milestone Realty Operating Partnership</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Autostar Realty GP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Bath Site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Belmont Ridge Development Co</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One Madison Park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Bond Portfolio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Bonita Grande</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BW Bowling Properties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BW Bowling Properties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BW Bowling Properties GenPar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BW Bowling Net Lease I REIT</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BW Bowling Properties Canada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Canada</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Cajun Fish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Campbell Commons-Richardson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Charwell TP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Childs Associates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Coney Childs Lender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Coney Entertainment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Coney Island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Coyote Center Development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CTL I Maryland,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DT Net Lease I REIT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DT-XCIII-IS,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Entertainment Center Development,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Every Bear Investments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Falcon 2003-1 Columbus 818007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Falcon 2003-1 Dryden 818019</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855 Avenue of the Americas - SFI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Falcon 2003-1 Emporia 818012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Falcon 2003-1 Englewood 818021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Falcon 2003-1 Rimrock 818018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Falcon 2003-1 Seneca 818020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Falcon Auto Dealership Loan Trust 2001-1</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Falcon Auto Dealership Loan Trust 2003-1</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Falcon Auto Dealership,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Falcon Financial II,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Falcon Franchise Loan Corp.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 2005 Theaters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MUVICO Realty,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Gold Coast Chicago Acquisition Company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Harko,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Highland View Associates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4th &amp; Virginia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iStar 4</w:t>
            </w:r>
            <w:r>
              <w:rPr>
                <w:rFonts w:ascii="Arial" w:cs="Arial" w:eastAsia="Arial" w:hAnsi="Arial"/>
                <w:sz w:val="8"/>
                <w:szCs w:val="8"/>
                <w:color w:val="auto"/>
              </w:rPr>
              <w:t>th</w:t>
            </w:r>
            <w:r>
              <w:rPr>
                <w:rFonts w:ascii="Arial" w:cs="Arial" w:eastAsia="Arial" w:hAnsi="Arial"/>
                <w:sz w:val="14"/>
                <w:szCs w:val="14"/>
                <w:color w:val="auto"/>
              </w:rPr>
              <w:t xml:space="preserve"> &amp; Virginia Lender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4th &amp; Virginia Manager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85 10th L/C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5"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100 Management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100 Riverview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100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181 Fremont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200-300 Management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200-300 Riverview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200-300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320 East Warner Lender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701 TS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Alpha Structured Products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Apartment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Artesia Land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Asset Receivables Trust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Asset Services,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Starwood Asset Services, Inc.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Automotive Investments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Bishops Gate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Blues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Bowling Centers 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iStar Fort Collins USGS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Bowling Centers I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Bowling Centers II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Bowling Centers II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Busco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Chicago Hotel Lender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Columbus Circle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Corporate Collateral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CP Investment Fund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CS Emery Bay North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CS Kicker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CTL I GenPar,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CTL I,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CTL RiverEdge Summit-Atlanta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Dallas GL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Dallas GL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DH Holdings TRS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Cayman Islands</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Diplomat Drive-Farmers Branch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DMI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Financial Protective Trust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Financial Statutory Trust I</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FKEC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Florida 2015 Cinemas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FM Kicker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FM Loans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FM REO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Garden State Lender 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Harrisburg Business Trust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Harrisburg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Harrisburg,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Henderson Lender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IF III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Land and Development Company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Lex Lender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Marlin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Madison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iStar Madison TRS Inc.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Merger Co. I</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Starwood Merger Co. I</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Minnesota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Net Lease 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Net Lease Manager I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Net Lease Member 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One Dallas Manager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One Dallas Member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Orange TRS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Page Mill Road-Palo Alto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Permian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Raintree Venture Member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Reeder Lender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RC Paradise Valley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Real Estate Services,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3940" w:type="dxa"/>
            <w:vAlign w:val="bottom"/>
          </w:tcPr>
          <w:p>
            <w:pPr>
              <w:ind w:left="20"/>
              <w:spacing w:after="0"/>
              <w:rPr>
                <w:sz w:val="20"/>
                <w:szCs w:val="20"/>
                <w:color w:val="auto"/>
              </w:rPr>
            </w:pPr>
            <w:r>
              <w:rPr>
                <w:rFonts w:ascii="Arial" w:cs="Arial" w:eastAsia="Arial" w:hAnsi="Arial"/>
                <w:sz w:val="14"/>
                <w:szCs w:val="14"/>
                <w:color w:val="auto"/>
              </w:rPr>
              <w:t>TriNet Property Management, Inc.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REO Holdings TRS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REO Holding II TRS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San Jose,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SLC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iStar SLC TRS Inc.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SoHo Lender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Solo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SPP II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iStar SPP II TRS Inc.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SPP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iStar SPP TRS inc.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Statutory Trust</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Sunnyvale Partners,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Sunnyvale,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TALF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Tara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Tara Kickers TRS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Tara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WALH Investor TRS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iStar WALH Investor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West Walton Lender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iStar West Walton Mezz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iStar Woodward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Jade Eight Properties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Jersey Star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Jersey Star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Jersey Star LLC</w:t>
            </w: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Borders>
              <w:bottom w:val="single" w:sz="8" w:color="CCEEFF"/>
            </w:tcBorders>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Key West Harbour Development,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Key West Marina Investments,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Loft Office Acquisition,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Long Beach Wayfarer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Lysol Limited</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Cyprus</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Madison Asbury Retail,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Asbury Park Retail,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MF III Albion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MG Apartments Parcel 3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MN Theaters 2006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Minnesota</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GAC Theaters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MSK Resort Finance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Naples AW Holdco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240 S Pineapple Land - Sarasota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Naples Harbour Development, .L.C.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Naples Marina Investments,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NHN Holdco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345 Los Coches Street - North Hollywood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NHN Venture 2,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Oakton NLA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Oakton Net Lease EIT</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One Palm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Paramount Bay Owner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Parrot Cay Holdco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Piscataway Road-Clinton MD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Raintree Venture Owner,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Raintree Venture Partners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Rattlefish Raw Bar and Grill,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 Lion G.P.,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RLH Partnership,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Royal Oaks Lane (Biscayne Landing)-North Miami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SCC Distribution Centers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iStar SCC Distribution Centers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Seaside Park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10 Rittenhouse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1120 Warner-Tempe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10255 East Via Linda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Acquest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AHBR Falk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Almaden Manager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Ambassador East TRS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Artesia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SFI Artesia Retail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Ballpark Village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Belmont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Biscayne Boulevard Acquisitions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BR Villa Luisa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Bridgeview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Harbor View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Bullseye - Chicago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Cascade Highlands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Center Horseheads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Chicago Tollway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Wilton Oases LLC</w:t>
            </w:r>
          </w:p>
        </w:tc>
        <w:tc>
          <w:tcPr>
            <w:tcW w:w="0" w:type="dxa"/>
            <w:vAlign w:val="bottom"/>
          </w:tcPr>
          <w:p>
            <w:pPr>
              <w:spacing w:after="0"/>
              <w:rPr>
                <w:sz w:val="1"/>
                <w:szCs w:val="1"/>
                <w:color w:val="auto"/>
              </w:rPr>
            </w:pPr>
          </w:p>
        </w:tc>
      </w:tr>
    </w:tbl>
    <w:p>
      <w:pPr>
        <w:sectPr>
          <w:pgSz w:w="11900" w:h="16838" w:orient="portrait"/>
          <w:cols w:equalWidth="0" w:num="1">
            <w:col w:w="10219"/>
          </w:cols>
          <w:pgMar w:left="240" w:top="725"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College Park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Coney Island Manager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CWD Venture Manager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DT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Eagle Land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Emery Bay Participant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Euro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Euro Holdings II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Ford City - Chicago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Ginn Investments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Gold Coast Partner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Golden Hills-Vacaville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Grand Vista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Harborspire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328-342 Washington Blvd-Jersey City GenPar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Harborspire LimPar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328-342 Washington Blvd-Jersey City LimPar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Ilikai 104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Ilikai GenPar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Ilikai LL Parent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Ilikai LL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Ilikai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SFI Ilikai TRS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Ilikai Property Owner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Ilikai Retail Owner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Kapolei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Kauai GenPar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Kauai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Kauai TRS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Kauai Operator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Kauai Owner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Kaupulehu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Key West Harbour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Key West Marina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Kua 4 Partner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Kukio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Kula 1800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Los Valles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Los Valles REO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Magnolia Avenue-Riverside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Emperor Estates - Riverside County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Mammoth Crossing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SFI West Hills - Riverside County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Mammoth Finance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900 North Point Street-San Francisco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Mammoth GenPar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Mammoth Owner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Mammoth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Marina Investments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Marina Stuart TRS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Marlin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iStar REO TRS Inc.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MG Investor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Mortgage Funding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Naples Harbour Holdings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Naples Marina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Borders>
              <w:bottom w:val="single" w:sz="8" w:color="CCEEFF"/>
            </w:tcBorders>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Naples Reserve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Net Lease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One Palm Partner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Palm Tree Farms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Palm (St. Lucie)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14951 Royal Oaks (Biscayne Landing)-North Miami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Penn Properties Statutory Trust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SFI Rittenhouse Statutory Trust</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Raintree-Scottsdale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Savannah Commercial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Savannah Residential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Shadelands-Walnut Creek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50 Adrian Court-Burlingame LLC</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SMR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SMR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SMR GenPar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SOHO TRS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Spring Mountain Ranch Phase 1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Sugar Mill Investor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SFI Paramount Bay Owner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Tampa Harbour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Tampa Marina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Theater Investments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Transitional-Dixmoor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Valley Plaza - North Hollywood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Waipouli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SFI West 48</w:t>
            </w:r>
            <w:r>
              <w:rPr>
                <w:rFonts w:ascii="Arial" w:cs="Arial" w:eastAsia="Arial" w:hAnsi="Arial"/>
                <w:sz w:val="8"/>
                <w:szCs w:val="8"/>
                <w:color w:val="auto"/>
              </w:rPr>
              <w:t>th</w:t>
            </w:r>
            <w:r>
              <w:rPr>
                <w:rFonts w:ascii="Arial" w:cs="Arial" w:eastAsia="Arial" w:hAnsi="Arial"/>
                <w:sz w:val="14"/>
                <w:szCs w:val="14"/>
                <w:color w:val="auto"/>
              </w:rPr>
              <w:t xml:space="preserve"> Holdings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SFI Westgate City Center - Glendale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SFI Winkel Way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SFT I,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SFT/RLH,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Shore Road - Long Beach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Shore Road - Long Beach Superblock TRS LLC</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Shore Road GenPar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Shore Road-Long Beach Superblock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SMR Phase 1 Joint Venture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Spring Mountain Ranch REO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State Road 710-Indiantown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Stone Pony Partners,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Sugar MG II,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Sugar Mill Glen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Talking Partners,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Tampa Harbour Development,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Tampa Marina Investments,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Florida</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TDM Kua 4,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THCF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New Westgate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TimberStar Investors Partnership LLP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TimberStar Operating Partnership, L.P.</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TimberStar Selling Party Representative Holdco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State of</w:t>
            </w:r>
          </w:p>
        </w:tc>
        <w:tc>
          <w:tcPr>
            <w:tcW w:w="39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Other Names Used</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Borders>
              <w:bottom w:val="single" w:sz="8" w:color="CCEEFF"/>
            </w:tcBorders>
          </w:tcPr>
          <w:p>
            <w:pPr>
              <w:spacing w:after="0"/>
              <w:rPr>
                <w:sz w:val="16"/>
                <w:szCs w:val="16"/>
                <w:color w:val="auto"/>
              </w:rPr>
            </w:pPr>
          </w:p>
        </w:tc>
        <w:tc>
          <w:tcPr>
            <w:tcW w:w="3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TimberStar Southwest Investor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TPRJC Owner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TriNet Essential Facilities XXIII,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TriNet Essential Facilities XXVI, Inc.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TriNet Essential Facilities XXVII, Inc.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TriNet Sunnyvale Partners,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ind w:left="20"/>
              <w:spacing w:after="0"/>
              <w:rPr>
                <w:sz w:val="20"/>
                <w:szCs w:val="20"/>
                <w:color w:val="auto"/>
              </w:rPr>
            </w:pPr>
            <w:r>
              <w:rPr>
                <w:rFonts w:ascii="Arial" w:cs="Arial" w:eastAsia="Arial" w:hAnsi="Arial"/>
                <w:sz w:val="14"/>
                <w:szCs w:val="14"/>
                <w:color w:val="auto"/>
              </w:rPr>
              <w:t>Sunnyvale Partners, L.P.</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TSM I,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TSM II,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Uncommon CCRC Investor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Vector Urban Renewal Associates I, L.P.</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Westgate Investments,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4"/>
                <w:szCs w:val="14"/>
                <w:color w:val="auto"/>
              </w:rPr>
              <w:t>Westgate Signage, LLC</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Westgate Sports and Entertainment Group LLC</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3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 (No. 333-198576) and Form S</w:t>
      </w:r>
      <w:r>
        <w:rPr>
          <w:rFonts w:ascii="MS PGothic" w:cs="MS PGothic" w:eastAsia="MS PGothic" w:hAnsi="MS PGothic"/>
          <w:sz w:val="18"/>
          <w:szCs w:val="18"/>
          <w:color w:val="auto"/>
        </w:rPr>
        <w:t>‑</w:t>
      </w:r>
      <w:r>
        <w:rPr>
          <w:rFonts w:ascii="Arial" w:cs="Arial" w:eastAsia="Arial" w:hAnsi="Arial"/>
          <w:sz w:val="18"/>
          <w:szCs w:val="18"/>
          <w:color w:val="auto"/>
        </w:rPr>
        <w:t>8 (No. 333-183465) of iStar Inc. of our report dated February 26, 2016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79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26, 2016</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26, 2016</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DAVID DISTASO</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Annual Report on Form 10-K for the year ended December 31, 2015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26, 2016</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Annual Report on Form 10-K for the year ended December 31, 2015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26, 2016</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DAVID DISTASO</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lvl w:ilvl="1">
      <w:lvlJc w:val="left"/>
      <w:lvlText w:val="%2)"/>
      <w:numFmt w:val="decimal"/>
      <w:start w:val="12"/>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2"/>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lowerRoman"/>
      <w:start w:val="3"/>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4"/>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decimal"/>
      <w:start w:val="100"/>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lvl w:ilvl="1">
      <w:lvlJc w:val="left"/>
      <w:lvlText w:val="(%2)"/>
      <w:numFmt w:val="decimal"/>
      <w:start w:val="15"/>
    </w:lvl>
  </w:abstractNum>
  <w:abstractNum w:abstractNumId="63">
    <w:nsid w:val="1DBABF00"/>
    <w:multiLevelType w:val="hybridMultilevel"/>
    <w:lvl w:ilvl="0">
      <w:lvlJc w:val="left"/>
      <w:lvlText w:val="(%1)"/>
      <w:numFmt w:val="decimal"/>
      <w:start w:val="16"/>
    </w:lvl>
    <w:lvl w:ilvl="1">
      <w:lvlJc w:val="left"/>
      <w:lvlText w:val="%2"/>
      <w:numFmt w:val="decimal"/>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2019-12-29T13:11:27Z</dcterms:created>
  <dcterms:modified xsi:type="dcterms:W3CDTF">2019-12-29T13:11:27Z</dcterms:modified>
</cp:coreProperties>
</file>