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8"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4" w:lineRule="exact"/>
        <w:rPr>
          <w:sz w:val="24"/>
          <w:szCs w:val="24"/>
          <w:color w:val="auto"/>
        </w:rPr>
      </w:pPr>
    </w:p>
    <w:p>
      <w:pPr>
        <w:ind w:left="2600" w:right="1840" w:hanging="850"/>
        <w:spacing w:after="0" w:line="260" w:lineRule="auto"/>
        <w:tabs>
          <w:tab w:leader="none" w:pos="26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2017</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2600" w:right="1820" w:hanging="809"/>
        <w:spacing w:after="0" w:line="260" w:lineRule="auto"/>
        <w:tabs>
          <w:tab w:leader="none" w:pos="26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tbl>
      <w:tblPr>
        <w:tblLayout w:type="fixed"/>
        <w:tblInd w:w="1220" w:type="dxa"/>
        <w:tblCellMar>
          <w:top w:w="0" w:type="dxa"/>
          <w:left w:w="0" w:type="dxa"/>
          <w:bottom w:w="0" w:type="dxa"/>
          <w:right w:w="0" w:type="dxa"/>
        </w:tblCellMar>
      </w:tblPr>
      <w:tr>
        <w:trPr>
          <w:trHeight w:val="238"/>
        </w:trPr>
        <w:tc>
          <w:tcPr>
            <w:tcW w:w="5620" w:type="dxa"/>
            <w:vAlign w:val="bottom"/>
          </w:tcPr>
          <w:p>
            <w:pPr>
              <w:ind w:left="26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97"/>
        </w:trPr>
        <w:tc>
          <w:tcPr>
            <w:tcW w:w="5620" w:type="dxa"/>
            <w:vAlign w:val="bottom"/>
          </w:tcPr>
          <w:p>
            <w:pPr>
              <w:jc w:val="center"/>
              <w:ind w:left="3285"/>
              <w:spacing w:after="0"/>
              <w:rPr>
                <w:sz w:val="20"/>
                <w:szCs w:val="20"/>
                <w:color w:val="auto"/>
              </w:rPr>
            </w:pPr>
            <w:r>
              <w:rPr>
                <w:rFonts w:ascii="Times New Roman" w:cs="Times New Roman" w:eastAsia="Times New Roman" w:hAnsi="Times New Roman"/>
                <w:sz w:val="18"/>
                <w:szCs w:val="18"/>
                <w:b w:val="1"/>
                <w:bCs w:val="1"/>
                <w:color w:val="auto"/>
                <w:w w:val="99"/>
              </w:rPr>
              <w:t>Commission File No. 1-15371</w:t>
            </w:r>
          </w:p>
        </w:tc>
        <w:tc>
          <w:tcPr>
            <w:tcW w:w="2680" w:type="dxa"/>
            <w:vAlign w:val="bottom"/>
          </w:tcPr>
          <w:p>
            <w:pPr>
              <w:spacing w:after="0"/>
              <w:rPr>
                <w:sz w:val="24"/>
                <w:szCs w:val="24"/>
                <w:color w:val="auto"/>
              </w:rPr>
            </w:pPr>
          </w:p>
        </w:tc>
      </w:tr>
      <w:tr>
        <w:trPr>
          <w:trHeight w:val="220"/>
        </w:trPr>
        <w:tc>
          <w:tcPr>
            <w:tcW w:w="8300" w:type="dxa"/>
            <w:vAlign w:val="bottom"/>
            <w:gridSpan w:val="2"/>
          </w:tcPr>
          <w:p>
            <w:pPr>
              <w:jc w:val="center"/>
              <w:ind w:left="605"/>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tc>
      </w:tr>
      <w:tr>
        <w:trPr>
          <w:trHeight w:val="410"/>
        </w:trPr>
        <w:tc>
          <w:tcPr>
            <w:tcW w:w="5620" w:type="dxa"/>
            <w:vAlign w:val="bottom"/>
          </w:tcPr>
          <w:p>
            <w:pPr>
              <w:jc w:val="center"/>
              <w:ind w:left="3265"/>
              <w:spacing w:after="0"/>
              <w:rPr>
                <w:sz w:val="20"/>
                <w:szCs w:val="20"/>
                <w:color w:val="auto"/>
              </w:rPr>
            </w:pPr>
            <w:r>
              <w:rPr>
                <w:rFonts w:ascii="Times New Roman" w:cs="Times New Roman" w:eastAsia="Times New Roman" w:hAnsi="Times New Roman"/>
                <w:sz w:val="32"/>
                <w:szCs w:val="32"/>
                <w:b w:val="1"/>
                <w:bCs w:val="1"/>
                <w:color w:val="auto"/>
              </w:rPr>
              <w:t>iStar Inc.</w:t>
            </w:r>
          </w:p>
        </w:tc>
        <w:tc>
          <w:tcPr>
            <w:tcW w:w="2680" w:type="dxa"/>
            <w:vAlign w:val="bottom"/>
          </w:tcPr>
          <w:p>
            <w:pPr>
              <w:spacing w:after="0"/>
              <w:rPr>
                <w:sz w:val="24"/>
                <w:szCs w:val="24"/>
                <w:color w:val="auto"/>
              </w:rPr>
            </w:pPr>
          </w:p>
        </w:tc>
      </w:tr>
      <w:tr>
        <w:trPr>
          <w:trHeight w:val="234"/>
        </w:trPr>
        <w:tc>
          <w:tcPr>
            <w:tcW w:w="8300" w:type="dxa"/>
            <w:vAlign w:val="bottom"/>
            <w:gridSpan w:val="2"/>
          </w:tcPr>
          <w:p>
            <w:pPr>
              <w:jc w:val="center"/>
              <w:ind w:left="605"/>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95"/>
        </w:trPr>
        <w:tc>
          <w:tcPr>
            <w:tcW w:w="5620" w:type="dxa"/>
            <w:vAlign w:val="bottom"/>
          </w:tcPr>
          <w:p>
            <w:pPr>
              <w:jc w:val="center"/>
              <w:ind w:right="2465"/>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6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95-6881527</w:t>
            </w:r>
          </w:p>
        </w:tc>
      </w:tr>
      <w:tr>
        <w:trPr>
          <w:trHeight w:val="216"/>
        </w:trPr>
        <w:tc>
          <w:tcPr>
            <w:tcW w:w="5620" w:type="dxa"/>
            <w:vAlign w:val="bottom"/>
          </w:tcPr>
          <w:p>
            <w:pPr>
              <w:jc w:val="center"/>
              <w:ind w:right="2465"/>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6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620" w:type="dxa"/>
            <w:vAlign w:val="bottom"/>
          </w:tcPr>
          <w:p>
            <w:pPr>
              <w:jc w:val="center"/>
              <w:ind w:right="2465"/>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6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270"/>
        </w:trPr>
        <w:tc>
          <w:tcPr>
            <w:tcW w:w="5620" w:type="dxa"/>
            <w:vAlign w:val="bottom"/>
          </w:tcPr>
          <w:p>
            <w:pPr>
              <w:jc w:val="center"/>
              <w:ind w:right="2465"/>
              <w:spacing w:after="0"/>
              <w:rPr>
                <w:sz w:val="20"/>
                <w:szCs w:val="20"/>
                <w:color w:val="auto"/>
              </w:rPr>
            </w:pPr>
            <w:r>
              <w:rPr>
                <w:rFonts w:ascii="Times New Roman" w:cs="Times New Roman" w:eastAsia="Times New Roman" w:hAnsi="Times New Roman"/>
                <w:sz w:val="18"/>
                <w:szCs w:val="18"/>
                <w:b w:val="1"/>
                <w:bCs w:val="1"/>
                <w:color w:val="auto"/>
                <w:w w:val="98"/>
              </w:rPr>
              <w:t>1114 Avenue of the Americas, 39</w:t>
            </w:r>
            <w:r>
              <w:rPr>
                <w:rFonts w:ascii="Times New Roman" w:cs="Times New Roman" w:eastAsia="Times New Roman" w:hAnsi="Times New Roman"/>
                <w:sz w:val="14"/>
                <w:szCs w:val="14"/>
                <w:b w:val="1"/>
                <w:bCs w:val="1"/>
                <w:color w:val="auto"/>
                <w:w w:val="98"/>
              </w:rPr>
              <w:t>th</w:t>
            </w:r>
            <w:r>
              <w:rPr>
                <w:rFonts w:ascii="Times New Roman" w:cs="Times New Roman" w:eastAsia="Times New Roman" w:hAnsi="Times New Roman"/>
                <w:sz w:val="18"/>
                <w:szCs w:val="18"/>
                <w:b w:val="1"/>
                <w:bCs w:val="1"/>
                <w:color w:val="auto"/>
                <w:w w:val="98"/>
              </w:rPr>
              <w:t xml:space="preserve"> Floor</w:t>
            </w:r>
          </w:p>
        </w:tc>
        <w:tc>
          <w:tcPr>
            <w:tcW w:w="2680" w:type="dxa"/>
            <w:vAlign w:val="bottom"/>
          </w:tcPr>
          <w:p>
            <w:pPr>
              <w:spacing w:after="0"/>
              <w:rPr>
                <w:sz w:val="23"/>
                <w:szCs w:val="23"/>
                <w:color w:val="auto"/>
              </w:rPr>
            </w:pPr>
          </w:p>
        </w:tc>
      </w:tr>
      <w:tr>
        <w:trPr>
          <w:trHeight w:val="252"/>
        </w:trPr>
        <w:tc>
          <w:tcPr>
            <w:tcW w:w="5620" w:type="dxa"/>
            <w:vAlign w:val="bottom"/>
          </w:tcPr>
          <w:p>
            <w:pPr>
              <w:jc w:val="center"/>
              <w:ind w:right="2465"/>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26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34"/>
        </w:trPr>
        <w:tc>
          <w:tcPr>
            <w:tcW w:w="5620" w:type="dxa"/>
            <w:vAlign w:val="bottom"/>
          </w:tcPr>
          <w:p>
            <w:pPr>
              <w:jc w:val="center"/>
              <w:ind w:right="2465"/>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8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930-9400</w:t>
      </w:r>
    </w:p>
    <w:p>
      <w:pPr>
        <w:spacing w:after="0" w:line="63"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22" w:lineRule="exact"/>
        <w:rPr>
          <w:sz w:val="24"/>
          <w:szCs w:val="24"/>
          <w:color w:val="auto"/>
        </w:rPr>
      </w:pPr>
    </w:p>
    <w:p>
      <w:pPr>
        <w:jc w:val="both"/>
        <w:ind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233" w:lineRule="exact"/>
        <w:rPr>
          <w:sz w:val="24"/>
          <w:szCs w:val="24"/>
          <w:color w:val="auto"/>
        </w:rPr>
      </w:pPr>
    </w:p>
    <w:p>
      <w:pPr>
        <w:jc w:val="both"/>
        <w:ind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233" w:lineRule="exact"/>
        <w:rPr>
          <w:sz w:val="24"/>
          <w:szCs w:val="24"/>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225" w:right="239" w:bottom="1440" w:gutter="0" w:footer="0" w:header="0"/>
        </w:sectPr>
      </w:pPr>
    </w:p>
    <w:p>
      <w:pPr>
        <w:spacing w:after="0" w:line="147" w:lineRule="exact"/>
        <w:rPr>
          <w:sz w:val="24"/>
          <w:szCs w:val="24"/>
          <w:color w:val="auto"/>
        </w:rPr>
      </w:pPr>
    </w:p>
    <w:p>
      <w:pPr>
        <w:ind w:left="60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o</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ind w:hanging="29"/>
        <w:spacing w:after="0" w:line="266" w:lineRule="auto"/>
        <w:rPr>
          <w:sz w:val="20"/>
          <w:szCs w:val="20"/>
          <w:color w:val="auto"/>
        </w:rPr>
      </w:pPr>
      <w:r>
        <w:rPr>
          <w:rFonts w:ascii="Times New Roman" w:cs="Times New Roman" w:eastAsia="Times New Roman" w:hAnsi="Times New Roman"/>
          <w:sz w:val="18"/>
          <w:szCs w:val="18"/>
          <w:color w:val="auto"/>
        </w:rPr>
        <w:t xml:space="preserve">Non-accelerated filer o </w:t>
      </w:r>
      <w:r>
        <w:rPr>
          <w:rFonts w:ascii="Times New Roman" w:cs="Times New Roman" w:eastAsia="Times New Roman" w:hAnsi="Times New Roman"/>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Emerging growth</w:t>
      </w:r>
    </w:p>
    <w:p>
      <w:pPr>
        <w:spacing w:after="0" w:line="39"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company o</w:t>
      </w:r>
    </w:p>
    <w:p>
      <w:pPr>
        <w:spacing w:after="0" w:line="272" w:lineRule="exact"/>
        <w:rPr>
          <w:sz w:val="24"/>
          <w:szCs w:val="24"/>
          <w:color w:val="auto"/>
        </w:rPr>
      </w:pPr>
    </w:p>
    <w:p>
      <w:pPr>
        <w:sectPr>
          <w:pgSz w:w="11900" w:h="16838" w:orient="portrait"/>
          <w:cols w:equalWidth="0" w:num="5">
            <w:col w:w="2440" w:space="260"/>
            <w:col w:w="1340" w:space="500"/>
            <w:col w:w="1620" w:space="480"/>
            <w:col w:w="2100" w:space="540"/>
            <w:col w:w="2140"/>
          </w:cols>
          <w:pgMar w:left="240" w:top="225" w:right="239" w:bottom="1440" w:gutter="0" w:footer="0" w:header="0"/>
          <w:type w:val="continuous"/>
        </w:sectPr>
      </w:pPr>
    </w:p>
    <w:p>
      <w:pPr>
        <w:ind w:left="440"/>
        <w:spacing w:after="0" w:line="207" w:lineRule="exact"/>
        <w:tabs>
          <w:tab w:leader="none" w:pos="84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 Yes o</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308" w:lineRule="exact"/>
        <w:rPr>
          <w:sz w:val="24"/>
          <w:szCs w:val="24"/>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16"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August 3, 2017, there were 72,190,312 shares, $0.001 par value per share, of iStar Inc.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77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9"/>
        </w:trPr>
        <w:tc>
          <w:tcPr>
            <w:tcW w:w="640" w:type="dxa"/>
            <w:vAlign w:val="bottom"/>
            <w:gridSpan w:val="4"/>
          </w:tcPr>
          <w:p>
            <w:pPr>
              <w:spacing w:after="0" w:line="170" w:lineRule="exact"/>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w:t>
              </w:r>
            </w:hyperlink>
          </w:p>
        </w:tc>
        <w:tc>
          <w:tcPr>
            <w:tcW w:w="520" w:type="dxa"/>
            <w:vAlign w:val="bottom"/>
          </w:tcPr>
          <w:p>
            <w:pPr>
              <w:spacing w:after="0"/>
              <w:rPr>
                <w:sz w:val="16"/>
                <w:szCs w:val="16"/>
                <w:color w:val="auto"/>
              </w:rPr>
            </w:pPr>
          </w:p>
        </w:tc>
        <w:tc>
          <w:tcPr>
            <w:tcW w:w="4000" w:type="dxa"/>
            <w:vAlign w:val="bottom"/>
            <w:gridSpan w:val="10"/>
          </w:tcPr>
          <w:p>
            <w:pPr>
              <w:spacing w:after="0" w:line="170"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Financial Information</w:t>
              </w:r>
            </w:hyperlink>
          </w:p>
        </w:tc>
        <w:tc>
          <w:tcPr>
            <w:tcW w:w="5540" w:type="dxa"/>
            <w:vAlign w:val="bottom"/>
            <w:gridSpan w:val="8"/>
          </w:tcPr>
          <w:p>
            <w:pPr>
              <w:spacing w:after="0"/>
              <w:rPr>
                <w:sz w:val="16"/>
                <w:szCs w:val="16"/>
                <w:color w:val="auto"/>
              </w:rPr>
            </w:pPr>
          </w:p>
        </w:tc>
        <w:tc>
          <w:tcPr>
            <w:tcW w:w="660" w:type="dxa"/>
            <w:vAlign w:val="bottom"/>
            <w:gridSpan w:val="4"/>
          </w:tcPr>
          <w:p>
            <w:pPr>
              <w:jc w:val="right"/>
              <w:spacing w:after="0" w:line="170"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gridSpan w:val="2"/>
            <w:shd w:val="clear" w:color="auto" w:fill="0000EE"/>
          </w:tcPr>
          <w:p>
            <w:pPr>
              <w:spacing w:after="0"/>
              <w:rPr>
                <w:sz w:val="2"/>
                <w:szCs w:val="2"/>
                <w:color w:val="auto"/>
              </w:rPr>
            </w:pPr>
          </w:p>
        </w:tc>
        <w:tc>
          <w:tcPr>
            <w:tcW w:w="520" w:type="dxa"/>
            <w:vAlign w:val="bottom"/>
            <w:tcBorders>
              <w:right w:val="single" w:sz="8" w:color="0000EE"/>
            </w:tcBorders>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700" w:type="dxa"/>
            <w:vAlign w:val="bottom"/>
            <w:gridSpan w:val="2"/>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0" w:type="dxa"/>
            <w:vAlign w:val="bottom"/>
            <w:gridSpan w:val="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520" w:type="dxa"/>
            <w:vAlign w:val="bottom"/>
          </w:tcPr>
          <w:p>
            <w:pPr>
              <w:spacing w:after="0"/>
              <w:rPr>
                <w:sz w:val="22"/>
                <w:szCs w:val="22"/>
                <w:color w:val="auto"/>
              </w:rPr>
            </w:pPr>
          </w:p>
        </w:tc>
        <w:tc>
          <w:tcPr>
            <w:tcW w:w="4000" w:type="dxa"/>
            <w:vAlign w:val="bottom"/>
            <w:gridSpan w:val="1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5540" w:type="dxa"/>
            <w:vAlign w:val="bottom"/>
            <w:gridSpan w:val="8"/>
          </w:tcPr>
          <w:p>
            <w:pPr>
              <w:spacing w:after="0"/>
              <w:rPr>
                <w:sz w:val="22"/>
                <w:szCs w:val="22"/>
                <w:color w:val="auto"/>
              </w:rPr>
            </w:pPr>
          </w:p>
        </w:tc>
        <w:tc>
          <w:tcPr>
            <w:tcW w:w="660" w:type="dxa"/>
            <w:vAlign w:val="bottom"/>
            <w:gridSpan w:val="4"/>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160" w:type="dxa"/>
            <w:vAlign w:val="bottom"/>
            <w:gridSpan w:val="12"/>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Consolidated Balance Sheets as of June 30, 2017 (unaudited) and December 31, 2016</w:t>
              </w:r>
            </w:hyperlink>
          </w:p>
        </w:tc>
        <w:tc>
          <w:tcPr>
            <w:tcW w:w="3380" w:type="dxa"/>
            <w:vAlign w:val="bottom"/>
            <w:gridSpan w:val="6"/>
          </w:tcPr>
          <w:p>
            <w:pPr>
              <w:spacing w:after="0"/>
              <w:rPr>
                <w:sz w:val="21"/>
                <w:szCs w:val="21"/>
                <w:color w:val="auto"/>
              </w:rPr>
            </w:pPr>
          </w:p>
        </w:tc>
        <w:tc>
          <w:tcPr>
            <w:tcW w:w="660" w:type="dxa"/>
            <w:vAlign w:val="bottom"/>
            <w:gridSpan w:val="4"/>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Operations (unaudited)—For the three and six months ended June 30, 2017 and 2016</w:t>
              </w:r>
            </w:hyperlink>
          </w:p>
        </w:tc>
        <w:tc>
          <w:tcPr>
            <w:tcW w:w="660" w:type="dxa"/>
            <w:vAlign w:val="bottom"/>
            <w:gridSpan w:val="4"/>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8"/>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Comprehensive Income (Loss) (unaudited)—For the three and six months ended June 30, 2017 and</w:t>
              </w:r>
            </w:hyperlink>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2016</w:t>
              </w:r>
            </w:hyperlink>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gridSpan w:val="2"/>
            <w:vMerge w:val="restart"/>
          </w:tcPr>
          <w:p>
            <w:pPr>
              <w:spacing w:after="0"/>
              <w:rPr>
                <w:sz w:val="17"/>
                <w:szCs w:val="17"/>
                <w:color w:val="auto"/>
              </w:rPr>
            </w:pPr>
          </w:p>
        </w:tc>
        <w:tc>
          <w:tcPr>
            <w:tcW w:w="100" w:type="dxa"/>
            <w:vAlign w:val="bottom"/>
            <w:gridSpan w:val="2"/>
            <w:vMerge w:val="restart"/>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00" w:type="dxa"/>
            <w:vAlign w:val="bottom"/>
            <w:tcBorders>
              <w:bottom w:val="single" w:sz="8" w:color="0000EE"/>
            </w:tcBorders>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980" w:type="dxa"/>
            <w:vAlign w:val="bottom"/>
            <w:gridSpan w:val="15"/>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Consolidated Statements of Changes in Equity (unaudited)—For the six months ended June 30, 2017 and 2016</w:t>
              </w:r>
            </w:hyperlink>
          </w:p>
        </w:tc>
        <w:tc>
          <w:tcPr>
            <w:tcW w:w="1560" w:type="dxa"/>
            <w:vAlign w:val="bottom"/>
            <w:gridSpan w:val="3"/>
          </w:tcPr>
          <w:p>
            <w:pPr>
              <w:spacing w:after="0"/>
              <w:rPr>
                <w:sz w:val="21"/>
                <w:szCs w:val="21"/>
                <w:color w:val="auto"/>
              </w:rPr>
            </w:pPr>
          </w:p>
        </w:tc>
        <w:tc>
          <w:tcPr>
            <w:tcW w:w="660" w:type="dxa"/>
            <w:vAlign w:val="bottom"/>
            <w:gridSpan w:val="4"/>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980" w:type="dxa"/>
            <w:vAlign w:val="bottom"/>
            <w:gridSpan w:val="15"/>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Cash Flows (unaudited)—For the six months ended June 30, 2017 and 2016</w:t>
              </w:r>
            </w:hyperlink>
          </w:p>
        </w:tc>
        <w:tc>
          <w:tcPr>
            <w:tcW w:w="1560" w:type="dxa"/>
            <w:vAlign w:val="bottom"/>
            <w:gridSpan w:val="3"/>
          </w:tcPr>
          <w:p>
            <w:pPr>
              <w:spacing w:after="0"/>
              <w:rPr>
                <w:sz w:val="21"/>
                <w:szCs w:val="21"/>
                <w:color w:val="auto"/>
              </w:rPr>
            </w:pPr>
          </w:p>
        </w:tc>
        <w:tc>
          <w:tcPr>
            <w:tcW w:w="660" w:type="dxa"/>
            <w:vAlign w:val="bottom"/>
            <w:gridSpan w:val="4"/>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80" w:type="dxa"/>
            <w:vAlign w:val="bottom"/>
            <w:gridSpan w:val="14"/>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Consolidated Financial Statements (unaudited)</w:t>
              </w:r>
            </w:hyperlink>
          </w:p>
        </w:tc>
        <w:tc>
          <w:tcPr>
            <w:tcW w:w="2060" w:type="dxa"/>
            <w:vAlign w:val="bottom"/>
            <w:gridSpan w:val="4"/>
          </w:tcPr>
          <w:p>
            <w:pPr>
              <w:spacing w:after="0"/>
              <w:rPr>
                <w:sz w:val="21"/>
                <w:szCs w:val="21"/>
                <w:color w:val="auto"/>
              </w:rPr>
            </w:pPr>
          </w:p>
        </w:tc>
        <w:tc>
          <w:tcPr>
            <w:tcW w:w="660" w:type="dxa"/>
            <w:vAlign w:val="bottom"/>
            <w:gridSpan w:val="4"/>
          </w:tcPr>
          <w:p>
            <w:pPr>
              <w:jc w:val="right"/>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640" w:type="dxa"/>
            <w:vAlign w:val="bottom"/>
            <w:gridSpan w:val="3"/>
          </w:tcPr>
          <w:p>
            <w:pPr>
              <w:spacing w:after="0"/>
              <w:rPr>
                <w:sz w:val="21"/>
                <w:szCs w:val="21"/>
                <w:color w:val="auto"/>
              </w:rPr>
            </w:pPr>
          </w:p>
        </w:tc>
        <w:tc>
          <w:tcPr>
            <w:tcW w:w="9540" w:type="dxa"/>
            <w:vAlign w:val="bottom"/>
            <w:gridSpan w:val="18"/>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60" w:type="dxa"/>
            <w:vAlign w:val="bottom"/>
            <w:gridSpan w:val="4"/>
          </w:tcPr>
          <w:p>
            <w:pPr>
              <w:jc w:val="right"/>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41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61">
              <w:r>
                <w:rPr>
                  <w:rFonts w:ascii="Times New Roman" w:cs="Times New Roman" w:eastAsia="Times New Roman" w:hAnsi="Times New Roman"/>
                  <w:sz w:val="18"/>
                  <w:szCs w:val="18"/>
                  <w:color w:val="0000EE"/>
                  <w:w w:val="97"/>
                </w:rPr>
                <w:t>Item 3.</w:t>
              </w:r>
            </w:hyperlink>
          </w:p>
        </w:tc>
        <w:tc>
          <w:tcPr>
            <w:tcW w:w="640" w:type="dxa"/>
            <w:vAlign w:val="bottom"/>
            <w:gridSpan w:val="3"/>
          </w:tcPr>
          <w:p>
            <w:pPr>
              <w:spacing w:after="0"/>
              <w:rPr>
                <w:sz w:val="21"/>
                <w:szCs w:val="21"/>
                <w:color w:val="auto"/>
              </w:rPr>
            </w:pPr>
          </w:p>
        </w:tc>
        <w:tc>
          <w:tcPr>
            <w:tcW w:w="4340" w:type="dxa"/>
            <w:vAlign w:val="bottom"/>
            <w:gridSpan w:val="11"/>
          </w:tcPr>
          <w:p>
            <w:pPr>
              <w:spacing w:after="0"/>
              <w:rPr>
                <w:rFonts w:ascii="Times New Roman" w:cs="Times New Roman" w:eastAsia="Times New Roman" w:hAnsi="Times New Roman"/>
                <w:sz w:val="18"/>
                <w:szCs w:val="18"/>
                <w:color w:val="0000EE"/>
                <w:w w:val="98"/>
              </w:rPr>
            </w:pPr>
            <w:hyperlink w:anchor="page61">
              <w:r>
                <w:rPr>
                  <w:rFonts w:ascii="Times New Roman" w:cs="Times New Roman" w:eastAsia="Times New Roman" w:hAnsi="Times New Roman"/>
                  <w:sz w:val="18"/>
                  <w:szCs w:val="18"/>
                  <w:color w:val="0000EE"/>
                  <w:w w:val="98"/>
                </w:rPr>
                <w:t>Quantitative and Qualitative Disclosures About Market Risk</w:t>
              </w:r>
            </w:hyperlink>
          </w:p>
        </w:tc>
        <w:tc>
          <w:tcPr>
            <w:tcW w:w="2080" w:type="dxa"/>
            <w:vAlign w:val="bottom"/>
            <w:gridSpan w:val="2"/>
          </w:tcPr>
          <w:p>
            <w:pPr>
              <w:spacing w:after="0"/>
              <w:rPr>
                <w:sz w:val="21"/>
                <w:szCs w:val="21"/>
                <w:color w:val="auto"/>
              </w:rPr>
            </w:pPr>
          </w:p>
        </w:tc>
        <w:tc>
          <w:tcPr>
            <w:tcW w:w="3120" w:type="dxa"/>
            <w:vAlign w:val="bottom"/>
            <w:gridSpan w:val="5"/>
          </w:tcPr>
          <w:p>
            <w:pPr>
              <w:spacing w:after="0"/>
              <w:rPr>
                <w:sz w:val="21"/>
                <w:szCs w:val="21"/>
                <w:color w:val="auto"/>
              </w:rPr>
            </w:pPr>
          </w:p>
        </w:tc>
        <w:tc>
          <w:tcPr>
            <w:tcW w:w="660" w:type="dxa"/>
            <w:vAlign w:val="bottom"/>
            <w:gridSpan w:val="4"/>
          </w:tcPr>
          <w:p>
            <w:pPr>
              <w:jc w:val="right"/>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58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200" w:type="dxa"/>
            <w:vAlign w:val="bottom"/>
            <w:tcBorders>
              <w:left w:val="single" w:sz="8" w:color="0000EE"/>
            </w:tcBorders>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61">
              <w:r>
                <w:rPr>
                  <w:rFonts w:ascii="Times New Roman" w:cs="Times New Roman" w:eastAsia="Times New Roman" w:hAnsi="Times New Roman"/>
                  <w:sz w:val="18"/>
                  <w:szCs w:val="18"/>
                  <w:color w:val="0000EE"/>
                  <w:w w:val="97"/>
                </w:rPr>
                <w:t>Item 4.</w:t>
              </w:r>
            </w:hyperlink>
          </w:p>
        </w:tc>
        <w:tc>
          <w:tcPr>
            <w:tcW w:w="640" w:type="dxa"/>
            <w:vAlign w:val="bottom"/>
            <w:gridSpan w:val="3"/>
          </w:tcPr>
          <w:p>
            <w:pPr>
              <w:spacing w:after="0"/>
              <w:rPr>
                <w:sz w:val="21"/>
                <w:szCs w:val="21"/>
                <w:color w:val="auto"/>
              </w:rPr>
            </w:pPr>
          </w:p>
        </w:tc>
        <w:tc>
          <w:tcPr>
            <w:tcW w:w="4340" w:type="dxa"/>
            <w:vAlign w:val="bottom"/>
            <w:gridSpan w:val="11"/>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Controls and Procedures</w:t>
              </w:r>
            </w:hyperlink>
          </w:p>
        </w:tc>
        <w:tc>
          <w:tcPr>
            <w:tcW w:w="5200" w:type="dxa"/>
            <w:vAlign w:val="bottom"/>
            <w:gridSpan w:val="7"/>
          </w:tcPr>
          <w:p>
            <w:pPr>
              <w:spacing w:after="0"/>
              <w:rPr>
                <w:sz w:val="21"/>
                <w:szCs w:val="21"/>
                <w:color w:val="auto"/>
              </w:rPr>
            </w:pPr>
          </w:p>
        </w:tc>
        <w:tc>
          <w:tcPr>
            <w:tcW w:w="660" w:type="dxa"/>
            <w:vAlign w:val="bottom"/>
            <w:gridSpan w:val="4"/>
          </w:tcPr>
          <w:p>
            <w:pPr>
              <w:jc w:val="right"/>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58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Times New Roman" w:cs="Times New Roman" w:eastAsia="Times New Roman" w:hAnsi="Times New Roman"/>
                <w:sz w:val="18"/>
                <w:szCs w:val="18"/>
                <w:b w:val="1"/>
                <w:bCs w:val="1"/>
                <w:color w:val="0000EE"/>
                <w:w w:val="88"/>
              </w:rPr>
            </w:pPr>
            <w:hyperlink w:anchor="page63">
              <w:r>
                <w:rPr>
                  <w:rFonts w:ascii="Times New Roman" w:cs="Times New Roman" w:eastAsia="Times New Roman" w:hAnsi="Times New Roman"/>
                  <w:sz w:val="18"/>
                  <w:szCs w:val="18"/>
                  <w:b w:val="1"/>
                  <w:bCs w:val="1"/>
                  <w:color w:val="0000EE"/>
                  <w:w w:val="88"/>
                </w:rPr>
                <w:t>PART II</w:t>
              </w:r>
            </w:hyperlink>
          </w:p>
        </w:tc>
        <w:tc>
          <w:tcPr>
            <w:tcW w:w="520" w:type="dxa"/>
            <w:vAlign w:val="bottom"/>
          </w:tcPr>
          <w:p>
            <w:pPr>
              <w:spacing w:after="0"/>
              <w:rPr>
                <w:sz w:val="21"/>
                <w:szCs w:val="21"/>
                <w:color w:val="auto"/>
              </w:rPr>
            </w:pPr>
          </w:p>
        </w:tc>
        <w:tc>
          <w:tcPr>
            <w:tcW w:w="1300" w:type="dxa"/>
            <w:vAlign w:val="bottom"/>
            <w:gridSpan w:val="4"/>
          </w:tcPr>
          <w:p>
            <w:pPr>
              <w:spacing w:after="0"/>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Other Information</w:t>
              </w:r>
            </w:hyperlink>
          </w:p>
        </w:tc>
        <w:tc>
          <w:tcPr>
            <w:tcW w:w="8240" w:type="dxa"/>
            <w:vAlign w:val="bottom"/>
            <w:gridSpan w:val="14"/>
          </w:tcPr>
          <w:p>
            <w:pPr>
              <w:spacing w:after="0"/>
              <w:rPr>
                <w:sz w:val="21"/>
                <w:szCs w:val="21"/>
                <w:color w:val="auto"/>
              </w:rPr>
            </w:pPr>
          </w:p>
        </w:tc>
        <w:tc>
          <w:tcPr>
            <w:tcW w:w="660" w:type="dxa"/>
            <w:vAlign w:val="bottom"/>
            <w:gridSpan w:val="4"/>
          </w:tcPr>
          <w:p>
            <w:pPr>
              <w:jc w:val="right"/>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Item 1.</w:t>
              </w:r>
            </w:hyperlink>
          </w:p>
        </w:tc>
        <w:tc>
          <w:tcPr>
            <w:tcW w:w="12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5"/>
          </w:tcPr>
          <w:p>
            <w:pPr>
              <w:spacing w:after="0"/>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Legal Proceedings</w:t>
              </w:r>
            </w:hyperlink>
          </w:p>
        </w:tc>
        <w:tc>
          <w:tcPr>
            <w:tcW w:w="8220" w:type="dxa"/>
            <w:vAlign w:val="bottom"/>
            <w:gridSpan w:val="13"/>
          </w:tcPr>
          <w:p>
            <w:pPr>
              <w:spacing w:after="0"/>
              <w:rPr>
                <w:sz w:val="21"/>
                <w:szCs w:val="21"/>
                <w:color w:val="auto"/>
              </w:rPr>
            </w:pPr>
          </w:p>
        </w:tc>
        <w:tc>
          <w:tcPr>
            <w:tcW w:w="660" w:type="dxa"/>
            <w:vAlign w:val="bottom"/>
            <w:gridSpan w:val="4"/>
          </w:tcPr>
          <w:p>
            <w:pPr>
              <w:jc w:val="right"/>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Times New Roman" w:cs="Times New Roman" w:eastAsia="Times New Roman" w:hAnsi="Times New Roman"/>
                <w:sz w:val="18"/>
                <w:szCs w:val="18"/>
                <w:color w:val="0000EE"/>
                <w:w w:val="93"/>
              </w:rPr>
            </w:pPr>
            <w:hyperlink w:anchor="page63">
              <w:r>
                <w:rPr>
                  <w:rFonts w:ascii="Times New Roman" w:cs="Times New Roman" w:eastAsia="Times New Roman" w:hAnsi="Times New Roman"/>
                  <w:sz w:val="18"/>
                  <w:szCs w:val="18"/>
                  <w:color w:val="0000EE"/>
                  <w:w w:val="93"/>
                </w:rPr>
                <w:t>Item 1A.</w:t>
              </w:r>
            </w:hyperlink>
          </w:p>
        </w:tc>
        <w:tc>
          <w:tcPr>
            <w:tcW w:w="520" w:type="dxa"/>
            <w:vAlign w:val="bottom"/>
          </w:tcPr>
          <w:p>
            <w:pPr>
              <w:spacing w:after="0"/>
              <w:rPr>
                <w:sz w:val="21"/>
                <w:szCs w:val="21"/>
                <w:color w:val="auto"/>
              </w:rPr>
            </w:pPr>
          </w:p>
        </w:tc>
        <w:tc>
          <w:tcPr>
            <w:tcW w:w="9540" w:type="dxa"/>
            <w:vAlign w:val="bottom"/>
            <w:gridSpan w:val="18"/>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Risk Factors</w:t>
              </w:r>
            </w:hyperlink>
          </w:p>
        </w:tc>
        <w:tc>
          <w:tcPr>
            <w:tcW w:w="660" w:type="dxa"/>
            <w:vAlign w:val="bottom"/>
            <w:gridSpan w:val="4"/>
          </w:tcPr>
          <w:p>
            <w:pPr>
              <w:jc w:val="right"/>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Item 2.</w:t>
              </w:r>
            </w:hyperlink>
          </w:p>
        </w:tc>
        <w:tc>
          <w:tcPr>
            <w:tcW w:w="12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4340" w:type="dxa"/>
            <w:vAlign w:val="bottom"/>
            <w:gridSpan w:val="11"/>
          </w:tcPr>
          <w:p>
            <w:pPr>
              <w:spacing w:after="0"/>
              <w:rPr>
                <w:rFonts w:ascii="Times New Roman" w:cs="Times New Roman" w:eastAsia="Times New Roman" w:hAnsi="Times New Roman"/>
                <w:sz w:val="18"/>
                <w:szCs w:val="18"/>
                <w:color w:val="0000EE"/>
                <w:w w:val="98"/>
              </w:rPr>
            </w:pPr>
            <w:hyperlink w:anchor="page64">
              <w:r>
                <w:rPr>
                  <w:rFonts w:ascii="Times New Roman" w:cs="Times New Roman" w:eastAsia="Times New Roman" w:hAnsi="Times New Roman"/>
                  <w:sz w:val="18"/>
                  <w:szCs w:val="18"/>
                  <w:color w:val="0000EE"/>
                  <w:w w:val="98"/>
                </w:rPr>
                <w:t>Unregistered Sales of Equity Securities and Use of Proceeds</w:t>
              </w:r>
            </w:hyperlink>
          </w:p>
        </w:tc>
        <w:tc>
          <w:tcPr>
            <w:tcW w:w="5200" w:type="dxa"/>
            <w:vAlign w:val="bottom"/>
            <w:gridSpan w:val="7"/>
          </w:tcPr>
          <w:p>
            <w:pPr>
              <w:spacing w:after="0"/>
              <w:rPr>
                <w:sz w:val="21"/>
                <w:szCs w:val="21"/>
                <w:color w:val="auto"/>
              </w:rPr>
            </w:pPr>
          </w:p>
        </w:tc>
        <w:tc>
          <w:tcPr>
            <w:tcW w:w="660" w:type="dxa"/>
            <w:vAlign w:val="bottom"/>
            <w:gridSpan w:val="4"/>
          </w:tcPr>
          <w:p>
            <w:pPr>
              <w:jc w:val="right"/>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Item 3.</w:t>
              </w:r>
            </w:hyperlink>
          </w:p>
        </w:tc>
        <w:tc>
          <w:tcPr>
            <w:tcW w:w="640" w:type="dxa"/>
            <w:vAlign w:val="bottom"/>
            <w:gridSpan w:val="3"/>
          </w:tcPr>
          <w:p>
            <w:pPr>
              <w:spacing w:after="0"/>
              <w:rPr>
                <w:sz w:val="21"/>
                <w:szCs w:val="21"/>
                <w:color w:val="auto"/>
              </w:rPr>
            </w:pPr>
          </w:p>
        </w:tc>
        <w:tc>
          <w:tcPr>
            <w:tcW w:w="4340" w:type="dxa"/>
            <w:vAlign w:val="bottom"/>
            <w:gridSpan w:val="11"/>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Defaults Upon Senior Securities</w:t>
              </w:r>
            </w:hyperlink>
          </w:p>
        </w:tc>
        <w:tc>
          <w:tcPr>
            <w:tcW w:w="5200" w:type="dxa"/>
            <w:vAlign w:val="bottom"/>
            <w:gridSpan w:val="7"/>
          </w:tcPr>
          <w:p>
            <w:pPr>
              <w:spacing w:after="0"/>
              <w:rPr>
                <w:sz w:val="21"/>
                <w:szCs w:val="21"/>
                <w:color w:val="auto"/>
              </w:rPr>
            </w:pPr>
          </w:p>
        </w:tc>
        <w:tc>
          <w:tcPr>
            <w:tcW w:w="660" w:type="dxa"/>
            <w:vAlign w:val="bottom"/>
            <w:gridSpan w:val="4"/>
          </w:tcPr>
          <w:p>
            <w:pPr>
              <w:jc w:val="right"/>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Item 4.</w:t>
              </w:r>
            </w:hyperlink>
          </w:p>
        </w:tc>
        <w:tc>
          <w:tcPr>
            <w:tcW w:w="640" w:type="dxa"/>
            <w:vAlign w:val="bottom"/>
            <w:gridSpan w:val="3"/>
          </w:tcPr>
          <w:p>
            <w:pPr>
              <w:spacing w:after="0"/>
              <w:rPr>
                <w:sz w:val="21"/>
                <w:szCs w:val="21"/>
                <w:color w:val="auto"/>
              </w:rPr>
            </w:pPr>
          </w:p>
        </w:tc>
        <w:tc>
          <w:tcPr>
            <w:tcW w:w="1760" w:type="dxa"/>
            <w:vAlign w:val="bottom"/>
            <w:gridSpan w:val="7"/>
          </w:tcPr>
          <w:p>
            <w:pPr>
              <w:spacing w:after="0"/>
              <w:rPr>
                <w:rFonts w:ascii="Times New Roman" w:cs="Times New Roman" w:eastAsia="Times New Roman" w:hAnsi="Times New Roman"/>
                <w:sz w:val="18"/>
                <w:szCs w:val="18"/>
                <w:color w:val="0000EE"/>
                <w:w w:val="98"/>
              </w:rPr>
            </w:pPr>
            <w:hyperlink w:anchor="page64">
              <w:r>
                <w:rPr>
                  <w:rFonts w:ascii="Times New Roman" w:cs="Times New Roman" w:eastAsia="Times New Roman" w:hAnsi="Times New Roman"/>
                  <w:sz w:val="18"/>
                  <w:szCs w:val="18"/>
                  <w:color w:val="0000EE"/>
                  <w:w w:val="98"/>
                </w:rPr>
                <w:t>Mine Safety Disclosures</w:t>
              </w:r>
            </w:hyperlink>
          </w:p>
        </w:tc>
        <w:tc>
          <w:tcPr>
            <w:tcW w:w="540" w:type="dxa"/>
            <w:vAlign w:val="bottom"/>
          </w:tcPr>
          <w:p>
            <w:pPr>
              <w:spacing w:after="0"/>
              <w:rPr>
                <w:sz w:val="21"/>
                <w:szCs w:val="21"/>
                <w:color w:val="auto"/>
              </w:rPr>
            </w:pPr>
          </w:p>
        </w:tc>
        <w:tc>
          <w:tcPr>
            <w:tcW w:w="7240" w:type="dxa"/>
            <w:vAlign w:val="bottom"/>
            <w:gridSpan w:val="10"/>
          </w:tcPr>
          <w:p>
            <w:pPr>
              <w:spacing w:after="0"/>
              <w:rPr>
                <w:sz w:val="21"/>
                <w:szCs w:val="21"/>
                <w:color w:val="auto"/>
              </w:rPr>
            </w:pPr>
          </w:p>
        </w:tc>
        <w:tc>
          <w:tcPr>
            <w:tcW w:w="660" w:type="dxa"/>
            <w:vAlign w:val="bottom"/>
            <w:gridSpan w:val="4"/>
          </w:tcPr>
          <w:p>
            <w:pPr>
              <w:jc w:val="right"/>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Item 5.</w:t>
              </w:r>
            </w:hyperlink>
          </w:p>
        </w:tc>
        <w:tc>
          <w:tcPr>
            <w:tcW w:w="640" w:type="dxa"/>
            <w:vAlign w:val="bottom"/>
            <w:gridSpan w:val="3"/>
          </w:tcPr>
          <w:p>
            <w:pPr>
              <w:spacing w:after="0"/>
              <w:rPr>
                <w:sz w:val="21"/>
                <w:szCs w:val="21"/>
                <w:color w:val="auto"/>
              </w:rPr>
            </w:pPr>
          </w:p>
        </w:tc>
        <w:tc>
          <w:tcPr>
            <w:tcW w:w="1300" w:type="dxa"/>
            <w:vAlign w:val="bottom"/>
            <w:gridSpan w:val="4"/>
          </w:tcPr>
          <w:p>
            <w:pPr>
              <w:spacing w:after="0"/>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Other Information</w:t>
              </w:r>
            </w:hyperlink>
          </w:p>
        </w:tc>
        <w:tc>
          <w:tcPr>
            <w:tcW w:w="460" w:type="dxa"/>
            <w:vAlign w:val="bottom"/>
            <w:gridSpan w:val="3"/>
          </w:tcPr>
          <w:p>
            <w:pPr>
              <w:spacing w:after="0"/>
              <w:rPr>
                <w:sz w:val="21"/>
                <w:szCs w:val="21"/>
                <w:color w:val="auto"/>
              </w:rPr>
            </w:pPr>
          </w:p>
        </w:tc>
        <w:tc>
          <w:tcPr>
            <w:tcW w:w="7780" w:type="dxa"/>
            <w:vAlign w:val="bottom"/>
            <w:gridSpan w:val="11"/>
          </w:tcPr>
          <w:p>
            <w:pPr>
              <w:spacing w:after="0"/>
              <w:rPr>
                <w:sz w:val="21"/>
                <w:szCs w:val="21"/>
                <w:color w:val="auto"/>
              </w:rPr>
            </w:pPr>
          </w:p>
        </w:tc>
        <w:tc>
          <w:tcPr>
            <w:tcW w:w="660" w:type="dxa"/>
            <w:vAlign w:val="bottom"/>
            <w:gridSpan w:val="4"/>
          </w:tcPr>
          <w:p>
            <w:pPr>
              <w:jc w:val="right"/>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4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65">
              <w:r>
                <w:rPr>
                  <w:rFonts w:ascii="Times New Roman" w:cs="Times New Roman" w:eastAsia="Times New Roman" w:hAnsi="Times New Roman"/>
                  <w:sz w:val="18"/>
                  <w:szCs w:val="18"/>
                  <w:color w:val="0000EE"/>
                  <w:w w:val="97"/>
                </w:rPr>
                <w:t>Item 6.</w:t>
              </w:r>
            </w:hyperlink>
          </w:p>
        </w:tc>
        <w:tc>
          <w:tcPr>
            <w:tcW w:w="640" w:type="dxa"/>
            <w:vAlign w:val="bottom"/>
            <w:gridSpan w:val="3"/>
          </w:tcPr>
          <w:p>
            <w:pPr>
              <w:spacing w:after="0"/>
              <w:rPr>
                <w:sz w:val="21"/>
                <w:szCs w:val="21"/>
                <w:color w:val="auto"/>
              </w:rPr>
            </w:pPr>
          </w:p>
        </w:tc>
        <w:tc>
          <w:tcPr>
            <w:tcW w:w="1300" w:type="dxa"/>
            <w:vAlign w:val="bottom"/>
            <w:gridSpan w:val="4"/>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Exhibits</w:t>
              </w:r>
            </w:hyperlink>
          </w:p>
        </w:tc>
        <w:tc>
          <w:tcPr>
            <w:tcW w:w="8240" w:type="dxa"/>
            <w:vAlign w:val="bottom"/>
            <w:gridSpan w:val="14"/>
          </w:tcPr>
          <w:p>
            <w:pPr>
              <w:spacing w:after="0"/>
              <w:rPr>
                <w:sz w:val="21"/>
                <w:szCs w:val="21"/>
                <w:color w:val="auto"/>
              </w:rPr>
            </w:pPr>
          </w:p>
        </w:tc>
        <w:tc>
          <w:tcPr>
            <w:tcW w:w="660" w:type="dxa"/>
            <w:vAlign w:val="bottom"/>
            <w:gridSpan w:val="4"/>
          </w:tcPr>
          <w:p>
            <w:pPr>
              <w:jc w:val="right"/>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62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96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EE"/>
                <w:w w:val="95"/>
              </w:rPr>
              <w:t>SIGNATURES</w:t>
            </w:r>
          </w:p>
        </w:tc>
        <w:tc>
          <w:tcPr>
            <w:tcW w:w="9540" w:type="dxa"/>
            <w:vAlign w:val="bottom"/>
            <w:gridSpan w:val="18"/>
          </w:tcPr>
          <w:p>
            <w:pPr>
              <w:spacing w:after="0"/>
              <w:rPr>
                <w:sz w:val="21"/>
                <w:szCs w:val="21"/>
                <w:color w:val="auto"/>
              </w:rPr>
            </w:pPr>
          </w:p>
        </w:tc>
        <w:tc>
          <w:tcPr>
            <w:tcW w:w="660" w:type="dxa"/>
            <w:vAlign w:val="bottom"/>
            <w:gridSpan w:val="4"/>
          </w:tcPr>
          <w:p>
            <w:pPr>
              <w:jc w:val="right"/>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63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CONSOLIDATED FINANCIAL INFORMATION</w:t>
      </w:r>
    </w:p>
    <w:p>
      <w:pPr>
        <w:spacing w:after="0" w:line="2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June 30, 2017</w:t>
            </w:r>
          </w:p>
        </w:tc>
        <w:tc>
          <w:tcPr>
            <w:tcW w:w="180" w:type="dxa"/>
            <w:vAlign w:val="bottom"/>
          </w:tcPr>
          <w:p>
            <w:pPr>
              <w:spacing w:after="0"/>
              <w:rPr>
                <w:sz w:val="12"/>
                <w:szCs w:val="12"/>
                <w:color w:val="auto"/>
              </w:rPr>
            </w:pPr>
          </w:p>
        </w:tc>
        <w:tc>
          <w:tcPr>
            <w:tcW w:w="1180" w:type="dxa"/>
            <w:vAlign w:val="bottom"/>
          </w:tcPr>
          <w:p>
            <w:pPr>
              <w:jc w:val="right"/>
              <w:ind w:right="191"/>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18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8580" w:type="dxa"/>
            <w:vAlign w:val="bottom"/>
            <w:tcBorders>
              <w:top w:val="single" w:sz="8" w:color="CCEEFF"/>
              <w:bottom w:val="single" w:sz="8" w:color="CCEEFF"/>
            </w:tcBorders>
            <w:shd w:val="clear" w:color="auto" w:fill="CCEEFF"/>
          </w:tcPr>
          <w:p>
            <w:pPr>
              <w:ind w:left="39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at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1,710,915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1,740,893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(353,619)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1,342,982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1,387,274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available and held for sale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68,045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237,531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1,411,027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1,624,805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 and development, net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855,497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945,565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Loans receivable and other lending investments,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1,170,565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1,450,439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276,821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214,406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954,279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328,744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interest and operating lease income receivable, net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11,254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operating lease income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88,944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88,189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expenses and other assets, net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147,121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162,112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4,914,755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4,825,514</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1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230,259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211,570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 participations payable,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107,442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159,321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obligations, net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3,368,113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3,389,908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3,705,814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3,760,799</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(refer to Note 11)</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Redeemable noncontrolling interests (refer to Note 5)</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5,031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iStar Inc.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Stock Series D, E, F, G and I, liquidation preference $25.00 per share (refer to Note 13)</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Preferred Stock Series J, liquidation preference $50.00 per share (refer to Note 13)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$0.001 par value, 200,000 shares authorized, 72,190 and 72,042 shares issued and outstanding as of</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30, 2017 and December 31, 2016, respectively</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3,603,981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3,602,172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Retained earnings (deficit)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(2,431,123)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(2,581,488)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income (loss) (refer to Note 13)</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iStar Inc. shareholders' equity</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1,169,278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1,016,564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36,078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43,120</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1,205,356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1,059,684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4,914,755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4,825,514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420"/>
          </w:cols>
          <w:pgMar w:left="240" w:top="118"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00" w:type="dxa"/>
            <w:vAlign w:val="bottom"/>
          </w:tcPr>
          <w:p>
            <w:pPr>
              <w:spacing w:after="0"/>
              <w:rPr>
                <w:sz w:val="16"/>
                <w:szCs w:val="16"/>
                <w:color w:val="auto"/>
              </w:rPr>
            </w:pPr>
          </w:p>
        </w:tc>
        <w:tc>
          <w:tcPr>
            <w:tcW w:w="224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64"/>
        </w:trPr>
        <w:tc>
          <w:tcPr>
            <w:tcW w:w="65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9"/>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5"/>
        </w:trPr>
        <w:tc>
          <w:tcPr>
            <w:tcW w:w="6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income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47,002</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49,975</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94,349</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100,470</w:t>
            </w:r>
          </w:p>
        </w:tc>
      </w:tr>
      <w:tr>
        <w:trPr>
          <w:trHeight w:val="275"/>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28,645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34,400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57,703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67,620</w:t>
            </w:r>
          </w:p>
        </w:tc>
      </w:tr>
      <w:tr>
        <w:trPr>
          <w:trHeight w:val="265"/>
        </w:trPr>
        <w:tc>
          <w:tcPr>
            <w:tcW w:w="6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income</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139,510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10,096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151,374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21,636</w:t>
            </w:r>
          </w:p>
        </w:tc>
      </w:tr>
      <w:tr>
        <w:trPr>
          <w:trHeight w:val="27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Land development revenue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132,710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27,888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152,760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42,835</w:t>
            </w:r>
          </w:p>
        </w:tc>
      </w:tr>
      <w:tr>
        <w:trPr>
          <w:trHeight w:val="250"/>
        </w:trPr>
        <w:tc>
          <w:tcPr>
            <w:tcW w:w="65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347,867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122,359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456,186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232,561</w:t>
            </w:r>
          </w:p>
        </w:tc>
      </w:tr>
      <w:tr>
        <w:trPr>
          <w:trHeight w:val="269"/>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5"/>
        </w:trPr>
        <w:tc>
          <w:tcPr>
            <w:tcW w:w="6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48,807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56,047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99,952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113,068</w:t>
            </w:r>
          </w:p>
        </w:tc>
      </w:tr>
      <w:tr>
        <w:trPr>
          <w:trHeight w:val="275"/>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Real estate expense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34,684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35,328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70,274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69,572</w:t>
            </w:r>
          </w:p>
        </w:tc>
      </w:tr>
      <w:tr>
        <w:trPr>
          <w:trHeight w:val="265"/>
        </w:trPr>
        <w:tc>
          <w:tcPr>
            <w:tcW w:w="6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Land development cost of sales</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122,466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17,262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138,376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28,838</w:t>
            </w:r>
          </w:p>
        </w:tc>
      </w:tr>
      <w:tr>
        <w:trPr>
          <w:trHeight w:val="275"/>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13,171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13,673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25,451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27,581</w:t>
            </w:r>
          </w:p>
        </w:tc>
      </w:tr>
      <w:tr>
        <w:trPr>
          <w:trHeight w:val="265"/>
        </w:trPr>
        <w:tc>
          <w:tcPr>
            <w:tcW w:w="6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27,218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19,665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52,392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42,768</w:t>
            </w:r>
          </w:p>
        </w:tc>
      </w:tr>
      <w:tr>
        <w:trPr>
          <w:trHeight w:val="275"/>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(Recovery of) provision for loan losses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2,206</w:t>
            </w:r>
          </w:p>
        </w:tc>
      </w:tr>
      <w:tr>
        <w:trPr>
          <w:trHeight w:val="265"/>
        </w:trPr>
        <w:tc>
          <w:tcPr>
            <w:tcW w:w="6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 of assets</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10,284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3,012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14,696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3,012</w:t>
            </w:r>
          </w:p>
        </w:tc>
      </w:tr>
      <w:tr>
        <w:trPr>
          <w:trHeight w:val="27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expense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16,276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3,182</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18,145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3,922</w:t>
            </w:r>
          </w:p>
        </w:tc>
      </w:tr>
      <w:tr>
        <w:trPr>
          <w:trHeight w:val="250"/>
        </w:trPr>
        <w:tc>
          <w:tcPr>
            <w:tcW w:w="65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costs and expenses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272,306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148,869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413,758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290,967</w:t>
            </w:r>
          </w:p>
        </w:tc>
      </w:tr>
      <w:tr>
        <w:trPr>
          <w:trHeight w:val="255"/>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(loss) before earnings from equity method investments and other items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75,561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(26,510)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42,428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(58,406)</w:t>
            </w:r>
          </w:p>
        </w:tc>
      </w:tr>
      <w:tr>
        <w:trPr>
          <w:trHeight w:val="265"/>
        </w:trPr>
        <w:tc>
          <w:tcPr>
            <w:tcW w:w="6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early extinguishment of debt, net</w:t>
            </w: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(3,315)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(1,457)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w:t>
            </w:r>
          </w:p>
        </w:tc>
      </w:tr>
      <w:tr>
        <w:trPr>
          <w:trHeight w:val="27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Earnings from equity method investments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5,515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39,447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11,217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47,714</w:t>
            </w:r>
          </w:p>
        </w:tc>
      </w:tr>
      <w:tr>
        <w:trPr>
          <w:trHeight w:val="250"/>
        </w:trPr>
        <w:tc>
          <w:tcPr>
            <w:tcW w:w="6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(loss) from continuing operations before income taxes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77,761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11,480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50,120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(12,274)</w:t>
            </w:r>
          </w:p>
        </w:tc>
      </w:tr>
      <w:tr>
        <w:trPr>
          <w:trHeight w:val="27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(1,644)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1,190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1,604</w:t>
            </w:r>
          </w:p>
        </w:tc>
      </w:tr>
      <w:tr>
        <w:trPr>
          <w:trHeight w:val="250"/>
        </w:trPr>
        <w:tc>
          <w:tcPr>
            <w:tcW w:w="6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(loss) from continuing operations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76,117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12,670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47,869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(10,670)</w:t>
            </w:r>
          </w:p>
        </w:tc>
      </w:tr>
      <w:tr>
        <w:trPr>
          <w:trHeight w:val="275"/>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from discontinued operations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3,633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4,939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7,214</w:t>
            </w:r>
          </w:p>
        </w:tc>
      </w:tr>
      <w:tr>
        <w:trPr>
          <w:trHeight w:val="265"/>
        </w:trPr>
        <w:tc>
          <w:tcPr>
            <w:tcW w:w="6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from discontinued operations</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123,418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123,418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 from discontinued operations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(4,545)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6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Income from sales of real estate</w:t>
            </w:r>
            <w:r>
              <w:rPr>
                <w:rFonts w:ascii="Times New Roman" w:cs="Times New Roman" w:eastAsia="Times New Roman" w:hAnsi="Times New Roman"/>
                <w:sz w:val="8"/>
                <w:szCs w:val="8"/>
                <w:color w:val="auto"/>
              </w:rPr>
              <w:t>(1)</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844</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43,484</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8,954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53,943</w:t>
            </w:r>
          </w:p>
        </w:tc>
      </w:tr>
      <w:tr>
        <w:trPr>
          <w:trHeight w:val="255"/>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196,007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59,787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180,635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50,487</w:t>
            </w:r>
          </w:p>
        </w:tc>
      </w:tr>
      <w:tr>
        <w:trPr>
          <w:trHeight w:val="265"/>
        </w:trPr>
        <w:tc>
          <w:tcPr>
            <w:tcW w:w="6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interests</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(5,710)</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(8,825)</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(7,883)</w:t>
            </w:r>
          </w:p>
        </w:tc>
      </w:tr>
      <w:tr>
        <w:trPr>
          <w:trHeight w:val="255"/>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attributable to iStar Inc.</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190,297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50,962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176,025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42,604</w:t>
            </w:r>
          </w:p>
        </w:tc>
      </w:tr>
      <w:tr>
        <w:trPr>
          <w:trHeight w:val="265"/>
        </w:trPr>
        <w:tc>
          <w:tcPr>
            <w:tcW w:w="6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Preferred dividends</w:t>
            </w: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(12,830)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(12,830)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(25,660)</w:t>
            </w:r>
          </w:p>
        </w:tc>
      </w:tr>
      <w:tr>
        <w:trPr>
          <w:trHeight w:val="27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loss allocable to Participating Security holders</w:t>
            </w:r>
            <w:r>
              <w:rPr>
                <w:rFonts w:ascii="Times New Roman" w:cs="Times New Roman" w:eastAsia="Times New Roman" w:hAnsi="Times New Roman"/>
                <w:sz w:val="8"/>
                <w:szCs w:val="8"/>
                <w:color w:val="auto"/>
              </w:rPr>
              <w:t>(2)</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82"/>
        </w:trPr>
        <w:tc>
          <w:tcPr>
            <w:tcW w:w="6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income allocable to common shareholders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177,467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38,112</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150,365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16,933</w:t>
            </w:r>
          </w:p>
        </w:tc>
      </w:tr>
      <w:tr>
        <w:trPr>
          <w:trHeight w:val="251"/>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Per common share data:</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65"/>
        </w:trPr>
        <w:tc>
          <w:tcPr>
            <w:tcW w:w="6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attributable to iStar Inc. from continuing operations: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5"/>
        </w:trPr>
        <w:tc>
          <w:tcPr>
            <w:tcW w:w="6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0.81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0.47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0.13</w:t>
            </w:r>
          </w:p>
        </w:tc>
      </w:tr>
      <w:tr>
        <w:trPr>
          <w:trHeight w:val="265"/>
        </w:trPr>
        <w:tc>
          <w:tcPr>
            <w:tcW w:w="6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0.69</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0.34</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0.13</w:t>
            </w:r>
          </w:p>
        </w:tc>
      </w:tr>
      <w:tr>
        <w:trPr>
          <w:trHeight w:val="275"/>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attributable to iStar Inc.:</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5"/>
        </w:trPr>
        <w:tc>
          <w:tcPr>
            <w:tcW w:w="6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0.52</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0.22</w:t>
            </w:r>
          </w:p>
        </w:tc>
      </w:tr>
      <w:tr>
        <w:trPr>
          <w:trHeight w:val="275"/>
        </w:trPr>
        <w:tc>
          <w:tcPr>
            <w:tcW w:w="6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0.37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0.22</w:t>
            </w:r>
          </w:p>
        </w:tc>
      </w:tr>
      <w:tr>
        <w:trPr>
          <w:trHeight w:val="265"/>
        </w:trPr>
        <w:tc>
          <w:tcPr>
            <w:tcW w:w="6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Weighted average number of common shares: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5"/>
        </w:trPr>
        <w:tc>
          <w:tcPr>
            <w:tcW w:w="6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72,142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73,984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72,104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75,522</w:t>
            </w:r>
          </w:p>
        </w:tc>
      </w:tr>
      <w:tr>
        <w:trPr>
          <w:trHeight w:val="260"/>
        </w:trPr>
        <w:tc>
          <w:tcPr>
            <w:tcW w:w="6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88,195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118,510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88,156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75,872</w:t>
            </w:r>
          </w:p>
        </w:tc>
      </w:tr>
    </w:tbl>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4"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from sales of real estate represents gains from sales of real estate that do not qualify as discontinued operations.</w:t>
      </w:r>
    </w:p>
    <w:p>
      <w:pPr>
        <w:spacing w:after="0" w:line="1" w:lineRule="exact"/>
        <w:rPr>
          <w:rFonts w:ascii="Times New Roman" w:cs="Times New Roman" w:eastAsia="Times New Roman" w:hAnsi="Times New Roman"/>
          <w:sz w:val="14"/>
          <w:szCs w:val="14"/>
          <w:color w:val="auto"/>
        </w:rPr>
      </w:pPr>
    </w:p>
    <w:p>
      <w:pPr>
        <w:ind w:left="500" w:right="20" w:hanging="492"/>
        <w:spacing w:after="0" w:line="258" w:lineRule="auto"/>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Participating Security holders are non-employee directors who hold common stock equivalents ("CSEs") and restricted stock awards granted under the Company's Long Term Incentive Plans that are eligible to participate in dividends (refer to Note 14 and Note 15).</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420"/>
          </w:cols>
          <w:pgMar w:left="240" w:top="118" w:right="239" w:bottom="995"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8" w:right="239" w:bottom="995" w:gutter="0" w:footer="0" w:header="0"/>
          <w:type w:val="continuous"/>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5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20" w:type="dxa"/>
            <w:vAlign w:val="bottom"/>
          </w:tcPr>
          <w:p>
            <w:pPr>
              <w:spacing w:after="0"/>
              <w:rPr>
                <w:sz w:val="16"/>
                <w:szCs w:val="16"/>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196,007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59,787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180,635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50,487</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Reclassification of (gains)/losses on cash flow hedges into earnings upon realization</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gains/(losses) on available-for-sale securities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gains/(losses) on cash flow hedges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gains/(losses) on cumulative translation adjustment</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196,303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60,024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181,175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49,998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0" w:type="dxa"/>
            <w:vAlign w:val="bottom"/>
          </w:tcPr>
          <w:p>
            <w:pPr>
              <w:spacing w:after="0"/>
              <w:rPr>
                <w:sz w:val="1"/>
                <w:szCs w:val="1"/>
                <w:color w:val="auto"/>
              </w:rPr>
            </w:pPr>
          </w:p>
        </w:tc>
      </w:tr>
      <w:tr>
        <w:trPr>
          <w:trHeight w:val="257"/>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iStar Inc.</w:t>
            </w: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190,593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51,199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176,565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42,115</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5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500" w:hanging="492"/>
        <w:spacing w:after="0" w:line="250"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Reclassified to "Interest expense" in the Company's consolidated statements of operations are $30 and $60 for the three and six months ended June 30, 2017, respectively, and $23 and $183 for the three and six months ended June 30, 2016, respectively. Reclassified to "Earnings from equity method investments" in the Company's consolidated statements of operations are $70 and $164 for the three and six months ended June 30, 2017, respectively, and $95 and $192 for the three and six months ended June 30, 2016, respectively.</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5" w:name="page6"/>
    <w:bookmarkEnd w:id="5"/>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6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6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2017 and 2016</w:t>
      </w:r>
    </w:p>
    <w:p>
      <w:pPr>
        <w:spacing w:after="0" w:line="6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iStar Inc. Shareholders' Equity</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760" w:type="dxa"/>
            <w:vAlign w:val="bottom"/>
            <w:gridSpan w:val="3"/>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2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2"/>
                <w:szCs w:val="12"/>
                <w:color w:val="auto"/>
              </w:rPr>
            </w:pPr>
          </w:p>
        </w:tc>
        <w:tc>
          <w:tcPr>
            <w:tcW w:w="80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Stock at</w:t>
            </w: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20" w:type="dxa"/>
            <w:vAlign w:val="bottom"/>
            <w:tcBorders>
              <w:right w:val="single" w:sz="8" w:color="auto"/>
            </w:tcBorders>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380" w:type="dxa"/>
            <w:vAlign w:val="bottom"/>
          </w:tcPr>
          <w:p>
            <w:pPr>
              <w:spacing w:after="0"/>
              <w:rPr>
                <w:sz w:val="16"/>
                <w:szCs w:val="16"/>
                <w:color w:val="auto"/>
              </w:rPr>
            </w:pP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Stock</w:t>
            </w:r>
            <w:r>
              <w:rPr>
                <w:rFonts w:ascii="Times New Roman" w:cs="Times New Roman" w:eastAsia="Times New Roman" w:hAnsi="Times New Roman"/>
                <w:sz w:val="8"/>
                <w:szCs w:val="8"/>
                <w:b w:val="1"/>
                <w:bCs w:val="1"/>
                <w:color w:val="auto"/>
              </w:rPr>
              <w:t>(1)</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Series J</w:t>
            </w:r>
            <w:r>
              <w:rPr>
                <w:rFonts w:ascii="Times New Roman" w:cs="Times New Roman" w:eastAsia="Times New Roman" w:hAnsi="Times New Roman"/>
                <w:sz w:val="8"/>
                <w:szCs w:val="8"/>
                <w:b w:val="1"/>
                <w:bCs w:val="1"/>
                <w:color w:val="auto"/>
              </w:rPr>
              <w:t>(1)</w:t>
            </w:r>
          </w:p>
        </w:tc>
        <w:tc>
          <w:tcPr>
            <w:tcW w:w="160" w:type="dxa"/>
            <w:vAlign w:val="bottom"/>
          </w:tcPr>
          <w:p>
            <w:pPr>
              <w:spacing w:after="0"/>
              <w:rPr>
                <w:sz w:val="16"/>
                <w:szCs w:val="16"/>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Par</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6"/>
                <w:szCs w:val="16"/>
                <w:color w:val="auto"/>
              </w:rPr>
            </w:pPr>
          </w:p>
        </w:tc>
        <w:tc>
          <w:tcPr>
            <w:tcW w:w="9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6"/>
                <w:szCs w:val="16"/>
                <w:color w:val="auto"/>
              </w:rPr>
            </w:pPr>
          </w:p>
        </w:tc>
        <w:tc>
          <w:tcPr>
            <w:tcW w:w="80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5"/>
        </w:trPr>
        <w:tc>
          <w:tcPr>
            <w:tcW w:w="3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December 31, 2016</w:t>
            </w: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$3,602,172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(2,581,488)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43,120</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1,059,684</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declared—preferred</w:t>
            </w:r>
          </w:p>
        </w:tc>
        <w:tc>
          <w:tcPr>
            <w:tcW w:w="24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(25,660)</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stock/restricted stock unit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net</w:t>
            </w: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1,699</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1,699</w:t>
            </w:r>
          </w:p>
        </w:tc>
        <w:tc>
          <w:tcPr>
            <w:tcW w:w="0" w:type="dxa"/>
            <w:vAlign w:val="bottom"/>
          </w:tcPr>
          <w:p>
            <w:pPr>
              <w:spacing w:after="0"/>
              <w:rPr>
                <w:sz w:val="1"/>
                <w:szCs w:val="1"/>
                <w:color w:val="auto"/>
              </w:rPr>
            </w:pPr>
          </w:p>
        </w:tc>
      </w:tr>
      <w:tr>
        <w:trPr>
          <w:trHeight w:val="270"/>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for the period</w:t>
            </w:r>
            <w:r>
              <w:rPr>
                <w:rFonts w:ascii="Times New Roman" w:cs="Times New Roman" w:eastAsia="Times New Roman" w:hAnsi="Times New Roman"/>
                <w:sz w:val="21"/>
                <w:szCs w:val="21"/>
                <w:color w:val="auto"/>
                <w:vertAlign w:val="superscript"/>
              </w:rPr>
              <w:t>(2)</w:t>
            </w:r>
          </w:p>
        </w:tc>
        <w:tc>
          <w:tcPr>
            <w:tcW w:w="240" w:type="dxa"/>
            <w:vAlign w:val="bottom"/>
          </w:tcPr>
          <w:p>
            <w:pPr>
              <w:spacing w:after="0"/>
              <w:rPr>
                <w:sz w:val="23"/>
                <w:szCs w:val="23"/>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176,025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5,946</w:t>
            </w:r>
          </w:p>
        </w:tc>
        <w:tc>
          <w:tcPr>
            <w:tcW w:w="14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181,971</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 in accumulated other comprehensive</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w:t>
            </w: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16"/>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additional paid in capital attributable</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 redeemable noncontrolling interest</w:t>
            </w:r>
          </w:p>
        </w:tc>
        <w:tc>
          <w:tcPr>
            <w:tcW w:w="24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(12,988)</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(12,988)</w:t>
            </w:r>
          </w:p>
        </w:tc>
        <w:tc>
          <w:tcPr>
            <w:tcW w:w="0" w:type="dxa"/>
            <w:vAlign w:val="bottom"/>
          </w:tcPr>
          <w:p>
            <w:pPr>
              <w:spacing w:after="0"/>
              <w:rPr>
                <w:sz w:val="1"/>
                <w:szCs w:val="1"/>
                <w:color w:val="auto"/>
              </w:rPr>
            </w:pPr>
          </w:p>
        </w:tc>
      </w:tr>
      <w:tr>
        <w:trPr>
          <w:trHeight w:val="284"/>
        </w:trPr>
        <w:tc>
          <w:tcPr>
            <w:tcW w:w="3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Balance as of June 30, 2017</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$3,603,981</w:t>
            </w:r>
          </w:p>
        </w:tc>
        <w:tc>
          <w:tcPr>
            <w:tcW w:w="12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(2,431,123)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36,078</w:t>
            </w:r>
          </w:p>
        </w:tc>
        <w:tc>
          <w:tcPr>
            <w:tcW w:w="1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1,205,356</w:t>
            </w:r>
          </w:p>
        </w:tc>
        <w:tc>
          <w:tcPr>
            <w:tcW w:w="0" w:type="dxa"/>
            <w:vAlign w:val="bottom"/>
          </w:tcPr>
          <w:p>
            <w:pPr>
              <w:spacing w:after="0"/>
              <w:rPr>
                <w:sz w:val="1"/>
                <w:szCs w:val="1"/>
                <w:color w:val="auto"/>
              </w:rPr>
            </w:pPr>
          </w:p>
        </w:tc>
      </w:tr>
      <w:tr>
        <w:trPr>
          <w:trHeight w:val="163"/>
        </w:trPr>
        <w:tc>
          <w:tcPr>
            <w:tcW w:w="3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as of December 31, 2015</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$3,689,330</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(2,625,474)</w:t>
            </w: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(4,851)</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42,218</w:t>
            </w:r>
          </w:p>
        </w:tc>
        <w:tc>
          <w:tcPr>
            <w:tcW w:w="140" w:type="dxa"/>
            <w:vAlign w:val="bottom"/>
            <w:tcBorders>
              <w:right w:val="single" w:sz="8" w:color="auto"/>
            </w:tcBorders>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1,101,330</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Dividends declared—preferred</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(25,660)</w:t>
            </w:r>
          </w:p>
        </w:tc>
        <w:tc>
          <w:tcPr>
            <w:tcW w:w="0" w:type="dxa"/>
            <w:vAlign w:val="bottom"/>
          </w:tcPr>
          <w:p>
            <w:pPr>
              <w:spacing w:after="0"/>
              <w:rPr>
                <w:sz w:val="1"/>
                <w:szCs w:val="1"/>
                <w:color w:val="auto"/>
              </w:rPr>
            </w:pPr>
          </w:p>
        </w:tc>
      </w:tr>
      <w:tr>
        <w:trPr>
          <w:trHeight w:val="216"/>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stock/restricted stock unit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net</w:t>
            </w:r>
          </w:p>
        </w:tc>
        <w:tc>
          <w:tcPr>
            <w:tcW w:w="24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1,371</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1,371</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for the period</w:t>
            </w:r>
            <w:r>
              <w:rPr>
                <w:rFonts w:ascii="Times New Roman" w:cs="Times New Roman" w:eastAsia="Times New Roman" w:hAnsi="Times New Roman"/>
                <w:sz w:val="21"/>
                <w:szCs w:val="21"/>
                <w:color w:val="auto"/>
                <w:vertAlign w:val="superscript"/>
              </w:rPr>
              <w:t>(2)</w:t>
            </w:r>
          </w:p>
        </w:tc>
        <w:tc>
          <w:tcPr>
            <w:tcW w:w="24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42,604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10,520</w:t>
            </w:r>
          </w:p>
        </w:tc>
        <w:tc>
          <w:tcPr>
            <w:tcW w:w="140" w:type="dxa"/>
            <w:vAlign w:val="bottom"/>
            <w:tcBorders>
              <w:right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53,124</w:t>
            </w:r>
          </w:p>
        </w:tc>
        <w:tc>
          <w:tcPr>
            <w:tcW w:w="0" w:type="dxa"/>
            <w:vAlign w:val="bottom"/>
          </w:tcPr>
          <w:p>
            <w:pPr>
              <w:spacing w:after="0"/>
              <w:rPr>
                <w:sz w:val="1"/>
                <w:szCs w:val="1"/>
                <w:color w:val="auto"/>
              </w:rPr>
            </w:pPr>
          </w:p>
        </w:tc>
      </w:tr>
      <w:tr>
        <w:trPr>
          <w:trHeight w:val="216"/>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accumulated other comprehensive</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w:t>
            </w:r>
          </w:p>
        </w:tc>
        <w:tc>
          <w:tcPr>
            <w:tcW w:w="24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of stock</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(91,826)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(91,835)</w:t>
            </w:r>
          </w:p>
        </w:tc>
        <w:tc>
          <w:tcPr>
            <w:tcW w:w="0" w:type="dxa"/>
            <w:vAlign w:val="bottom"/>
          </w:tcPr>
          <w:p>
            <w:pPr>
              <w:spacing w:after="0"/>
              <w:rPr>
                <w:sz w:val="1"/>
                <w:szCs w:val="1"/>
                <w:color w:val="auto"/>
              </w:rPr>
            </w:pPr>
          </w:p>
        </w:tc>
      </w:tr>
      <w:tr>
        <w:trPr>
          <w:trHeight w:val="216"/>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additional paid in capital attributable</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 redeemable noncontrolling interest</w:t>
            </w:r>
          </w:p>
        </w:tc>
        <w:tc>
          <w:tcPr>
            <w:tcW w:w="24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444</w:t>
            </w:r>
          </w:p>
        </w:tc>
        <w:tc>
          <w:tcPr>
            <w:tcW w:w="0" w:type="dxa"/>
            <w:vAlign w:val="bottom"/>
          </w:tcPr>
          <w:p>
            <w:pPr>
              <w:spacing w:after="0"/>
              <w:rPr>
                <w:sz w:val="1"/>
                <w:szCs w:val="1"/>
                <w:color w:val="auto"/>
              </w:rPr>
            </w:pPr>
          </w:p>
        </w:tc>
      </w:tr>
      <w:tr>
        <w:trPr>
          <w:trHeight w:val="270"/>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noncontrolling interest</w:t>
            </w:r>
            <w:r>
              <w:rPr>
                <w:rFonts w:ascii="Times New Roman" w:cs="Times New Roman" w:eastAsia="Times New Roman" w:hAnsi="Times New Roman"/>
                <w:sz w:val="21"/>
                <w:szCs w:val="21"/>
                <w:color w:val="auto"/>
                <w:vertAlign w:val="superscript"/>
              </w:rPr>
              <w:t>(3)</w:t>
            </w:r>
          </w:p>
        </w:tc>
        <w:tc>
          <w:tcPr>
            <w:tcW w:w="240" w:type="dxa"/>
            <w:vAlign w:val="bottom"/>
          </w:tcPr>
          <w:p>
            <w:pPr>
              <w:spacing w:after="0"/>
              <w:rPr>
                <w:sz w:val="23"/>
                <w:szCs w:val="23"/>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(7,292)</w:t>
            </w:r>
          </w:p>
        </w:tc>
        <w:tc>
          <w:tcPr>
            <w:tcW w:w="14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(7,292)</w:t>
            </w:r>
          </w:p>
        </w:tc>
        <w:tc>
          <w:tcPr>
            <w:tcW w:w="0" w:type="dxa"/>
            <w:vAlign w:val="bottom"/>
          </w:tcPr>
          <w:p>
            <w:pPr>
              <w:spacing w:after="0"/>
              <w:rPr>
                <w:sz w:val="1"/>
                <w:szCs w:val="1"/>
                <w:color w:val="auto"/>
              </w:rPr>
            </w:pPr>
          </w:p>
        </w:tc>
      </w:tr>
      <w:tr>
        <w:trPr>
          <w:trHeight w:val="244"/>
        </w:trPr>
        <w:tc>
          <w:tcPr>
            <w:tcW w:w="3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June 30, 2016</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$3,599,335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(2,608,530)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45,890</w:t>
            </w:r>
          </w:p>
        </w:tc>
        <w:tc>
          <w:tcPr>
            <w:tcW w:w="1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1,031,453</w:t>
            </w: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-95885</wp:posOffset>
            </wp:positionV>
            <wp:extent cx="47593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59325" cy="8890"/>
                    </a:xfrm>
                    <a:prstGeom prst="rect">
                      <a:avLst/>
                    </a:prstGeom>
                    <a:noFill/>
                  </pic:spPr>
                </pic:pic>
              </a:graphicData>
            </a:graphic>
          </wp:anchor>
        </w:drawing>
      </w:r>
    </w:p>
    <w:p>
      <w:pPr>
        <w:ind w:left="500" w:hanging="492"/>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13 for details on the Company's Preferred Stock.</w:t>
      </w:r>
    </w:p>
    <w:p>
      <w:pPr>
        <w:spacing w:after="0" w:line="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six months ended June 30, 2017 and 2016, net income (loss) shown above excludes $(1,336) and $(2,637) of net loss attributable to redeemable noncontrolling interests.</w:t>
      </w:r>
    </w:p>
    <w:p>
      <w:pPr>
        <w:spacing w:after="0" w:line="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payment to acquire a noncontrolling interest (refer to Note 5).</w:t>
      </w:r>
    </w:p>
    <w:p>
      <w:pPr>
        <w:spacing w:after="0" w:line="12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38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240" w:top="441" w:right="799" w:bottom="1440" w:gutter="0" w:footer="0" w:header="0"/>
        </w:sectPr>
      </w:pPr>
    </w:p>
    <w:bookmarkStart w:id="6" w:name="page7"/>
    <w:bookmarkEnd w:id="6"/>
    <w:p>
      <w:pPr>
        <w:spacing w:after="0" w:line="62" w:lineRule="exact"/>
        <w:rPr>
          <w:sz w:val="20"/>
          <w:szCs w:val="20"/>
          <w:color w:val="auto"/>
        </w:rPr>
      </w:pPr>
    </w:p>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p>
      <w:pPr>
        <w:spacing w:after="0" w:line="29" w:lineRule="exact"/>
        <w:rPr>
          <w:sz w:val="20"/>
          <w:szCs w:val="20"/>
          <w:color w:val="auto"/>
        </w:rPr>
      </w:pPr>
    </w:p>
    <w:tbl>
      <w:tblPr>
        <w:tblLayout w:type="fixed"/>
        <w:tblInd w:w="60" w:type="dxa"/>
        <w:tblCellMar>
          <w:top w:w="0" w:type="dxa"/>
          <w:left w:w="0" w:type="dxa"/>
          <w:bottom w:w="0" w:type="dxa"/>
          <w:right w:w="0" w:type="dxa"/>
        </w:tblCellMar>
      </w:tblPr>
      <w:tr>
        <w:trPr>
          <w:trHeight w:val="274"/>
        </w:trPr>
        <w:tc>
          <w:tcPr>
            <w:tcW w:w="782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spacing w:after="0"/>
              <w:rPr>
                <w:sz w:val="23"/>
                <w:szCs w:val="23"/>
                <w:color w:val="auto"/>
              </w:rPr>
            </w:pPr>
          </w:p>
        </w:tc>
        <w:tc>
          <w:tcPr>
            <w:tcW w:w="132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1300" w:type="dxa"/>
            <w:vAlign w:val="bottom"/>
            <w:tcBorders>
              <w:top w:val="single" w:sz="8" w:color="auto"/>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2"/>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40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180,635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50,487</w:t>
            </w:r>
          </w:p>
        </w:tc>
        <w:tc>
          <w:tcPr>
            <w:tcW w:w="0" w:type="dxa"/>
            <w:vAlign w:val="bottom"/>
          </w:tcPr>
          <w:p>
            <w:pPr>
              <w:spacing w:after="0"/>
              <w:rPr>
                <w:sz w:val="1"/>
                <w:szCs w:val="1"/>
                <w:color w:val="auto"/>
              </w:rPr>
            </w:pPr>
          </w:p>
        </w:tc>
      </w:tr>
      <w:tr>
        <w:trPr>
          <w:trHeight w:val="262"/>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cash flows from operating activities: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(Recovery of) provision for loan losses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(5,528)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2,206</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Impairment of assets</w:t>
            </w:r>
          </w:p>
        </w:tc>
        <w:tc>
          <w:tcPr>
            <w:tcW w:w="400" w:type="dxa"/>
            <w:vAlign w:val="bottom"/>
          </w:tcPr>
          <w:p>
            <w:pPr>
              <w:spacing w:after="0"/>
              <w:rPr>
                <w:sz w:val="22"/>
                <w:szCs w:val="22"/>
                <w:color w:val="auto"/>
              </w:rPr>
            </w:pPr>
          </w:p>
        </w:tc>
        <w:tc>
          <w:tcPr>
            <w:tcW w:w="13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14,696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3,012</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26,352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29,182</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Non-cash expense for stock-based compensation</w:t>
            </w:r>
          </w:p>
        </w:tc>
        <w:tc>
          <w:tcPr>
            <w:tcW w:w="400" w:type="dxa"/>
            <w:vAlign w:val="bottom"/>
          </w:tcPr>
          <w:p>
            <w:pPr>
              <w:spacing w:after="0"/>
              <w:rPr>
                <w:sz w:val="22"/>
                <w:szCs w:val="22"/>
                <w:color w:val="auto"/>
              </w:rPr>
            </w:pPr>
          </w:p>
        </w:tc>
        <w:tc>
          <w:tcPr>
            <w:tcW w:w="13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9,796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6,211</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Amortization of discounts/premiums and deferred financing costs on debt obligations, net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6,615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8,901</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 of discounts/premiums on loans, net</w:t>
            </w:r>
          </w:p>
        </w:tc>
        <w:tc>
          <w:tcPr>
            <w:tcW w:w="400" w:type="dxa"/>
            <w:vAlign w:val="bottom"/>
          </w:tcPr>
          <w:p>
            <w:pPr>
              <w:spacing w:after="0"/>
              <w:rPr>
                <w:sz w:val="22"/>
                <w:szCs w:val="22"/>
                <w:color w:val="auto"/>
              </w:rPr>
            </w:pP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(6,978)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(7,237)</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Deferred interest on loans, net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(1,290)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4,631</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Gain from discontinued operations</w:t>
            </w:r>
          </w:p>
        </w:tc>
        <w:tc>
          <w:tcPr>
            <w:tcW w:w="400" w:type="dxa"/>
            <w:vAlign w:val="bottom"/>
          </w:tcPr>
          <w:p>
            <w:pPr>
              <w:spacing w:after="0"/>
              <w:rPr>
                <w:sz w:val="22"/>
                <w:szCs w:val="22"/>
                <w:color w:val="auto"/>
              </w:rPr>
            </w:pP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(123,418)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Earnings from equity method investments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(11,217)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(47,714)</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Distributions from operations of other investments</w:t>
            </w:r>
          </w:p>
        </w:tc>
        <w:tc>
          <w:tcPr>
            <w:tcW w:w="400" w:type="dxa"/>
            <w:vAlign w:val="bottom"/>
          </w:tcPr>
          <w:p>
            <w:pPr>
              <w:spacing w:after="0"/>
              <w:rPr>
                <w:sz w:val="22"/>
                <w:szCs w:val="22"/>
                <w:color w:val="auto"/>
              </w:rPr>
            </w:pPr>
          </w:p>
        </w:tc>
        <w:tc>
          <w:tcPr>
            <w:tcW w:w="13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35,502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31,479</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Deferred operating lease income</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(3,204)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(4,993)</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Income from sales of real estate</w:t>
            </w:r>
          </w:p>
        </w:tc>
        <w:tc>
          <w:tcPr>
            <w:tcW w:w="400" w:type="dxa"/>
            <w:vAlign w:val="bottom"/>
          </w:tcPr>
          <w:p>
            <w:pPr>
              <w:spacing w:after="0"/>
              <w:rPr>
                <w:sz w:val="22"/>
                <w:szCs w:val="22"/>
                <w:color w:val="auto"/>
              </w:rPr>
            </w:pP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(9,462)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(53,943)</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Land development revenue in excess of cost of sales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(14,384)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(13,997)</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Loss on early extinguishment of debt, net</w:t>
            </w:r>
          </w:p>
        </w:tc>
        <w:tc>
          <w:tcPr>
            <w:tcW w:w="400" w:type="dxa"/>
            <w:vAlign w:val="bottom"/>
          </w:tcPr>
          <w:p>
            <w:pPr>
              <w:spacing w:after="0"/>
              <w:rPr>
                <w:sz w:val="22"/>
                <w:szCs w:val="22"/>
                <w:color w:val="auto"/>
              </w:rPr>
            </w:pPr>
          </w:p>
        </w:tc>
        <w:tc>
          <w:tcPr>
            <w:tcW w:w="13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775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1,582</w:t>
            </w:r>
          </w:p>
        </w:tc>
        <w:tc>
          <w:tcPr>
            <w:tcW w:w="0" w:type="dxa"/>
            <w:vAlign w:val="bottom"/>
          </w:tcPr>
          <w:p>
            <w:pPr>
              <w:spacing w:after="0"/>
              <w:rPr>
                <w:sz w:val="1"/>
                <w:szCs w:val="1"/>
                <w:color w:val="auto"/>
              </w:rPr>
            </w:pPr>
          </w:p>
        </w:tc>
      </w:tr>
      <w:tr>
        <w:trPr>
          <w:trHeight w:val="181"/>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Debt discount on repayments of debt obligations</w:t>
            </w: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(5,745)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(5,369)</w:t>
            </w:r>
          </w:p>
        </w:tc>
        <w:tc>
          <w:tcPr>
            <w:tcW w:w="0" w:type="dxa"/>
            <w:vAlign w:val="bottom"/>
          </w:tcPr>
          <w:p>
            <w:pPr>
              <w:spacing w:after="0"/>
              <w:rPr>
                <w:sz w:val="1"/>
                <w:szCs w:val="1"/>
                <w:color w:val="auto"/>
              </w:rPr>
            </w:pPr>
          </w:p>
        </w:tc>
      </w:tr>
      <w:tr>
        <w:trPr>
          <w:trHeight w:val="151"/>
        </w:trPr>
        <w:tc>
          <w:tcPr>
            <w:tcW w:w="7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operating activities, net</w:t>
            </w:r>
          </w:p>
        </w:tc>
        <w:tc>
          <w:tcPr>
            <w:tcW w:w="400" w:type="dxa"/>
            <w:vAlign w:val="bottom"/>
          </w:tcPr>
          <w:p>
            <w:pPr>
              <w:spacing w:after="0"/>
              <w:rPr>
                <w:sz w:val="22"/>
                <w:szCs w:val="22"/>
                <w:color w:val="auto"/>
              </w:rPr>
            </w:pPr>
          </w:p>
        </w:tc>
        <w:tc>
          <w:tcPr>
            <w:tcW w:w="13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9,770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2,651</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Changes in accrued interest and operating lease income receivable, net</w:t>
            </w:r>
          </w:p>
        </w:tc>
        <w:tc>
          <w:tcPr>
            <w:tcW w:w="400" w:type="dxa"/>
            <w:vAlign w:val="bottom"/>
          </w:tcPr>
          <w:p>
            <w:pPr>
              <w:spacing w:after="0"/>
              <w:rPr>
                <w:sz w:val="22"/>
                <w:szCs w:val="22"/>
                <w:color w:val="auto"/>
              </w:rPr>
            </w:pPr>
          </w:p>
        </w:tc>
        <w:tc>
          <w:tcPr>
            <w:tcW w:w="13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2,881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4,436</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Changes in deferred expenses and other assets, net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(6,821)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1,677</w:t>
            </w:r>
          </w:p>
        </w:tc>
        <w:tc>
          <w:tcPr>
            <w:tcW w:w="0" w:type="dxa"/>
            <w:vAlign w:val="bottom"/>
          </w:tcPr>
          <w:p>
            <w:pPr>
              <w:spacing w:after="0"/>
              <w:rPr>
                <w:sz w:val="1"/>
                <w:szCs w:val="1"/>
                <w:color w:val="auto"/>
              </w:rPr>
            </w:pPr>
          </w:p>
        </w:tc>
      </w:tr>
      <w:tr>
        <w:trPr>
          <w:trHeight w:val="264"/>
        </w:trPr>
        <w:tc>
          <w:tcPr>
            <w:tcW w:w="7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Changes in accounts payable, accrued expenses and other liabilities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3,941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(13,052)</w:t>
            </w:r>
          </w:p>
        </w:tc>
        <w:tc>
          <w:tcPr>
            <w:tcW w:w="0" w:type="dxa"/>
            <w:vAlign w:val="bottom"/>
          </w:tcPr>
          <w:p>
            <w:pPr>
              <w:spacing w:after="0"/>
              <w:rPr>
                <w:sz w:val="1"/>
                <w:szCs w:val="1"/>
                <w:color w:val="auto"/>
              </w:rPr>
            </w:pPr>
          </w:p>
        </w:tc>
      </w:tr>
      <w:tr>
        <w:trPr>
          <w:trHeight w:val="257"/>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flows provided by operating activities</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102,916</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242"/>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Originations and fundings of loans receivable, net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(130,701)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(158,262)</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Capital expenditures on real estate assets</w:t>
            </w:r>
          </w:p>
        </w:tc>
        <w:tc>
          <w:tcPr>
            <w:tcW w:w="400" w:type="dxa"/>
            <w:vAlign w:val="bottom"/>
          </w:tcPr>
          <w:p>
            <w:pPr>
              <w:spacing w:after="0"/>
              <w:rPr>
                <w:sz w:val="22"/>
                <w:szCs w:val="22"/>
                <w:color w:val="auto"/>
              </w:rPr>
            </w:pP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(16,346)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(35,674)</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Capital expenditures on land and development assets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(53,894)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(58,961)</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Acquisitions of real estate assets</w:t>
            </w:r>
          </w:p>
        </w:tc>
        <w:tc>
          <w:tcPr>
            <w:tcW w:w="4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(3,915)</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Repayments of and principal collections on loans receivable and other lending investments, net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367,028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202,014</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proceeds from sales of real estate</w:t>
            </w:r>
          </w:p>
        </w:tc>
        <w:tc>
          <w:tcPr>
            <w:tcW w:w="400" w:type="dxa"/>
            <w:vAlign w:val="bottom"/>
          </w:tcPr>
          <w:p>
            <w:pPr>
              <w:spacing w:after="0"/>
              <w:rPr>
                <w:sz w:val="22"/>
                <w:szCs w:val="22"/>
                <w:color w:val="auto"/>
              </w:rPr>
            </w:pPr>
          </w:p>
        </w:tc>
        <w:tc>
          <w:tcPr>
            <w:tcW w:w="13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154,291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247,956</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Net proceeds from sales of land and development assets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146,713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33,660</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proceeds from sales of other investments</w:t>
            </w:r>
          </w:p>
        </w:tc>
        <w:tc>
          <w:tcPr>
            <w:tcW w:w="4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22"/>
                <w:szCs w:val="22"/>
                <w:color w:val="auto"/>
              </w:rPr>
            </w:pP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39,810</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Distributions from other investments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11,275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8,632</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Contributions to other investments</w:t>
            </w:r>
          </w:p>
        </w:tc>
        <w:tc>
          <w:tcPr>
            <w:tcW w:w="400" w:type="dxa"/>
            <w:vAlign w:val="bottom"/>
          </w:tcPr>
          <w:p>
            <w:pPr>
              <w:spacing w:after="0"/>
              <w:rPr>
                <w:sz w:val="22"/>
                <w:szCs w:val="22"/>
                <w:color w:val="auto"/>
              </w:rPr>
            </w:pP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(139,139)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(8,283)</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Changes in restricted cash held in connection with investing activities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1,757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3,220</w:t>
            </w:r>
          </w:p>
        </w:tc>
        <w:tc>
          <w:tcPr>
            <w:tcW w:w="0" w:type="dxa"/>
            <w:vAlign w:val="bottom"/>
          </w:tcPr>
          <w:p>
            <w:pPr>
              <w:spacing w:after="0"/>
              <w:rPr>
                <w:sz w:val="1"/>
                <w:szCs w:val="1"/>
                <w:color w:val="auto"/>
              </w:rPr>
            </w:pPr>
          </w:p>
        </w:tc>
      </w:tr>
      <w:tr>
        <w:trPr>
          <w:trHeight w:val="264"/>
        </w:trPr>
        <w:tc>
          <w:tcPr>
            <w:tcW w:w="7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Other investing activities, net</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5,317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(5,677)</w:t>
            </w:r>
          </w:p>
        </w:tc>
        <w:tc>
          <w:tcPr>
            <w:tcW w:w="0" w:type="dxa"/>
            <w:vAlign w:val="bottom"/>
          </w:tcPr>
          <w:p>
            <w:pPr>
              <w:spacing w:after="0"/>
              <w:rPr>
                <w:sz w:val="1"/>
                <w:szCs w:val="1"/>
                <w:color w:val="auto"/>
              </w:rPr>
            </w:pPr>
          </w:p>
        </w:tc>
      </w:tr>
      <w:tr>
        <w:trPr>
          <w:trHeight w:val="257"/>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flows provided by investing activities</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346,301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264,520</w:t>
            </w:r>
          </w:p>
        </w:tc>
        <w:tc>
          <w:tcPr>
            <w:tcW w:w="0" w:type="dxa"/>
            <w:vAlign w:val="bottom"/>
          </w:tcPr>
          <w:p>
            <w:pPr>
              <w:spacing w:after="0"/>
              <w:rPr>
                <w:sz w:val="1"/>
                <w:szCs w:val="1"/>
                <w:color w:val="auto"/>
              </w:rPr>
            </w:pPr>
          </w:p>
        </w:tc>
      </w:tr>
      <w:tr>
        <w:trPr>
          <w:trHeight w:val="242"/>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Borrowings from debt obligations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854,637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646,401</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Repayments and repurchases of debt obligations</w:t>
            </w:r>
          </w:p>
        </w:tc>
        <w:tc>
          <w:tcPr>
            <w:tcW w:w="400" w:type="dxa"/>
            <w:vAlign w:val="bottom"/>
          </w:tcPr>
          <w:p>
            <w:pPr>
              <w:spacing w:after="0"/>
              <w:rPr>
                <w:sz w:val="22"/>
                <w:szCs w:val="22"/>
                <w:color w:val="auto"/>
              </w:rPr>
            </w:pP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(626,492)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(991,184)</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Proceeds from loan participations payable</w:t>
            </w:r>
          </w:p>
        </w:tc>
        <w:tc>
          <w:tcPr>
            <w:tcW w:w="4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22,844</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Preferred dividends paid</w:t>
            </w:r>
          </w:p>
        </w:tc>
        <w:tc>
          <w:tcPr>
            <w:tcW w:w="400" w:type="dxa"/>
            <w:vAlign w:val="bottom"/>
          </w:tcPr>
          <w:p>
            <w:pPr>
              <w:spacing w:after="0"/>
              <w:rPr>
                <w:sz w:val="22"/>
                <w:szCs w:val="22"/>
                <w:color w:val="auto"/>
              </w:rPr>
            </w:pP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(25,660)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(25,660)</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Repurchase of stock</w:t>
            </w:r>
          </w:p>
        </w:tc>
        <w:tc>
          <w:tcPr>
            <w:tcW w:w="4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(90,481)</w:t>
            </w:r>
          </w:p>
        </w:tc>
        <w:tc>
          <w:tcPr>
            <w:tcW w:w="0" w:type="dxa"/>
            <w:vAlign w:val="bottom"/>
          </w:tcPr>
          <w:p>
            <w:pPr>
              <w:spacing w:after="0"/>
              <w:rPr>
                <w:sz w:val="1"/>
                <w:szCs w:val="1"/>
                <w:color w:val="auto"/>
              </w:rPr>
            </w:pPr>
          </w:p>
        </w:tc>
      </w:tr>
      <w:tr>
        <w:trPr>
          <w:trHeight w:val="262"/>
        </w:trPr>
        <w:tc>
          <w:tcPr>
            <w:tcW w:w="7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Payments for deferred financing costs</w:t>
            </w:r>
          </w:p>
        </w:tc>
        <w:tc>
          <w:tcPr>
            <w:tcW w:w="400" w:type="dxa"/>
            <w:vAlign w:val="bottom"/>
          </w:tcPr>
          <w:p>
            <w:pPr>
              <w:spacing w:after="0"/>
              <w:rPr>
                <w:sz w:val="22"/>
                <w:szCs w:val="22"/>
                <w:color w:val="auto"/>
              </w:rPr>
            </w:pP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(12,243)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(8,003)</w:t>
            </w:r>
          </w:p>
        </w:tc>
        <w:tc>
          <w:tcPr>
            <w:tcW w:w="0" w:type="dxa"/>
            <w:vAlign w:val="bottom"/>
          </w:tcPr>
          <w:p>
            <w:pPr>
              <w:spacing w:after="0"/>
              <w:rPr>
                <w:sz w:val="1"/>
                <w:szCs w:val="1"/>
                <w:color w:val="auto"/>
              </w:rPr>
            </w:pPr>
          </w:p>
        </w:tc>
      </w:tr>
      <w:tr>
        <w:trPr>
          <w:trHeight w:val="278"/>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Payments for withholding taxes upon vesting of stock-based compensation</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(511)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(1,203)</w:t>
            </w:r>
          </w:p>
        </w:tc>
        <w:tc>
          <w:tcPr>
            <w:tcW w:w="0" w:type="dxa"/>
            <w:vAlign w:val="bottom"/>
          </w:tcPr>
          <w:p>
            <w:pPr>
              <w:spacing w:after="0"/>
              <w:rPr>
                <w:sz w:val="1"/>
                <w:szCs w:val="1"/>
                <w:color w:val="auto"/>
              </w:rPr>
            </w:pPr>
          </w:p>
        </w:tc>
      </w:tr>
      <w:tr>
        <w:trPr>
          <w:trHeight w:val="264"/>
        </w:trPr>
        <w:tc>
          <w:tcPr>
            <w:tcW w:w="7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Other financing activities, net</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(13,420)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(7,144)</w:t>
            </w:r>
          </w:p>
        </w:tc>
        <w:tc>
          <w:tcPr>
            <w:tcW w:w="0" w:type="dxa"/>
            <w:vAlign w:val="bottom"/>
          </w:tcPr>
          <w:p>
            <w:pPr>
              <w:spacing w:after="0"/>
              <w:rPr>
                <w:sz w:val="1"/>
                <w:szCs w:val="1"/>
                <w:color w:val="auto"/>
              </w:rPr>
            </w:pPr>
          </w:p>
        </w:tc>
      </w:tr>
      <w:tr>
        <w:trPr>
          <w:trHeight w:val="250"/>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flows provided by (used in) financing activities</w:t>
            </w: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176,311</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(454,430)</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257"/>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Changes in cash and cash equivalents</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625,535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(189,738)</w:t>
            </w:r>
          </w:p>
        </w:tc>
        <w:tc>
          <w:tcPr>
            <w:tcW w:w="0" w:type="dxa"/>
            <w:vAlign w:val="bottom"/>
          </w:tcPr>
          <w:p>
            <w:pPr>
              <w:spacing w:after="0"/>
              <w:rPr>
                <w:sz w:val="1"/>
                <w:szCs w:val="1"/>
                <w:color w:val="auto"/>
              </w:rPr>
            </w:pPr>
          </w:p>
        </w:tc>
      </w:tr>
      <w:tr>
        <w:trPr>
          <w:trHeight w:val="264"/>
        </w:trPr>
        <w:tc>
          <w:tcPr>
            <w:tcW w:w="7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328,744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711,101</w:t>
            </w:r>
          </w:p>
        </w:tc>
        <w:tc>
          <w:tcPr>
            <w:tcW w:w="0" w:type="dxa"/>
            <w:vAlign w:val="bottom"/>
          </w:tcPr>
          <w:p>
            <w:pPr>
              <w:spacing w:after="0"/>
              <w:rPr>
                <w:sz w:val="1"/>
                <w:szCs w:val="1"/>
                <w:color w:val="auto"/>
              </w:rPr>
            </w:pPr>
          </w:p>
        </w:tc>
      </w:tr>
      <w:tr>
        <w:trPr>
          <w:trHeight w:val="242"/>
        </w:trPr>
        <w:tc>
          <w:tcPr>
            <w:tcW w:w="7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Cash and cash equivalents at end of period</w:t>
            </w: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954,279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521,363</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Supplemental disclosure of non-cash investing and financing activity:</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8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Fundings and repayments of loan receivables and loan participations, net</w:t>
            </w:r>
          </w:p>
        </w:tc>
        <w:tc>
          <w:tcPr>
            <w:tcW w:w="40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(52,406)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12,267</w:t>
            </w:r>
          </w:p>
        </w:tc>
        <w:tc>
          <w:tcPr>
            <w:tcW w:w="0" w:type="dxa"/>
            <w:vAlign w:val="bottom"/>
          </w:tcPr>
          <w:p>
            <w:pPr>
              <w:spacing w:after="0"/>
              <w:rPr>
                <w:sz w:val="1"/>
                <w:szCs w:val="1"/>
                <w:color w:val="auto"/>
              </w:rPr>
            </w:pPr>
          </w:p>
        </w:tc>
      </w:tr>
      <w:tr>
        <w:trPr>
          <w:trHeight w:val="100"/>
        </w:trPr>
        <w:tc>
          <w:tcPr>
            <w:tcW w:w="78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380"/>
          </w:cols>
          <w:pgMar w:left="240" w:top="118" w:right="279" w:bottom="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6295"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295"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6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Accounts payable for capital expenditures on land and development assets</w:t>
            </w:r>
          </w:p>
        </w:tc>
        <w:tc>
          <w:tcPr>
            <w:tcW w:w="3640" w:type="dxa"/>
            <w:vAlign w:val="bottom"/>
          </w:tcPr>
          <w:p>
            <w:pPr>
              <w:jc w:val="right"/>
              <w:ind w:right="697"/>
              <w:spacing w:after="0"/>
              <w:rPr>
                <w:sz w:val="20"/>
                <w:szCs w:val="20"/>
                <w:color w:val="auto"/>
              </w:rPr>
            </w:pPr>
            <w:r>
              <w:rPr>
                <w:rFonts w:ascii="Times New Roman" w:cs="Times New Roman" w:eastAsia="Times New Roman" w:hAnsi="Times New Roman"/>
                <w:sz w:val="13"/>
                <w:szCs w:val="13"/>
                <w:color w:val="auto"/>
              </w:rPr>
              <w:t>2,984</w:t>
            </w: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5,575</w:t>
            </w:r>
          </w:p>
        </w:tc>
        <w:tc>
          <w:tcPr>
            <w:tcW w:w="0" w:type="dxa"/>
            <w:vAlign w:val="bottom"/>
          </w:tcPr>
          <w:p>
            <w:pPr>
              <w:spacing w:after="0"/>
              <w:rPr>
                <w:sz w:val="1"/>
                <w:szCs w:val="1"/>
                <w:color w:val="auto"/>
              </w:rPr>
            </w:pPr>
          </w:p>
        </w:tc>
      </w:tr>
      <w:tr>
        <w:trPr>
          <w:trHeight w:val="278"/>
        </w:trPr>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Accounts payable for capital expenditures on real estate assets</w:t>
            </w:r>
          </w:p>
        </w:tc>
        <w:tc>
          <w:tcPr>
            <w:tcW w:w="364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3"/>
                <w:szCs w:val="13"/>
                <w:color w:val="auto"/>
              </w:rPr>
              <w:t>1,488</w:t>
            </w:r>
          </w:p>
        </w:tc>
        <w:tc>
          <w:tcPr>
            <w:tcW w:w="11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6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Receivable from sales of real estate and land parcels</w:t>
            </w:r>
          </w:p>
        </w:tc>
        <w:tc>
          <w:tcPr>
            <w:tcW w:w="3640" w:type="dxa"/>
            <w:vAlign w:val="bottom"/>
            <w:vMerge w:val="restart"/>
          </w:tcPr>
          <w:p>
            <w:pPr>
              <w:jc w:val="right"/>
              <w:ind w:right="697"/>
              <w:spacing w:after="0"/>
              <w:rPr>
                <w:sz w:val="20"/>
                <w:szCs w:val="20"/>
                <w:color w:val="auto"/>
              </w:rPr>
            </w:pPr>
            <w:r>
              <w:rPr>
                <w:rFonts w:ascii="Times New Roman" w:cs="Times New Roman" w:eastAsia="Times New Roman" w:hAnsi="Times New Roman"/>
                <w:sz w:val="13"/>
                <w:szCs w:val="13"/>
                <w:color w:val="auto"/>
              </w:rPr>
              <w:t>3,139</w:t>
            </w:r>
          </w:p>
        </w:tc>
        <w:tc>
          <w:tcPr>
            <w:tcW w:w="11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1,741</w:t>
            </w:r>
          </w:p>
        </w:tc>
        <w:tc>
          <w:tcPr>
            <w:tcW w:w="0" w:type="dxa"/>
            <w:vAlign w:val="bottom"/>
          </w:tcPr>
          <w:p>
            <w:pPr>
              <w:spacing w:after="0"/>
              <w:rPr>
                <w:sz w:val="1"/>
                <w:szCs w:val="1"/>
                <w:color w:val="auto"/>
              </w:rPr>
            </w:pPr>
          </w:p>
        </w:tc>
      </w:tr>
      <w:tr>
        <w:trPr>
          <w:trHeight w:val="143"/>
        </w:trPr>
        <w:tc>
          <w:tcPr>
            <w:tcW w:w="6520" w:type="dxa"/>
            <w:vAlign w:val="bottom"/>
          </w:tcPr>
          <w:p>
            <w:pPr>
              <w:spacing w:after="0"/>
              <w:rPr>
                <w:sz w:val="12"/>
                <w:szCs w:val="12"/>
                <w:color w:val="auto"/>
              </w:rPr>
            </w:pPr>
          </w:p>
        </w:tc>
        <w:tc>
          <w:tcPr>
            <w:tcW w:w="364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6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Developer fee payable</w:t>
            </w:r>
          </w:p>
        </w:tc>
        <w:tc>
          <w:tcPr>
            <w:tcW w:w="364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6,438</w:t>
            </w:r>
          </w:p>
        </w:tc>
        <w:tc>
          <w:tcPr>
            <w:tcW w:w="0" w:type="dxa"/>
            <w:vAlign w:val="bottom"/>
          </w:tcPr>
          <w:p>
            <w:pPr>
              <w:spacing w:after="0"/>
              <w:rPr>
                <w:sz w:val="1"/>
                <w:szCs w:val="1"/>
                <w:color w:val="auto"/>
              </w:rPr>
            </w:pPr>
          </w:p>
        </w:tc>
      </w:tr>
      <w:tr>
        <w:trPr>
          <w:trHeight w:val="254"/>
        </w:trPr>
        <w:tc>
          <w:tcPr>
            <w:tcW w:w="6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Accruals for repurchase of stock</w:t>
            </w:r>
          </w:p>
        </w:tc>
        <w:tc>
          <w:tcPr>
            <w:tcW w:w="3640" w:type="dxa"/>
            <w:vAlign w:val="bottom"/>
          </w:tcPr>
          <w:p>
            <w:pPr>
              <w:jc w:val="right"/>
              <w:ind w:right="69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2,260</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20"/>
          </w:cols>
          <w:pgMar w:left="300" w:top="391" w:right="2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1—Business and Organization</w:t>
      </w:r>
    </w:p>
    <w:p>
      <w:pPr>
        <w:spacing w:after="0" w:line="225"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—iStar Inc. (the "Company"), doing business as "iStar," finances, invests in and develops real estate and real estate related projects as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fully-integrated investment platform. The Company also provides management services for its ground lease and net lease equity method investments (refer to Note 7). The Company has invested more than $35 billion over the past two decades and is structured as a real estate investment trust ("REIT") with a diversified portfolio focused on larger assets located in major metropolitan markets. The Company's primary business segments are real estate finance, net lease, operating properties and land and development (refer to Note 17).</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Organization</w:t>
      </w:r>
      <w:r>
        <w:rPr>
          <w:rFonts w:ascii="Times New Roman" w:cs="Times New Roman" w:eastAsia="Times New Roman" w:hAnsi="Times New Roman"/>
          <w:sz w:val="18"/>
          <w:szCs w:val="18"/>
          <w:color w:val="auto"/>
        </w:rPr>
        <w:t>—The Company began its business in 1993 through the management of private investment funds and became publicly traded in 1998.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that time, the Company has grown through the origination of new investments, as well as through corporate acquisitions.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2—Basis of Presentation and Principles of Consolidation</w:t>
      </w:r>
    </w:p>
    <w:p>
      <w:pPr>
        <w:spacing w:after="0" w:line="144"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accompanying unaudited consolidated financial statements have been prepared in conformity with the instructions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2016 (the "2016 Annual Report").</w:t>
      </w:r>
    </w:p>
    <w:p>
      <w:pPr>
        <w:spacing w:after="0" w:line="1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3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contain all adjustments, consisting of normal recurring adjustments, necessary for a fair statement of the results for the interim periods presented. Such operating results may not be indicative of the expected results for any other interim periods or the entire year. Certain prior year amounts have been reclassified in the Company's consolidated financial statements and the related notes to conform to the current period presentation.</w:t>
      </w:r>
    </w:p>
    <w:p>
      <w:pPr>
        <w:spacing w:after="0" w:line="136"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color w:val="auto"/>
        </w:rPr>
        <w:t>Principles of Consolidation</w:t>
      </w:r>
      <w:r>
        <w:rPr>
          <w:rFonts w:ascii="Times New Roman" w:cs="Times New Roman" w:eastAsia="Times New Roman" w:hAnsi="Times New Roman"/>
          <w:sz w:val="18"/>
          <w:szCs w:val="18"/>
          <w:color w:val="auto"/>
        </w:rPr>
        <w:t>—The consolidated financial statements include the financial statements of the Company, its wholly owned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partnerships and variable interest entities ("VIEs") for which the Company is the primary beneficiary. All significant intercompany balances and transactions have been eliminated in consolidation. The Company's involvement with VIEs affects its financial performance and cash flows primarily through amounts recorded in "Operating lease income," "Interest income," "Earnings from equity method investments," "Real estate expense" and "Interest expense" in the Company's consolidated statements of operations. The Company has not provided financial support to those VIEs that it was not previously contractually required to provide.</w:t>
      </w:r>
    </w:p>
    <w:p>
      <w:pPr>
        <w:spacing w:after="0" w:line="142"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Consolidated VIEs</w:t>
      </w:r>
      <w:r>
        <w:rPr>
          <w:rFonts w:ascii="Times New Roman" w:cs="Times New Roman" w:eastAsia="Times New Roman" w:hAnsi="Times New Roman"/>
          <w:sz w:val="18"/>
          <w:szCs w:val="18"/>
          <w:color w:val="auto"/>
        </w:rPr>
        <w:t>—As of June 30, 2017, the Company consolidates VIEs for which it is considered the primary beneficiary. As of June 30, 2017,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assets of these consolidated VIEs were $326.9 million and total liabilities were $68.9 million. The classifications of these assets are primarily within "Land and development, net" and "Real estate, net" on the Company's consolidated balance sheets. The classifications of liabilities are primarily within "Accounts payable, accrued expenses and other liabilities" and "debt obligations, net" on the Company's consolidated balance sheets. The liabilities of these VIEs are non-recourse to the Company and can only be satisfied from each VIE's respective assets. The Company did not have any unfunded commitments related to consolidated VIEs as of June 30, 2017.</w:t>
      </w:r>
    </w:p>
    <w:p>
      <w:pPr>
        <w:spacing w:after="0" w:line="183"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Unconsolidated VIEs</w:t>
      </w:r>
      <w:r>
        <w:rPr>
          <w:rFonts w:ascii="Times New Roman" w:cs="Times New Roman" w:eastAsia="Times New Roman" w:hAnsi="Times New Roman"/>
          <w:sz w:val="18"/>
          <w:szCs w:val="18"/>
          <w:color w:val="auto"/>
        </w:rPr>
        <w:t>—As of June 30, 2017, the Company has investments in VIEs where it is not the primary beneficiary and accordingly the VIEs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not been consolidated in the Company's consolidated financial statements. As of June 30, 2017, the Company's maximum exposure to loss from these investments does not exceed the sum of the $56.6 million carrying value of the investments, which are classified in "Other investments" and "Loans receivable and other lending investments, net" on the Company's consolidated balance sheets, and $53.8 million of related unfunded commitments.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3—Summary of Significant Accounting Policies</w:t>
      </w:r>
    </w:p>
    <w:p>
      <w:pPr>
        <w:spacing w:after="0" w:line="2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On January 1, 2017, the Company adopted Accounting Standards Update ("ASU") 2016-09, </w:t>
      </w:r>
      <w:r>
        <w:rPr>
          <w:rFonts w:ascii="Times New Roman" w:cs="Times New Roman" w:eastAsia="Times New Roman" w:hAnsi="Times New Roman"/>
          <w:sz w:val="18"/>
          <w:szCs w:val="18"/>
          <w:i w:val="1"/>
          <w:iCs w:val="1"/>
          <w:color w:val="auto"/>
        </w:rPr>
        <w:t>Compensation—Stock Compensation: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Employee Share-Based Payment Accounting </w:t>
      </w:r>
      <w:r>
        <w:rPr>
          <w:rFonts w:ascii="Times New Roman" w:cs="Times New Roman" w:eastAsia="Times New Roman" w:hAnsi="Times New Roman"/>
          <w:sz w:val="18"/>
          <w:szCs w:val="18"/>
          <w:color w:val="auto"/>
        </w:rPr>
        <w:t>("ASU 2016-09") which was issued to simplify several aspects of the accounting for share-based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including income tax, classification of awards as either equity or liabilities and classification on the statement of cash flows. The adoption of ASU 2016-09 did not have a material impact on the Company's consolidated financial statements.</w:t>
      </w:r>
    </w:p>
    <w:p>
      <w:pPr>
        <w:spacing w:after="0" w:line="14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June 30, 2017, the remainder of the Company's significant accounting policies, which are detailed in the Company's 2016 Annual Report, have not changed materially.</w:t>
      </w:r>
    </w:p>
    <w:p>
      <w:pPr>
        <w:spacing w:after="0" w:line="11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New Accounting Pronouncements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In February 2017, the Financial Accounting Standards Board ("FASB") issued ASU 2017-05,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Other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Gains and Losses from the Derecognition of Nonfinancial Assets </w:t>
      </w:r>
      <w:r>
        <w:rPr>
          <w:rFonts w:ascii="Times New Roman" w:cs="Times New Roman" w:eastAsia="Times New Roman" w:hAnsi="Times New Roman"/>
          <w:sz w:val="18"/>
          <w:szCs w:val="18"/>
          <w:color w:val="auto"/>
        </w:rPr>
        <w:t>("ASU 2017-05") to clarify the scope of Subtopic 610-20, Other Income—Gains and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Derecognition of Nonfinancial Assets, and to add guidance for partial sales of nonfinancial assets. The amendments in ASU 2017-05 simplify GAAP by eliminating several accounting differences between transactions involving assets and transactions involving businesses. The amendments in ASU 2017-05 require an entity to initially measure a retained noncontrolling interest in a nonfinancial asset at fair value consistent with how a retained noncontrolling interest in a business is measured. Also, if an entity transfers ownership interests in a consolidated subsidiary that is within the scope of ASC 610-20 and continues to have a controlling financial interest in that subsidiary, ASU 2017-05 requires the entity to account for the transaction as an equity transaction, which is consistent with how changes in ownership interests in a consolidated subsidiary that is a business are recorded when a parent retains a controlling financial interest in the business. ASU 2017-05 is effective for interim and annual reporting periods beginning after December 15, 2017. Early adoption is permitted beginning January 1, 2017. Management is evaluating the impact of the guidance on the Company's consolidated financial statements and expects to adopt the retrospective approach, which would require the Company to recast revenue and expenses for all prior periods presented in the year of adoption of the new standard. The Company expects that transactions in assets and businesses in which the Company retains an ownership interest, such as the sale of a controlling interest in its GL business (refer to Note 4), will be impacted by this guidance. As a result, under the retrospective approach, in 2018, the Company expects to record an incremental gain of $55.5 million in its consolidated statements of operations for the three and six months ended June 30, 2017, bringing the Company's full gain on the sale of its GL business to approximately $178.9 million.</w:t>
      </w:r>
    </w:p>
    <w:p>
      <w:pPr>
        <w:spacing w:after="0" w:line="14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In January 2017, the FASB issued ASU 2017-01, </w:t>
      </w:r>
      <w:r>
        <w:rPr>
          <w:rFonts w:ascii="Times New Roman" w:cs="Times New Roman" w:eastAsia="Times New Roman" w:hAnsi="Times New Roman"/>
          <w:sz w:val="18"/>
          <w:szCs w:val="18"/>
          <w:i w:val="1"/>
          <w:iCs w:val="1"/>
          <w:color w:val="auto"/>
        </w:rPr>
        <w:t>Business Combinations: Clarifying the Definition of a Business</w:t>
      </w:r>
      <w:r>
        <w:rPr>
          <w:rFonts w:ascii="Times New Roman" w:cs="Times New Roman" w:eastAsia="Times New Roman" w:hAnsi="Times New Roman"/>
          <w:sz w:val="18"/>
          <w:szCs w:val="18"/>
          <w:color w:val="auto"/>
        </w:rPr>
        <w:t xml:space="preserve"> ("ASU 2017-01") to provide a more robust framework to use in determining when a set of assets and activities is a business. The amendments provide more consistency in applying the guidance, reduce the costs of application, and make the definition of a business more operable. The Company's real estate acquisitions have historically been accounted for as a business combination or an asset acquisition. Under ASU 2017-01, certain transactions previously accounted for as business combinations under the existing guidance would be accounted for as asset acquisitions under the new guidance. As a result, the Company expects more transaction costs to be capitalized under real estate acquisitions and less transaction costs to be expensed under business combinations. ASU 2017-01 is effective for interim and annual reporting periods beginning after December 15, 2017. Early application is permitted under certain conditions. Management is evaluating the impact of the guidance on the Company's consolidated financial statements.</w:t>
      </w:r>
    </w:p>
    <w:p>
      <w:pPr>
        <w:spacing w:after="0" w:line="145"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 of Cash Flows: Restricted Cash</w:t>
      </w:r>
      <w:r>
        <w:rPr>
          <w:rFonts w:ascii="Times New Roman" w:cs="Times New Roman" w:eastAsia="Times New Roman" w:hAnsi="Times New Roman"/>
          <w:sz w:val="18"/>
          <w:szCs w:val="18"/>
          <w:color w:val="auto"/>
        </w:rPr>
        <w:t xml:space="preserve"> ("ASU 2016-18") which requires that restricted cash be included with cash and cash equivalents when reconciling beginning and ending cash and cash equivalents on the statement of cash flows. In addition, ASU 2016-18 requires disclosure of what is included in restricted cash. ASU 2016-18 is effective for interim and annual reporting periods beginning after December 15, 2017. Early adoption is permitted. Management does not believe the guidance will have a material impact on the Company's consolidated financial statements.</w:t>
      </w:r>
    </w:p>
    <w:p>
      <w:pPr>
        <w:spacing w:after="0" w:line="139"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In August 2016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FASB issued ASU 2016-15, </w:t>
      </w:r>
      <w:r>
        <w:rPr>
          <w:rFonts w:ascii="Times New Roman" w:cs="Times New Roman" w:eastAsia="Times New Roman" w:hAnsi="Times New Roman"/>
          <w:sz w:val="18"/>
          <w:szCs w:val="18"/>
          <w:i w:val="1"/>
          <w:iCs w:val="1"/>
          <w:color w:val="auto"/>
        </w:rPr>
        <w:t>Statement of Cash Flows: Classification of Certain Cash Receipts and Cash Payments</w:t>
      </w:r>
      <w:r>
        <w:rPr>
          <w:rFonts w:ascii="Times New Roman" w:cs="Times New Roman" w:eastAsia="Times New Roman" w:hAnsi="Times New Roman"/>
          <w:sz w:val="18"/>
          <w:szCs w:val="18"/>
          <w:color w:val="auto"/>
        </w:rPr>
        <w:t xml:space="preserve"> ("ASU 2016-15") which was issued to reduce diversity in practice in how certain cash receipts and cash payments, including debt prepayment or debt extinguishment costs, distributions from equity method investees, and other separately identifiable cash flows, are presented and classified in the statement of cash flows. ASU 2016-15 is effective for interim and annual reporting periods beginning after December 15, 2017. Early adoption is permitted. Management does not believe the guidance will have a material impact on the Company's consolidated financial statements.</w:t>
      </w:r>
    </w:p>
    <w:p>
      <w:pPr>
        <w:spacing w:after="0" w:line="139" w:lineRule="exact"/>
        <w:rPr>
          <w:sz w:val="20"/>
          <w:szCs w:val="20"/>
          <w:color w:val="auto"/>
        </w:rPr>
      </w:pPr>
    </w:p>
    <w:p>
      <w:pPr>
        <w:jc w:val="both"/>
        <w:ind w:right="20" w:firstLine="405"/>
        <w:spacing w:after="0" w:line="267" w:lineRule="auto"/>
        <w:rPr>
          <w:sz w:val="20"/>
          <w:szCs w:val="20"/>
          <w:color w:val="auto"/>
        </w:rPr>
      </w:pPr>
      <w:r>
        <w:rPr>
          <w:rFonts w:ascii="Times New Roman" w:cs="Times New Roman" w:eastAsia="Times New Roman" w:hAnsi="Times New Roman"/>
          <w:sz w:val="18"/>
          <w:szCs w:val="18"/>
          <w:color w:val="auto"/>
        </w:rPr>
        <w:t>In June 2016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FASB issued ASU 2016-13, </w:t>
      </w:r>
      <w:r>
        <w:rPr>
          <w:rFonts w:ascii="Times New Roman" w:cs="Times New Roman" w:eastAsia="Times New Roman" w:hAnsi="Times New Roman"/>
          <w:sz w:val="18"/>
          <w:szCs w:val="18"/>
          <w:i w:val="1"/>
          <w:iCs w:val="1"/>
          <w:color w:val="auto"/>
        </w:rPr>
        <w:t>Financial Instruments—Credit Losses: Measurement of Credit Losses on Financial Instruments</w:t>
      </w:r>
      <w:r>
        <w:rPr>
          <w:rFonts w:ascii="Times New Roman" w:cs="Times New Roman" w:eastAsia="Times New Roman" w:hAnsi="Times New Roman"/>
          <w:sz w:val="18"/>
          <w:szCs w:val="18"/>
          <w:color w:val="auto"/>
        </w:rPr>
        <w:t xml:space="preserve"> ("ASU 2016-13") which was issued to provide financial statement users with more decision-useful information about the expected credit losses on financial instruments held by a reporting entity. This amendment replaces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incurred loss impairment methodology in current GAAP with a methodology that reflects expected credit losses and requires consideration of a broader range of reasonable and supportable information to inform credit loss estimates. The Company currently records a general reserve that covers performing loans and reserves for loan losses are recorded when (i) available information as of each balance sheet date indicates that it is probable a loss has occurred in the portfolio and (ii) the amount of the loss can be reasonably estimated. The formula-based general reserve is derived from estimated principal default probabilities and loss severities applied to groups of loans based upon risk ratings assigned to loans with similar risk characteristics during our quarterly loan portfolio assessment. The Company estimates loss rates based on historical realized losses experienced within its portfolio and take into account current economic conditions affecting the commercial real estate market when establishing appropriate time frames to evaluate loss experience. The Company believes this general reserve component of its total loan loss reserves should minimize the impact of ASU 2016-13. ASU 2016-13 is effective for interim and annual reporting periods beginning after December 15, 2019. Early adoption is permitted for interim and annual reporting periods beginning after December 15, 2018. Management does not believe the guidance will have a material impact on the Company's consolidated financial statements.</w:t>
      </w:r>
    </w:p>
    <w:p>
      <w:pPr>
        <w:spacing w:after="0" w:line="144" w:lineRule="exact"/>
        <w:rPr>
          <w:sz w:val="20"/>
          <w:szCs w:val="20"/>
          <w:color w:val="auto"/>
        </w:rPr>
      </w:pPr>
    </w:p>
    <w:p>
      <w:pPr>
        <w:jc w:val="both"/>
        <w:ind w:firstLine="392"/>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("ASU 2016-02"), which requires the recognition of lease assets and lease liabilities by lessees for those leases classified as operating leases. For operating leases, a lessee will be required to do the following: (i) recognize a right-of-use asset and a lease liability, initially measured at the present value of the lease payments, in the statement of financial position; (ii) recognize a single lease cost, calculated so that the cost of the lease is allocated over the lease term on a generally straight-line basis and (iii) classify all cash payments within operating activities in the statement of cash flows. For operating lease arrangements for which the Company is the lessee, primarily the lease of office space, the Company expects the impact of ASU 2016-02 to be the recognition of a right-of-use asset and lease liability on its consolidated balance sheets. The accounting applied by the Company as a lessor will be largely unchanged from that applied under previous GAAP. However, in certain instances, a new long-term lease of land subsequent to adoption could be classified as a sales-type lease, which could result in the Company derecognizing the underlying asset from its books and recording a profit or loss on sale and the net investment in the lease. ASU 2016-02 is effective for interim and annual reporting periods beginning after December 15, 2018. Early adoption is permitted. Management is evaluating the impact of the guidance on the Company's consolidated financial statements.</w:t>
      </w:r>
    </w:p>
    <w:p>
      <w:pPr>
        <w:spacing w:after="0" w:line="200" w:lineRule="exact"/>
        <w:rPr>
          <w:sz w:val="20"/>
          <w:szCs w:val="20"/>
          <w:color w:val="auto"/>
        </w:rPr>
      </w:pPr>
    </w:p>
    <w:p>
      <w:pPr>
        <w:spacing w:after="0" w:line="20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w:t>
      </w:r>
      <w:r>
        <w:rPr>
          <w:rFonts w:ascii="Times New Roman" w:cs="Times New Roman" w:eastAsia="Times New Roman" w:hAnsi="Times New Roman"/>
          <w:sz w:val="18"/>
          <w:szCs w:val="18"/>
          <w:i w:val="1"/>
          <w:iCs w:val="1"/>
          <w:color w:val="auto"/>
        </w:rPr>
        <w:t>Financial Instruments - Overall: Recognition and Measurement of Financial Assets and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("ASU 2016-01"), which addresses certain aspects of recognition, measurement, presentation and disclosure of financial instruments. ASU 2016-01 is effective for interim and annual reporting periods beginning after December 15, 2017. Early adoption is not permitted. Management is evaluating the impact of the guidance on the Company's consolidated financial statements.</w:t>
      </w:r>
    </w:p>
    <w:p>
      <w:pPr>
        <w:spacing w:after="0" w:line="140" w:lineRule="exact"/>
        <w:rPr>
          <w:sz w:val="20"/>
          <w:szCs w:val="20"/>
          <w:color w:val="auto"/>
        </w:rPr>
      </w:pPr>
    </w:p>
    <w:p>
      <w:pPr>
        <w:jc w:val="both"/>
        <w:ind w:firstLine="392"/>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which supersedes existing industry-specific guidance, including ASC 360-20, </w:t>
      </w:r>
      <w:r>
        <w:rPr>
          <w:rFonts w:ascii="Times New Roman" w:cs="Times New Roman" w:eastAsia="Times New Roman" w:hAnsi="Times New Roman"/>
          <w:sz w:val="18"/>
          <w:szCs w:val="18"/>
          <w:i w:val="1"/>
          <w:iCs w:val="1"/>
          <w:color w:val="auto"/>
        </w:rPr>
        <w:t>Real Estate Sales</w:t>
      </w:r>
      <w:r>
        <w:rPr>
          <w:rFonts w:ascii="Times New Roman" w:cs="Times New Roman" w:eastAsia="Times New Roman" w:hAnsi="Times New Roman"/>
          <w:sz w:val="18"/>
          <w:szCs w:val="18"/>
          <w:color w:val="auto"/>
        </w:rPr>
        <w:t xml:space="preserve">. The new standard is principles-based and requires more estimates and judgment than current guidance. Certain contracts with customers, including lease contracts and financial instruments and other contractual rights, are not within the scope of the new guidance. Although most of the Company's revenue is operating lease income generated from lease contracts and interest income generated from financial instruments, certain other of the Company's revenue streams will be impacted by the new guidance. The Company currently expects that income from the sale of residential condominiums, land development revenue and other income will be impacted by ASU 2014-09. The Company does not expect income from the sales of net lease or commercial operating properties to be impacted by ASU 2014-09. In August 2015, the FASB issued ASU 2015-14,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 - Deferral of the Effective Date</w:t>
      </w:r>
      <w:r>
        <w:rPr>
          <w:rFonts w:ascii="Times New Roman" w:cs="Times New Roman" w:eastAsia="Times New Roman" w:hAnsi="Times New Roman"/>
          <w:sz w:val="18"/>
          <w:szCs w:val="18"/>
          <w:color w:val="auto"/>
        </w:rPr>
        <w:t>, to defer the effective date of ASU 2014-09 by one year. ASU 2014-09 is now effective for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annual reporting periods beginning after December 15, 2017. Early adoption is permitted beginning January 1, 2017. Management is evaluating the impact of the guidance on the Company’s consolidated financial statements and expects to adopt the full retrospective approach, which would require the Company to recast revenue and expenses for all prior periods presented in the year of adoption of the new standard.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4—Real Estate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real estate assets were comprised of the following ($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80"/>
              <w:spacing w:after="0" w:line="278" w:lineRule="exact"/>
              <w:rPr>
                <w:sz w:val="20"/>
                <w:szCs w:val="20"/>
                <w:color w:val="auto"/>
              </w:rPr>
            </w:pPr>
            <w:r>
              <w:rPr>
                <w:rFonts w:ascii="Times New Roman" w:cs="Times New Roman" w:eastAsia="Times New Roman" w:hAnsi="Times New Roman"/>
                <w:sz w:val="18"/>
                <w:szCs w:val="18"/>
                <w:b w:val="1"/>
                <w:bCs w:val="1"/>
                <w:color w:val="auto"/>
              </w:rPr>
              <w:t>Net Lease</w:t>
            </w:r>
            <w:r>
              <w:rPr>
                <w:rFonts w:ascii="Times New Roman" w:cs="Times New Roman" w:eastAsia="Times New Roman" w:hAnsi="Times New Roman"/>
                <w:sz w:val="25"/>
                <w:szCs w:val="25"/>
                <w:b w:val="1"/>
                <w:bCs w:val="1"/>
                <w:color w:val="auto"/>
                <w:vertAlign w:val="superscript"/>
              </w:rPr>
              <w:t>(1)</w:t>
            </w:r>
          </w:p>
        </w:tc>
        <w:tc>
          <w:tcPr>
            <w:tcW w:w="22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4"/>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June 30, 2017</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 at cost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227,231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211,057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438,288</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 and improvements, at cost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950,548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322,079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1,272,627</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(367,933)</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863,406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479,576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1,342,982</w:t>
            </w:r>
          </w:p>
        </w:tc>
        <w:tc>
          <w:tcPr>
            <w:tcW w:w="0" w:type="dxa"/>
            <w:vAlign w:val="bottom"/>
          </w:tcPr>
          <w:p>
            <w:pPr>
              <w:spacing w:after="0"/>
              <w:rPr>
                <w:sz w:val="1"/>
                <w:szCs w:val="1"/>
                <w:color w:val="auto"/>
              </w:rPr>
            </w:pPr>
          </w:p>
        </w:tc>
      </w:tr>
      <w:tr>
        <w:trPr>
          <w:trHeight w:val="270"/>
        </w:trPr>
        <w:tc>
          <w:tcPr>
            <w:tcW w:w="396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Real estate available and held for sale </w:t>
            </w:r>
            <w:r>
              <w:rPr>
                <w:rFonts w:ascii="Times New Roman" w:cs="Times New Roman" w:eastAsia="Times New Roman" w:hAnsi="Times New Roman"/>
                <w:sz w:val="25"/>
                <w:szCs w:val="25"/>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67,121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68,045</w:t>
            </w:r>
          </w:p>
        </w:tc>
        <w:tc>
          <w:tcPr>
            <w:tcW w:w="0" w:type="dxa"/>
            <w:vAlign w:val="bottom"/>
          </w:tcPr>
          <w:p>
            <w:pPr>
              <w:spacing w:after="0"/>
              <w:rPr>
                <w:sz w:val="1"/>
                <w:szCs w:val="1"/>
                <w:color w:val="auto"/>
              </w:rPr>
            </w:pPr>
          </w:p>
        </w:tc>
      </w:tr>
      <w:tr>
        <w:trPr>
          <w:trHeight w:val="257"/>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real estate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864,330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546,697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1,411,027</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at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231,506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211,054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442,560</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 at cost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987,050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311,283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1,298,333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(353,619)</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net</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911,112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476,162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1,387,274</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Real estate available and held for sale </w:t>
            </w:r>
            <w:r>
              <w:rPr>
                <w:rFonts w:ascii="Times New Roman" w:cs="Times New Roman" w:eastAsia="Times New Roman" w:hAnsi="Times New Roman"/>
                <w:sz w:val="25"/>
                <w:szCs w:val="25"/>
                <w:color w:val="auto"/>
                <w:vertAlign w:val="superscript"/>
              </w:rPr>
              <w:t>(2)</w:t>
            </w: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155,051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82,480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237,531</w:t>
            </w:r>
          </w:p>
        </w:tc>
        <w:tc>
          <w:tcPr>
            <w:tcW w:w="0" w:type="dxa"/>
            <w:vAlign w:val="bottom"/>
          </w:tcPr>
          <w:p>
            <w:pPr>
              <w:spacing w:after="0"/>
              <w:rPr>
                <w:sz w:val="1"/>
                <w:szCs w:val="1"/>
                <w:color w:val="auto"/>
              </w:rPr>
            </w:pPr>
          </w:p>
        </w:tc>
      </w:tr>
      <w:tr>
        <w:trPr>
          <w:trHeight w:val="250"/>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real estate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1,066,163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558,642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1,624,805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8890</wp:posOffset>
            </wp:positionV>
            <wp:extent cx="2992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-95885</wp:posOffset>
            </wp:positionV>
            <wp:extent cx="2992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jc w:val="both"/>
        <w:ind w:left="500" w:hanging="492"/>
        <w:spacing w:after="0" w:line="241"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2014, the Company partnered with a sovereign wealth fund to form a venture to acquire and develop net lease assets (the "Net Lease Venture") and gave a right of first refusal to the Net Lease Venture on all new net lease investments (refer to Note 7 for more information on the Net Lease Venture). The Company is responsible for sourcing new opportunities and managing the Net Lease Venture and its assets in exchange for a promote and management fee.</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46"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2016, net lease includes the Company's ground lease ("GL") assets that were reclassified to "Real estate available and held for sale" (refer to "Dispositions" below). As of December 31, 2016, the carrying value of the Company's GL assets were previously classified as $104.5 million in "Real estate, net," $37.5 million in "Deferred expenses and other assets, net," $8.2 million in "Deferred operating lease income receivable, net" and $3.5 million in "Accrued interest and operating lease income receivable, net" on the Company's consolidated balance sheet. As of June 30, 2017 and December 31, 2016, the Company had $67.1 million and $82.5 million, respectively, of residential properties available for sale in its operating properties portfolio.</w:t>
      </w:r>
    </w:p>
    <w:p>
      <w:pPr>
        <w:spacing w:after="0" w:line="351"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Real Estate Available and Held for Sale—</w:t>
      </w:r>
      <w:r>
        <w:rPr>
          <w:rFonts w:ascii="Times New Roman" w:cs="Times New Roman" w:eastAsia="Times New Roman" w:hAnsi="Times New Roman"/>
          <w:sz w:val="18"/>
          <w:szCs w:val="18"/>
          <w:color w:val="auto"/>
        </w:rPr>
        <w:t>During the six months ended June 30, 2017, the Company transferred one net lease asset with a carrying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$0.9 million to held for sale due to an executed contract with a third party. During the six months ended June 30, 2016, the Company transferred one net lease asset with a carrying value of $0.7 million and one commercial operating property with a carrying value of $16.1 million to held for sale due to executed contracts with a third parties.</w:t>
      </w:r>
    </w:p>
    <w:p>
      <w:pPr>
        <w:spacing w:after="0" w:line="177"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Acquisitions—</w:t>
      </w:r>
      <w:r>
        <w:rPr>
          <w:rFonts w:ascii="Times New Roman" w:cs="Times New Roman" w:eastAsia="Times New Roman" w:hAnsi="Times New Roman"/>
          <w:sz w:val="18"/>
          <w:szCs w:val="18"/>
          <w:color w:val="auto"/>
        </w:rPr>
        <w:t>During the six months ended June 30, 2016, the Company acquired land for $3.9 million and simultaneously entered into a 99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ground lease with the seller.</w:t>
      </w:r>
    </w:p>
    <w:p>
      <w:pPr>
        <w:spacing w:after="0" w:line="114"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Disposition of Ground Lease Business—</w:t>
      </w:r>
      <w:r>
        <w:rPr>
          <w:rFonts w:ascii="Times New Roman" w:cs="Times New Roman" w:eastAsia="Times New Roman" w:hAnsi="Times New Roman"/>
          <w:sz w:val="18"/>
          <w:szCs w:val="18"/>
          <w:color w:val="auto"/>
        </w:rPr>
        <w:t>In April 2017, institutional investors acquired a controlling interest in the Company's GL business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merger of a Company subsidiary and related transactions (the "Acquisition Transactions"). The Company's GL business was a component of the Company's net lease segment and consisted of 12 properties subject to long-term net leases including seven GLs and one master lease (covering five properties). The acquiring entity was a newly formed unconsolidated entity named Safety, Income and Growth, Inc. ("SAFE"). The carrying value of the Company's GL assets was approximately $161.1 million. Shortly before the Acquisition Transactions, the Company completed the $227.0 million 2017 Secured Financing on its GL assets (refer to Note 10). The Company received all of the proceeds of the 2017 Secured Financing. The Company received an additional $113.0 million of proceeds in the Acquisition Transactions, including $55.5 million that the Company contributed to SAFE in its initial capitalization. As a result of the Acquisition Transactions, the Company deconsolidated the 12 properties and the associated 2017 Secured Financing. The Company accounts for its investment in SAFE as an equity method investment (refer to Note 7). The Company accounted for this transaction as an in substance sale of real estate and recognized a gain of $123.4 million, reflecting the aggregate gain less the fair value of the Company's retained interest in SAFE (refer to Note 2 - Summary of Significant Accounting Policies). The carrying value of the 12 properties is classified in "Real estate available and held for sale" on the Company's consolidated balance sheet as of December 31, 2016 and the gain was recorded in "Gain from discontinued operations" in the Company's consolidated statements of operations.</w:t>
      </w:r>
    </w:p>
    <w:p>
      <w:pPr>
        <w:sectPr>
          <w:pgSz w:w="11900" w:h="16838" w:orient="portrait"/>
          <w:cols w:equalWidth="0" w:num="1">
            <w:col w:w="11420"/>
          </w:cols>
          <w:pgMar w:left="240" w:top="118" w:right="2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32"/>
        <w:spacing w:after="0" w:line="288" w:lineRule="auto"/>
        <w:rPr>
          <w:sz w:val="20"/>
          <w:szCs w:val="20"/>
          <w:color w:val="auto"/>
        </w:rPr>
      </w:pPr>
      <w:r>
        <w:rPr>
          <w:rFonts w:ascii="Times New Roman" w:cs="Times New Roman" w:eastAsia="Times New Roman" w:hAnsi="Times New Roman"/>
          <w:sz w:val="18"/>
          <w:szCs w:val="18"/>
          <w:b w:val="1"/>
          <w:bCs w:val="1"/>
          <w:color w:val="auto"/>
        </w:rPr>
        <w:t>Discontinued Operations—</w:t>
      </w:r>
      <w:r>
        <w:rPr>
          <w:rFonts w:ascii="Times New Roman" w:cs="Times New Roman" w:eastAsia="Times New Roman" w:hAnsi="Times New Roman"/>
          <w:sz w:val="18"/>
          <w:szCs w:val="18"/>
          <w:color w:val="auto"/>
        </w:rPr>
        <w:t>The transactions described above involving the Company's GL business qualified for discontinued operations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table summarizes income from discontinued operations for the three and six months ended June 30, 2017 and 2016 ($ in thousands)</w:t>
      </w:r>
      <w:r>
        <w:rPr>
          <w:rFonts w:ascii="Times New Roman" w:cs="Times New Roman" w:eastAsia="Times New Roman" w:hAnsi="Times New Roman"/>
          <w:sz w:val="25"/>
          <w:szCs w:val="25"/>
          <w:color w:val="auto"/>
          <w:vertAlign w:val="superscript"/>
        </w:rPr>
        <w:t>(1)(2)</w:t>
      </w:r>
      <w:r>
        <w:rPr>
          <w:rFonts w:ascii="Times New Roman" w:cs="Times New Roman" w:eastAsia="Times New Roman" w:hAnsi="Times New Roman"/>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98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Three Months Ended June</w:t>
            </w:r>
          </w:p>
        </w:tc>
        <w:tc>
          <w:tcPr>
            <w:tcW w:w="262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June</w:t>
            </w:r>
          </w:p>
        </w:tc>
      </w:tr>
      <w:tr>
        <w:trPr>
          <w:trHeight w:val="238"/>
        </w:trPr>
        <w:tc>
          <w:tcPr>
            <w:tcW w:w="3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36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4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8,986</w:t>
            </w:r>
          </w:p>
        </w:tc>
      </w:tr>
      <w:tr>
        <w:trPr>
          <w:trHeight w:val="243"/>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92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r>
      <w:tr>
        <w:trPr>
          <w:trHeight w:val="27"/>
        </w:trPr>
        <w:tc>
          <w:tcPr>
            <w:tcW w:w="36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4,939</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7,214</w:t>
            </w: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-95885</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500" w:hanging="492"/>
        <w:spacing w:after="0" w:line="241" w:lineRule="auto"/>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transactions closed on April 14, 2017 and revenues, expenses and income from discontinued operations excludes the period from April 14, 2017 to June 30, 2017. Revenues primarily consisted of operating lease income and expenses primarily consisted of depreciation and amortization and real estate expense.</w:t>
      </w:r>
    </w:p>
    <w:p>
      <w:pPr>
        <w:jc w:val="both"/>
        <w:ind w:left="500" w:hanging="492"/>
        <w:spacing w:after="0" w:line="250" w:lineRule="auto"/>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six months ended June 30, 2017, cash flows provided by operating activities and cash flows used in investing activities from discontinued operations was $5.7 million and $0.5 million, respectively. For the six months ended June 30, 2016, cash flows provided by operating activities and cash flows used in investing activities from discontinued operations was $9.4 million and $4.6 million, respectively.</w:t>
      </w:r>
    </w:p>
    <w:p>
      <w:pPr>
        <w:spacing w:after="0" w:line="13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Other Dispositions—</w:t>
      </w:r>
      <w:r>
        <w:rPr>
          <w:rFonts w:ascii="Times New Roman" w:cs="Times New Roman" w:eastAsia="Times New Roman" w:hAnsi="Times New Roman"/>
          <w:sz w:val="18"/>
          <w:szCs w:val="18"/>
          <w:color w:val="auto"/>
        </w:rPr>
        <w:t>During the six months ended June 30, 2017 and 2016, the Company sold residential condominiums for total net proceeds of $17.6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and $59.2 million, respectively, and recorded income from sales of real estate totaling $2.7 million and $18.8 million, respectively. During the six months ended June 30, 2017 and 2016, the Company sold net lease assets for net proceeds of $19.5 million and $30.2 million, respectively, resulting in gains of $6.2 million and $9.2 million, respectively. During the six months ended June 30, 2016, the Company also sold three commercial operating properties for net proceeds of $158.9 million resulting in gains of $25.9 million. The gains are recorded in "Income from sales of real estate" in the Company's consolidated statements of operations.</w:t>
      </w:r>
    </w:p>
    <w:p>
      <w:pPr>
        <w:spacing w:after="0" w:line="142"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Impairments—</w:t>
      </w:r>
      <w:r>
        <w:rPr>
          <w:rFonts w:ascii="Times New Roman" w:cs="Times New Roman" w:eastAsia="Times New Roman" w:hAnsi="Times New Roman"/>
          <w:sz w:val="18"/>
          <w:szCs w:val="18"/>
          <w:color w:val="auto"/>
        </w:rPr>
        <w:t>During the six months ended June 30, 2017, the Company recorded an impairment of $4.4 million on a real estate asset held for sale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shifting demand in the local condominium market along with a change in the Company's exit strategy. During the six months ended June 30, 2016, the Company recorded an impairment of $3.0 million on a residential operating property resulting from a slowdown in the local condominium real estate market.</w:t>
      </w:r>
    </w:p>
    <w:p>
      <w:pPr>
        <w:spacing w:after="0" w:line="171"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Tenant Reimbursements—</w:t>
      </w:r>
      <w:r>
        <w:rPr>
          <w:rFonts w:ascii="Times New Roman" w:cs="Times New Roman" w:eastAsia="Times New Roman" w:hAnsi="Times New Roman"/>
          <w:sz w:val="18"/>
          <w:szCs w:val="18"/>
          <w:color w:val="auto"/>
        </w:rPr>
        <w:t>The Company receives reimbursements from tenants for certain facility operating expenses including common area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utilities and real estate taxes. Tenant expense reimbursements were $5.2 million and $10.7 million for the three and six months ended June 30, 2017, respectively. Tenant expense reimbursements were $5.9 million and $12.1 million for the three and six months ended June 30, 2016, respectively. These amounts are included in "Operating lease income" in the Company's consolidated statements of operations.</w:t>
      </w:r>
    </w:p>
    <w:p>
      <w:pPr>
        <w:spacing w:after="0" w:line="177"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Allowance for Doubtful Accounts—</w:t>
      </w:r>
      <w:r>
        <w:rPr>
          <w:rFonts w:ascii="Times New Roman" w:cs="Times New Roman" w:eastAsia="Times New Roman" w:hAnsi="Times New Roman"/>
          <w:sz w:val="18"/>
          <w:szCs w:val="18"/>
          <w:color w:val="auto"/>
        </w:rPr>
        <w:t>As of June 30, 2017 and December 31, 2016, the allowance for doubtful accounts related to real estate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receivables was $1.4 million and $1.3 million, respectively, and the allowance for doubtful accounts related to deferred operating lease income was $1.1 million and $1.3 million as of June 30, 2017 and December 31, 2016, respectively. These amounts are included in "Accrued interest and operating lease income receivable, net" and "Deferred operating lease income receivable, net," respectively, on the Company's consolidated balance sheets.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5—Land and Development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land and development assets were comprised of the following ($ in thousands):</w:t>
      </w:r>
    </w:p>
    <w:p>
      <w:pPr>
        <w:spacing w:after="0" w:line="221" w:lineRule="exact"/>
        <w:rPr>
          <w:sz w:val="20"/>
          <w:szCs w:val="20"/>
          <w:color w:val="auto"/>
        </w:rPr>
      </w:pPr>
    </w:p>
    <w:tbl>
      <w:tblPr>
        <w:tblLayout w:type="fixed"/>
        <w:tblInd w:w="158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3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land development, at cost</w:t>
            </w:r>
          </w:p>
        </w:tc>
        <w:tc>
          <w:tcPr>
            <w:tcW w:w="1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862,774</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952,051</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(7,277)</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land and development, net</w:t>
            </w: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855,497</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945,565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color w:val="auto"/>
        </w:rPr>
        <w:t>Dispositions—</w:t>
      </w:r>
      <w:r>
        <w:rPr>
          <w:rFonts w:ascii="Times New Roman" w:cs="Times New Roman" w:eastAsia="Times New Roman" w:hAnsi="Times New Roman"/>
          <w:sz w:val="18"/>
          <w:szCs w:val="18"/>
          <w:color w:val="auto"/>
        </w:rPr>
        <w:t>During the six months ended June 30, 2017, the Company sold one land parcel totaling 1,250 acres (see following paragraph)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residential lots and units and recognized land development revenue of $152.8 million from its land and development portfolio. During the six months ended June 30, 2016, the Company sold residential lots and units and recognized land development revenue of $42.8 million from its land and development portfolio. During the six months ended June 30, 2017 and 2016, the Company recognized land development cost of sales of $138.4 million and $28.8 million, respectively, from its land and development portfolio.</w:t>
      </w:r>
    </w:p>
    <w:p>
      <w:pPr>
        <w:spacing w:after="0" w:line="18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resolution of litigation involving a dispute over the purchase and sale of approximately 1,250 acres of land in Prince George’s County, Maryland ("Bevard"), during the three and six months ended June 30, 2017, the Company recognized $114.0 million of land development revenue and $106.3 million of land development cost of sales (refer to Note 11). In 2016, the Company acquired an additional 10.7% interest in Bevard for $10.8 million and owns 95.7% of Bevard as of June 30, 2017.</w:t>
      </w:r>
    </w:p>
    <w:p>
      <w:pPr>
        <w:spacing w:after="0" w:line="176"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Impairments—</w:t>
      </w:r>
      <w:r>
        <w:rPr>
          <w:rFonts w:ascii="Times New Roman" w:cs="Times New Roman" w:eastAsia="Times New Roman" w:hAnsi="Times New Roman"/>
          <w:sz w:val="18"/>
          <w:szCs w:val="18"/>
          <w:color w:val="auto"/>
        </w:rPr>
        <w:t>During the six months ended June 30, 2017, the Company recorded an impairment of $10.1 million on a land and development asset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a change in the Company's exit strategy.</w:t>
      </w:r>
    </w:p>
    <w:p>
      <w:pPr>
        <w:spacing w:after="0" w:line="155"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Redeemable Noncontrolling Interest—</w:t>
      </w:r>
      <w:r>
        <w:rPr>
          <w:rFonts w:ascii="Times New Roman" w:cs="Times New Roman" w:eastAsia="Times New Roman" w:hAnsi="Times New Roman"/>
          <w:sz w:val="18"/>
          <w:szCs w:val="18"/>
          <w:color w:val="auto"/>
        </w:rPr>
        <w:t>The Company has a majority interest in a strategic venture that provides the third party minority partner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to redeem its interest at fair value. The Company has reflected the partner's noncontrolling interest in this venture as a component of redeemable noncontrolling interest within its consolidated balance sheets. Changes in fair value are being accreted over the term from the date of issuance of the redemption option to the earliest redemption date using the interest method. As of June 30, 2017 and December 31, 2016, this interest had a carrying value of zero and $1.3 million, respectively. As of June 30, 2017 and December 31, 2016, this interest did not have a redemption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6—Loans Receivable and Other Lending Investments, net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the Company's loans receivable and other lending investments by class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4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4"/>
        </w:trPr>
        <w:tc>
          <w:tcPr>
            <w:tcW w:w="6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Pr>
          <w:p>
            <w:pPr>
              <w:spacing w:after="0"/>
              <w:rPr>
                <w:sz w:val="18"/>
                <w:szCs w:val="18"/>
                <w:color w:val="auto"/>
              </w:rPr>
            </w:pP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Type of Investment</w:t>
            </w:r>
          </w:p>
        </w:tc>
        <w:tc>
          <w:tcPr>
            <w:tcW w:w="360" w:type="dxa"/>
            <w:vAlign w:val="bottom"/>
          </w:tcPr>
          <w:p>
            <w:pPr>
              <w:spacing w:after="0"/>
              <w:rPr>
                <w:sz w:val="20"/>
                <w:szCs w:val="20"/>
                <w:color w:val="auto"/>
              </w:rPr>
            </w:pPr>
          </w:p>
        </w:tc>
        <w:tc>
          <w:tcPr>
            <w:tcW w:w="15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mortgages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940,738</w:t>
            </w:r>
          </w:p>
        </w:tc>
      </w:tr>
      <w:tr>
        <w:trPr>
          <w:trHeight w:val="243"/>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Corporate/Partnership loans</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490,389</w:t>
            </w:r>
          </w:p>
        </w:tc>
      </w:tr>
      <w:tr>
        <w:trPr>
          <w:trHeight w:val="27"/>
        </w:trPr>
        <w:tc>
          <w:tcPr>
            <w:tcW w:w="6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Subordinate mortgages</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24,941</w:t>
            </w:r>
          </w:p>
        </w:tc>
      </w:tr>
      <w:tr>
        <w:trPr>
          <w:trHeight w:val="237"/>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gross carrying value of loans</w:t>
            </w:r>
          </w:p>
        </w:tc>
        <w:tc>
          <w:tcPr>
            <w:tcW w:w="3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1,163,765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1,456,068</w:t>
            </w:r>
          </w:p>
        </w:tc>
      </w:tr>
      <w:tr>
        <w:trPr>
          <w:trHeight w:val="27"/>
        </w:trPr>
        <w:tc>
          <w:tcPr>
            <w:tcW w:w="6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Reserves for loan losses</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(85,545)</w:t>
            </w:r>
          </w:p>
        </w:tc>
      </w:tr>
      <w:tr>
        <w:trPr>
          <w:trHeight w:val="237"/>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loans receivable, net</w:t>
            </w:r>
          </w:p>
        </w:tc>
        <w:tc>
          <w:tcPr>
            <w:tcW w:w="3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1,084,976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1,370,523</w:t>
            </w:r>
          </w:p>
        </w:tc>
      </w:tr>
      <w:tr>
        <w:trPr>
          <w:trHeight w:val="27"/>
        </w:trPr>
        <w:tc>
          <w:tcPr>
            <w:tcW w:w="6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lending investments—securities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79,916</w:t>
            </w:r>
          </w:p>
        </w:tc>
      </w:tr>
      <w:tr>
        <w:trPr>
          <w:trHeight w:val="257"/>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loans receivable and other lending investments,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1,170,565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1,450,439</w:t>
            </w:r>
          </w:p>
        </w:tc>
      </w:tr>
      <w:tr>
        <w:trPr>
          <w:trHeight w:val="20"/>
        </w:trPr>
        <w:tc>
          <w:tcPr>
            <w:tcW w:w="6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Reserve for Loan Losses</w:t>
      </w:r>
      <w:r>
        <w:rPr>
          <w:rFonts w:ascii="Times New Roman" w:cs="Times New Roman" w:eastAsia="Times New Roman" w:hAnsi="Times New Roman"/>
          <w:sz w:val="18"/>
          <w:szCs w:val="18"/>
          <w:color w:val="auto"/>
        </w:rPr>
        <w:t>—Changes in the Company's reserve for loan losses were as follows ($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338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120" w:type="dxa"/>
            <w:vAlign w:val="bottom"/>
          </w:tcPr>
          <w:p>
            <w:pPr>
              <w:spacing w:after="0"/>
              <w:rPr>
                <w:sz w:val="20"/>
                <w:szCs w:val="20"/>
                <w:color w:val="auto"/>
              </w:rPr>
            </w:pPr>
          </w:p>
        </w:tc>
        <w:tc>
          <w:tcPr>
            <w:tcW w:w="28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June 30,</w:t>
            </w:r>
          </w:p>
        </w:tc>
      </w:tr>
      <w:tr>
        <w:trPr>
          <w:trHeight w:val="27"/>
        </w:trPr>
        <w:tc>
          <w:tcPr>
            <w:tcW w:w="45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45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Reserve for loan losses at beginning of period</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79,389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109,671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85,545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108,165</w:t>
            </w:r>
          </w:p>
        </w:tc>
      </w:tr>
      <w:tr>
        <w:trPr>
          <w:trHeight w:val="243"/>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(Recovery of) provision for loan losses</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2,206</w:t>
            </w:r>
          </w:p>
        </w:tc>
      </w:tr>
      <w:tr>
        <w:trPr>
          <w:trHeight w:val="27"/>
        </w:trPr>
        <w:tc>
          <w:tcPr>
            <w:tcW w:w="4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Reserve for loan losses at end of period</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78,789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110,371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78,789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110,371</w:t>
            </w:r>
          </w:p>
        </w:tc>
      </w:tr>
      <w:tr>
        <w:trPr>
          <w:trHeight w:val="20"/>
        </w:trPr>
        <w:tc>
          <w:tcPr>
            <w:tcW w:w="45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46"/>
        </w:trPr>
        <w:tc>
          <w:tcPr>
            <w:tcW w:w="4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Company's recorded investment in loans (comprised of a loan's carrying value plus accrued interest) and the associated reserve for loan losses were as follows ($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Individually</w:t>
            </w: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Collectively</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Evaluated for</w:t>
            </w: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Evaluated for</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5"/>
        </w:trPr>
        <w:tc>
          <w:tcPr>
            <w:tcW w:w="4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gridSpan w:val="2"/>
          </w:tcPr>
          <w:p>
            <w:pPr>
              <w:jc w:val="center"/>
              <w:ind w:right="280"/>
              <w:spacing w:after="0" w:line="265" w:lineRule="exact"/>
              <w:rPr>
                <w:sz w:val="20"/>
                <w:szCs w:val="20"/>
                <w:color w:val="auto"/>
              </w:rPr>
            </w:pPr>
            <w:r>
              <w:rPr>
                <w:rFonts w:ascii="Times New Roman" w:cs="Times New Roman" w:eastAsia="Times New Roman" w:hAnsi="Times New Roman"/>
                <w:sz w:val="18"/>
                <w:szCs w:val="18"/>
                <w:b w:val="1"/>
                <w:bCs w:val="1"/>
                <w:color w:val="auto"/>
                <w:w w:val="96"/>
              </w:rPr>
              <w:t>Impairment</w:t>
            </w:r>
            <w:r>
              <w:rPr>
                <w:rFonts w:ascii="Times New Roman" w:cs="Times New Roman" w:eastAsia="Times New Roman" w:hAnsi="Times New Roman"/>
                <w:sz w:val="25"/>
                <w:szCs w:val="25"/>
                <w:b w:val="1"/>
                <w:bCs w:val="1"/>
                <w:color w:val="auto"/>
                <w:w w:val="96"/>
                <w:vertAlign w:val="superscript"/>
              </w:rPr>
              <w:t>(1)</w:t>
            </w:r>
          </w:p>
        </w:tc>
        <w:tc>
          <w:tcPr>
            <w:tcW w:w="180" w:type="dxa"/>
            <w:vAlign w:val="bottom"/>
          </w:tcPr>
          <w:p>
            <w:pPr>
              <w:spacing w:after="0"/>
              <w:rPr>
                <w:sz w:val="23"/>
                <w:szCs w:val="23"/>
                <w:color w:val="auto"/>
              </w:rPr>
            </w:pPr>
          </w:p>
        </w:tc>
        <w:tc>
          <w:tcPr>
            <w:tcW w:w="1520" w:type="dxa"/>
            <w:vAlign w:val="bottom"/>
            <w:gridSpan w:val="2"/>
          </w:tcPr>
          <w:p>
            <w:pPr>
              <w:jc w:val="center"/>
              <w:ind w:right="280"/>
              <w:spacing w:after="0" w:line="265" w:lineRule="exact"/>
              <w:rPr>
                <w:sz w:val="20"/>
                <w:szCs w:val="20"/>
                <w:color w:val="auto"/>
              </w:rPr>
            </w:pPr>
            <w:r>
              <w:rPr>
                <w:rFonts w:ascii="Times New Roman" w:cs="Times New Roman" w:eastAsia="Times New Roman" w:hAnsi="Times New Roman"/>
                <w:sz w:val="18"/>
                <w:szCs w:val="18"/>
                <w:b w:val="1"/>
                <w:bCs w:val="1"/>
                <w:color w:val="auto"/>
                <w:w w:val="96"/>
              </w:rPr>
              <w:t>Impairment</w:t>
            </w:r>
            <w:r>
              <w:rPr>
                <w:rFonts w:ascii="Times New Roman" w:cs="Times New Roman" w:eastAsia="Times New Roman" w:hAnsi="Times New Roman"/>
                <w:sz w:val="25"/>
                <w:szCs w:val="25"/>
                <w:b w:val="1"/>
                <w:bCs w:val="1"/>
                <w:color w:val="auto"/>
                <w:w w:val="96"/>
                <w:vertAlign w:val="superscript"/>
              </w:rPr>
              <w:t>(2)</w:t>
            </w:r>
          </w:p>
        </w:tc>
        <w:tc>
          <w:tcPr>
            <w:tcW w:w="360" w:type="dxa"/>
            <w:vAlign w:val="bottom"/>
          </w:tcPr>
          <w:p>
            <w:pPr>
              <w:spacing w:after="0"/>
              <w:rPr>
                <w:sz w:val="23"/>
                <w:szCs w:val="23"/>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4"/>
        </w:trPr>
        <w:tc>
          <w:tcPr>
            <w:tcW w:w="4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June 30, 2017</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249,659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919,793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1,169,452</w:t>
            </w: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Reserve for loan losses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(78,789)</w:t>
            </w:r>
          </w:p>
        </w:tc>
      </w:tr>
      <w:tr>
        <w:trPr>
          <w:trHeight w:val="304"/>
        </w:trPr>
        <w:tc>
          <w:tcPr>
            <w:tcW w:w="4280" w:type="dxa"/>
            <w:vAlign w:val="bottom"/>
            <w:tcBorders>
              <w:bottom w:val="single" w:sz="8" w:color="CCEEFF"/>
            </w:tcBorders>
          </w:tcPr>
          <w:p>
            <w:pPr>
              <w:ind w:left="180"/>
              <w:spacing w:after="0" w:line="264"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5"/>
                <w:szCs w:val="25"/>
                <w:color w:val="auto"/>
                <w:vertAlign w:val="superscript"/>
              </w:rPr>
              <w:t>(3)</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188,670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901,993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1,090,663</w:t>
            </w:r>
          </w:p>
        </w:tc>
      </w:tr>
      <w:tr>
        <w:trPr>
          <w:trHeight w:val="231"/>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253,941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1,209,062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1,463,003</w:t>
            </w: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Reserve for loan losses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(85,545)</w:t>
            </w:r>
          </w:p>
        </w:tc>
      </w:tr>
      <w:tr>
        <w:trPr>
          <w:trHeight w:val="297"/>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5"/>
                <w:szCs w:val="25"/>
                <w:color w:val="auto"/>
                <w:vertAlign w:val="superscript"/>
              </w:rPr>
              <w:t>(3)</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191,696</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1,185,762</w:t>
            </w:r>
          </w:p>
        </w:tc>
        <w:tc>
          <w:tcPr>
            <w:tcW w:w="100" w:type="dxa"/>
            <w:vAlign w:val="bottom"/>
          </w:tcPr>
          <w:p>
            <w:pPr>
              <w:spacing w:after="0"/>
              <w:rPr>
                <w:sz w:val="24"/>
                <w:szCs w:val="24"/>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1,377,458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-20955</wp:posOffset>
            </wp:positionV>
            <wp:extent cx="317309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73095" cy="260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 w:lineRule="exact"/>
        <w:rPr>
          <w:sz w:val="20"/>
          <w:szCs w:val="20"/>
          <w:color w:val="auto"/>
        </w:rPr>
      </w:pPr>
    </w:p>
    <w:p>
      <w:pPr>
        <w:jc w:val="both"/>
        <w:ind w:left="500" w:hanging="492"/>
        <w:spacing w:after="0" w:line="241" w:lineRule="auto"/>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of these loans include unamortized discounts, premiums, deferred fees and costs totaling net discounts of $0.7 million and $0.4 million as of June 30, 2017 and December 31, 2016, respectively. The Company's loans individually evaluated for impairment primarily represent loans on non-accrual status and therefore, the unamortized amounts associated with these loans are not currently being amortized into income.</w:t>
      </w:r>
    </w:p>
    <w:p>
      <w:pPr>
        <w:spacing w:after="0" w:line="1" w:lineRule="exact"/>
        <w:rPr>
          <w:rFonts w:ascii="Times New Roman" w:cs="Times New Roman" w:eastAsia="Times New Roman" w:hAnsi="Times New Roman"/>
          <w:sz w:val="14"/>
          <w:szCs w:val="14"/>
          <w:color w:val="auto"/>
        </w:rPr>
      </w:pPr>
    </w:p>
    <w:p>
      <w:pPr>
        <w:ind w:left="500" w:hanging="492"/>
        <w:spacing w:after="0" w:line="241" w:lineRule="auto"/>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of these loans include unamortized discounts, premiums, deferred fees and costs totaling net premiums of $4.5 million and $1.9 million as of June 30, 2017 and December 31, 2016, respectively.</w:t>
      </w:r>
    </w:p>
    <w:p>
      <w:pPr>
        <w:jc w:val="both"/>
        <w:ind w:left="500" w:hanging="492"/>
        <w:spacing w:after="0" w:line="250" w:lineRule="auto"/>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recorded investment in loans as of June 30, 2017 and December 31, 2016 includes accrued interest of $5.7 million and $6.9 million, respectively, which are included in "Accrued interest and operating lease income receivable, net" on the Company's consolidated balance sheets. As of June 30, 2017 and December 31, 2016, the total excludes $85.6 million and $79.9 million, respectively, of securities that are evaluated for impairment under ASC 320.</w:t>
      </w:r>
    </w:p>
    <w:p>
      <w:pPr>
        <w:spacing w:after="0" w:line="18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Credit Characteristics</w:t>
      </w:r>
      <w:r>
        <w:rPr>
          <w:rFonts w:ascii="Times New Roman" w:cs="Times New Roman" w:eastAsia="Times New Roman" w:hAnsi="Times New Roman"/>
          <w:sz w:val="18"/>
          <w:szCs w:val="18"/>
          <w:color w:val="auto"/>
        </w:rPr>
        <w:t>—As part of the Company's process for monitoring the credit quality of its loans, it performs a quarterly loan portfolio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assessment and assigns risk ratings to each of its performing loans. Risk ratings, which range from 1 (lower risk) to 5 (higher risk), are based on judgments which are inherently uncertain and there can be no assurance that actual performance will be similar to current expectation. The Company designates loans as non-performing at such time as: (1) the loan becomes 90 days delinquent; (2) the loan has a maturity default; or (3) management determines it is probable that we will be unable to collect all amounts due according to the contractual terms of the loan. All non-performing loans are placed on non-accrual status and income is only recognized in certain cases upon actual cash receipt.</w:t>
      </w:r>
    </w:p>
    <w:p>
      <w:pPr>
        <w:spacing w:after="0" w:line="18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Company's recorded investment in performing loans, presented by class and by credit quality, as indicated by risk rating, was as follows ($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As of June 30, 2017</w:t>
            </w:r>
          </w:p>
        </w:tc>
        <w:tc>
          <w:tcPr>
            <w:tcW w:w="200" w:type="dxa"/>
            <w:vAlign w:val="bottom"/>
          </w:tcPr>
          <w:p>
            <w:pPr>
              <w:spacing w:after="0"/>
              <w:rPr>
                <w:sz w:val="20"/>
                <w:szCs w:val="20"/>
                <w:color w:val="auto"/>
              </w:rPr>
            </w:pPr>
          </w:p>
        </w:tc>
        <w:tc>
          <w:tcPr>
            <w:tcW w:w="27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8"/>
                <w:szCs w:val="18"/>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8"/>
        </w:trPr>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20" w:type="dxa"/>
            <w:vAlign w:val="bottom"/>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Risk Ratings</w:t>
            </w:r>
          </w:p>
        </w:tc>
        <w:tc>
          <w:tcPr>
            <w:tcW w:w="20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Risk Ratings</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mortgages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518,362</w:t>
            </w:r>
          </w:p>
        </w:tc>
        <w:tc>
          <w:tcPr>
            <w:tcW w:w="15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859,250</w:t>
            </w:r>
          </w:p>
        </w:tc>
        <w:tc>
          <w:tcPr>
            <w:tcW w:w="15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Corporate/Partnership loans</w:t>
            </w: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389,550</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335,677</w:t>
            </w:r>
          </w:p>
        </w:tc>
        <w:tc>
          <w:tcPr>
            <w:tcW w:w="1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Subordinate mortgages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11,881</w:t>
            </w:r>
          </w:p>
        </w:tc>
        <w:tc>
          <w:tcPr>
            <w:tcW w:w="15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14,135</w:t>
            </w:r>
          </w:p>
        </w:tc>
        <w:tc>
          <w:tcPr>
            <w:tcW w:w="15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57"/>
        </w:trPr>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919,793</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1,209,062</w:t>
            </w:r>
          </w:p>
        </w:tc>
        <w:tc>
          <w:tcPr>
            <w:tcW w:w="1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2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recorded investment in loans, aged by payment status and presented by class, were as follows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Greater</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and Equal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Than</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 90 Days</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center"/>
              <w:ind w:right="340"/>
              <w:spacing w:after="0" w:line="265" w:lineRule="exact"/>
              <w:rPr>
                <w:sz w:val="20"/>
                <w:szCs w:val="20"/>
                <w:color w:val="auto"/>
              </w:rPr>
            </w:pPr>
            <w:r>
              <w:rPr>
                <w:rFonts w:ascii="Times New Roman" w:cs="Times New Roman" w:eastAsia="Times New Roman" w:hAnsi="Times New Roman"/>
                <w:sz w:val="18"/>
                <w:szCs w:val="18"/>
                <w:b w:val="1"/>
                <w:bCs w:val="1"/>
                <w:color w:val="auto"/>
                <w:w w:val="95"/>
              </w:rPr>
              <w:t>90 Days</w:t>
            </w:r>
            <w:r>
              <w:rPr>
                <w:rFonts w:ascii="Times New Roman" w:cs="Times New Roman" w:eastAsia="Times New Roman" w:hAnsi="Times New Roman"/>
                <w:sz w:val="25"/>
                <w:szCs w:val="25"/>
                <w:b w:val="1"/>
                <w:bCs w:val="1"/>
                <w:color w:val="auto"/>
                <w:w w:val="95"/>
                <w:vertAlign w:val="superscript"/>
              </w:rPr>
              <w:t>(1)</w:t>
            </w:r>
          </w:p>
        </w:tc>
        <w:tc>
          <w:tcPr>
            <w:tcW w:w="260" w:type="dxa"/>
            <w:vAlign w:val="bottom"/>
          </w:tcPr>
          <w:p>
            <w:pPr>
              <w:spacing w:after="0"/>
              <w:rPr>
                <w:sz w:val="23"/>
                <w:szCs w:val="2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340" w:type="dxa"/>
            <w:vAlign w:val="bottom"/>
          </w:tcPr>
          <w:p>
            <w:pPr>
              <w:spacing w:after="0"/>
              <w:rPr>
                <w:sz w:val="23"/>
                <w:szCs w:val="23"/>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4"/>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June 30, 2017</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mortgages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524,362</w:t>
            </w:r>
          </w:p>
        </w:tc>
        <w:tc>
          <w:tcPr>
            <w:tcW w:w="120" w:type="dxa"/>
            <w:vAlign w:val="bottom"/>
          </w:tcPr>
          <w:p>
            <w:pPr>
              <w:spacing w:after="0"/>
              <w:rPr>
                <w:sz w:val="21"/>
                <w:szCs w:val="21"/>
                <w:color w:val="auto"/>
              </w:rPr>
            </w:pP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76,282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76,282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600,644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Corporate/Partnership loans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389,550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156,375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545,925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Subordinate mortgages</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22,883</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22,883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936,795</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232,657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232,657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1,169,452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mortgages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868,505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76,677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76,677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945,182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Corporate/Partnership loans</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335,677</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157,146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157,146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492,823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Subordinate mortgages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24,998</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24,998</w:t>
            </w:r>
          </w:p>
        </w:tc>
        <w:tc>
          <w:tcPr>
            <w:tcW w:w="0" w:type="dxa"/>
            <w:vAlign w:val="bottom"/>
          </w:tcPr>
          <w:p>
            <w:pPr>
              <w:spacing w:after="0"/>
              <w:rPr>
                <w:sz w:val="1"/>
                <w:szCs w:val="1"/>
                <w:color w:val="auto"/>
              </w:rPr>
            </w:pPr>
          </w:p>
        </w:tc>
      </w:tr>
      <w:tr>
        <w:trPr>
          <w:trHeight w:val="250"/>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1,229,180</w:t>
            </w:r>
          </w:p>
        </w:tc>
        <w:tc>
          <w:tcPr>
            <w:tcW w:w="120" w:type="dxa"/>
            <w:vAlign w:val="bottom"/>
          </w:tcPr>
          <w:p>
            <w:pPr>
              <w:spacing w:after="0"/>
              <w:rPr>
                <w:sz w:val="21"/>
                <w:szCs w:val="21"/>
                <w:color w:val="auto"/>
              </w:rPr>
            </w:pPr>
          </w:p>
        </w:tc>
        <w:tc>
          <w:tcPr>
            <w:tcW w:w="1180" w:type="dxa"/>
            <w:vAlign w:val="bottom"/>
            <w:tcBorders>
              <w:top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233,823</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233,823</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1,463,003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8890</wp:posOffset>
            </wp:positionV>
            <wp:extent cx="4999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-95885</wp:posOffset>
            </wp:positionV>
            <wp:extent cx="49999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jc w:val="both"/>
        <w:ind w:left="500" w:hanging="492"/>
        <w:spacing w:after="0" w:line="250" w:lineRule="auto"/>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2017, the Company had four loans which were greater than 90 days delinquent and were in various stages of resolution, including legal proceedings, environmental concerns and foreclosure-related proceedings, and ranged from 1.0 to 8.0 years outstanding. As of December 31, 2016, the Company had four loans which were greater than 90 days delinquent and were in various stages of resolution, including legal proceedings, environmental concerns and foreclosure-related proceedings, and ranged from 1.0 to 8.0 years outstanding.</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Impaired Loans</w:t>
      </w:r>
      <w:r>
        <w:rPr>
          <w:rFonts w:ascii="Times New Roman" w:cs="Times New Roman" w:eastAsia="Times New Roman" w:hAnsi="Times New Roman"/>
          <w:sz w:val="18"/>
          <w:szCs w:val="18"/>
          <w:color w:val="auto"/>
        </w:rPr>
        <w:t>—The Company's recorded investment in impaired loans, presented by class, were as follows ($ in thousands)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0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As of June 30, 2017</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6"/>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As of December 31, 2016</w:t>
            </w:r>
          </w:p>
        </w:tc>
        <w:tc>
          <w:tcPr>
            <w:tcW w:w="102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4"/>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Unpaid</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Unpaid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Recorded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24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Related</w:t>
            </w:r>
          </w:p>
        </w:tc>
      </w:tr>
      <w:tr>
        <w:trPr>
          <w:trHeight w:val="238"/>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4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4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Allowance</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With no related allowance recorded:</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 mortgages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10,985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10,862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10,846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10,985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With an allowance recorded: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mortgages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82,282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82,390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85,933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85,780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(49,774)</w:t>
            </w: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Corporate/Partnership loans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156,375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145,849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157,146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146,783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(12,471)</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238,657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228,239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243,079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232,563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(62,245)</w:t>
            </w: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mortgages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82,282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82,390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85,933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85,780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(49,774)</w:t>
            </w: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Corporate/Partnership loans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156,375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145,849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157,146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146,783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(12,471)</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 mortgages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10,985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249,659</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239,224</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(60,989)</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253,941</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243,409</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8890</wp:posOffset>
            </wp:positionV>
            <wp:extent cx="51371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-95885</wp:posOffset>
            </wp:positionV>
            <wp:extent cx="5137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ind w:left="500" w:hanging="492"/>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Company's non-accrual loans are considered impaired and included in the table above.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average recorded investment in impaired loans and interest income recognized, presented by class, were as follows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40" w:type="dxa"/>
            <w:vAlign w:val="bottom"/>
            <w:gridSpan w:val="11"/>
          </w:tcPr>
          <w:p>
            <w:pPr>
              <w:ind w:left="64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140" w:type="dxa"/>
            <w:vAlign w:val="bottom"/>
          </w:tcPr>
          <w:p>
            <w:pPr>
              <w:spacing w:after="0"/>
              <w:rPr>
                <w:sz w:val="20"/>
                <w:szCs w:val="20"/>
                <w:color w:val="auto"/>
              </w:rPr>
            </w:pPr>
          </w:p>
        </w:tc>
        <w:tc>
          <w:tcPr>
            <w:tcW w:w="4280" w:type="dxa"/>
            <w:vAlign w:val="bottom"/>
            <w:gridSpan w:val="10"/>
          </w:tcPr>
          <w:p>
            <w:pPr>
              <w:jc w:val="right"/>
              <w:ind w:right="754"/>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7"/>
        </w:trPr>
        <w:tc>
          <w:tcPr>
            <w:tcW w:w="2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88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44"/>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88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4"/>
                <w:szCs w:val="14"/>
                <w:b w:val="1"/>
                <w:bCs w:val="1"/>
                <w:color w:val="auto"/>
              </w:rPr>
              <w:t>Interest</w:t>
            </w:r>
          </w:p>
        </w:tc>
      </w:tr>
      <w:tr>
        <w:trPr>
          <w:trHeight w:val="149"/>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40" w:type="dxa"/>
            <w:vAlign w:val="bottom"/>
          </w:tcPr>
          <w:p>
            <w:pPr>
              <w:spacing w:after="0"/>
              <w:rPr>
                <w:sz w:val="12"/>
                <w:szCs w:val="12"/>
                <w:color w:val="auto"/>
              </w:rPr>
            </w:pPr>
          </w:p>
        </w:tc>
        <w:tc>
          <w:tcPr>
            <w:tcW w:w="88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r>
      <w:tr>
        <w:trPr>
          <w:trHeight w:val="195"/>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6"/>
                <w:szCs w:val="16"/>
                <w:color w:val="auto"/>
              </w:rPr>
            </w:pPr>
          </w:p>
        </w:tc>
        <w:tc>
          <w:tcPr>
            <w:tcW w:w="8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Recognized</w:t>
            </w:r>
          </w:p>
        </w:tc>
      </w:tr>
      <w:tr>
        <w:trPr>
          <w:trHeight w:val="206"/>
        </w:trPr>
        <w:tc>
          <w:tcPr>
            <w:tcW w:w="2420" w:type="dxa"/>
            <w:vAlign w:val="bottom"/>
            <w:tcBorders>
              <w:top w:val="single" w:sz="8" w:color="CCEEFF"/>
            </w:tcBorders>
            <w:shd w:val="clear" w:color="auto" w:fill="CCEEFF"/>
          </w:tcPr>
          <w:p>
            <w:pPr>
              <w:ind w:left="40"/>
              <w:spacing w:after="0" w:line="206" w:lineRule="exact"/>
              <w:rPr>
                <w:sz w:val="20"/>
                <w:szCs w:val="20"/>
                <w:color w:val="auto"/>
              </w:rPr>
            </w:pPr>
            <w:r>
              <w:rPr>
                <w:rFonts w:ascii="Times New Roman" w:cs="Times New Roman" w:eastAsia="Times New Roman" w:hAnsi="Times New Roman"/>
                <w:sz w:val="18"/>
                <w:szCs w:val="18"/>
                <w:b w:val="1"/>
                <w:bCs w:val="1"/>
                <w:color w:val="auto"/>
              </w:rPr>
              <w:t>With no related allowance</w:t>
            </w: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45"/>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recorded:</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mortgages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9,150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 mortgages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11,023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10,970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11,023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14,935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10,970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9,957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With an allowance recorded:</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mortgages</w:t>
            </w:r>
          </w:p>
        </w:tc>
        <w:tc>
          <w:tcPr>
            <w:tcW w:w="1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82,368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126,978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83,556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126,903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Corporate/Partnership loans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156,839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156,941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5,396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239,207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132,202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240,497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132,299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mortgages</w:t>
            </w:r>
          </w:p>
        </w:tc>
        <w:tc>
          <w:tcPr>
            <w:tcW w:w="1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82,368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136,128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83,556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133,003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Corporate/Partnership loans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156,839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156,941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 mortgages</w:t>
            </w:r>
          </w:p>
        </w:tc>
        <w:tc>
          <w:tcPr>
            <w:tcW w:w="1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10,970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250,230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147,137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251,467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142,256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—Other lending investments—securities includes the following ($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Face</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Net Unrealized</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Estimated Fair</w:t>
            </w:r>
          </w:p>
        </w:tc>
        <w:tc>
          <w:tcPr>
            <w:tcW w:w="1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r>
      <w:tr>
        <w:trPr>
          <w:trHeight w:val="238"/>
        </w:trPr>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300" w:type="dxa"/>
            <w:vAlign w:val="bottom"/>
          </w:tcPr>
          <w:p>
            <w:pPr>
              <w:spacing w:after="0"/>
              <w:rPr>
                <w:sz w:val="20"/>
                <w:szCs w:val="20"/>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Basis</w:t>
            </w:r>
          </w:p>
        </w:tc>
        <w:tc>
          <w:tcPr>
            <w:tcW w:w="16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Gain (Loss)</w:t>
            </w:r>
          </w:p>
        </w:tc>
        <w:tc>
          <w:tcPr>
            <w:tcW w:w="28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40" w:type="dxa"/>
            <w:vAlign w:val="bottom"/>
          </w:tcPr>
          <w:p>
            <w:pPr>
              <w:spacing w:after="0"/>
              <w:rPr>
                <w:sz w:val="20"/>
                <w:szCs w:val="20"/>
                <w:color w:val="auto"/>
              </w:rPr>
            </w:pP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3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June 30, 2017</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22,222</w:t>
            </w: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63,418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64,911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63,367</w:t>
            </w:r>
          </w:p>
        </w:tc>
      </w:tr>
      <w:tr>
        <w:trPr>
          <w:trHeight w:val="297"/>
        </w:trPr>
        <w:tc>
          <w:tcPr>
            <w:tcW w:w="30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84,648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84,597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87,133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85,589</w:t>
            </w: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21,666</w:t>
            </w: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58,250</w:t>
            </w:r>
          </w:p>
        </w:tc>
      </w:tr>
      <w:tr>
        <w:trPr>
          <w:trHeight w:val="257"/>
        </w:trPr>
        <w:tc>
          <w:tcPr>
            <w:tcW w:w="3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79,694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79,490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3,179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82,669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79,916</w:t>
            </w:r>
          </w:p>
        </w:tc>
      </w:tr>
      <w:tr>
        <w:trPr>
          <w:trHeight w:val="20"/>
        </w:trPr>
        <w:tc>
          <w:tcPr>
            <w:tcW w:w="3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08"/>
        </w:trPr>
        <w:tc>
          <w:tcPr>
            <w:tcW w:w="3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7—Other Investments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other investments and its proportionate share of earnings from equity method investments were as follows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Equity in Earnings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8"/>
        </w:trPr>
        <w:tc>
          <w:tcPr>
            <w:tcW w:w="2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21"/>
                <w:szCs w:val="21"/>
                <w:color w:val="auto"/>
              </w:rPr>
            </w:pPr>
          </w:p>
        </w:tc>
        <w:tc>
          <w:tcPr>
            <w:tcW w:w="20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For the Six Months</w:t>
            </w:r>
          </w:p>
        </w:tc>
      </w:tr>
      <w:tr>
        <w:trPr>
          <w:trHeight w:val="238"/>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Carrying Value as of</w:t>
            </w:r>
          </w:p>
        </w:tc>
        <w:tc>
          <w:tcPr>
            <w:tcW w:w="28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Ended June 30,</w:t>
            </w:r>
          </w:p>
        </w:tc>
      </w:tr>
      <w:tr>
        <w:trPr>
          <w:trHeight w:val="27"/>
        </w:trPr>
        <w:tc>
          <w:tcPr>
            <w:tcW w:w="2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2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equity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5"/>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iStar Net Lease I LLC ("Net Lease</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Venture")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128,997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92,669</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1,890</w:t>
            </w: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2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Safety, Income and Growth, Inc.</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61"/>
        </w:trPr>
        <w:tc>
          <w:tcPr>
            <w:tcW w:w="2880" w:type="dxa"/>
            <w:vAlign w:val="bottom"/>
            <w:shd w:val="clear" w:color="auto" w:fill="CCEEFF"/>
          </w:tcPr>
          <w:p>
            <w:pPr>
              <w:ind w:left="40"/>
              <w:spacing w:after="0" w:line="262" w:lineRule="exact"/>
              <w:rPr>
                <w:sz w:val="20"/>
                <w:szCs w:val="20"/>
                <w:color w:val="auto"/>
              </w:rPr>
            </w:pPr>
            <w:r>
              <w:rPr>
                <w:rFonts w:ascii="Times New Roman" w:cs="Times New Roman" w:eastAsia="Times New Roman" w:hAnsi="Times New Roman"/>
                <w:sz w:val="18"/>
                <w:szCs w:val="18"/>
                <w:color w:val="auto"/>
              </w:rPr>
              <w:t>("SAFE")</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50,287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Marina Palms, LLC ("Marina Palms")</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13,401</w:t>
            </w: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8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Other real estate equity investments</w:t>
            </w:r>
            <w:r>
              <w:rPr>
                <w:rFonts w:ascii="Times New Roman" w:cs="Times New Roman" w:eastAsia="Times New Roman" w:hAnsi="Times New Roman"/>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63,107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53,202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28,600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4,249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26,898</w:t>
            </w: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249,582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181,056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42,189</w:t>
            </w: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8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Other strategic investments</w:t>
            </w:r>
            <w:r>
              <w:rPr>
                <w:rFonts w:ascii="Times New Roman" w:cs="Times New Roman" w:eastAsia="Times New Roman" w:hAnsi="Times New Roman"/>
                <w:sz w:val="25"/>
                <w:szCs w:val="25"/>
                <w:color w:val="auto"/>
                <w:vertAlign w:val="superscript"/>
              </w:rPr>
              <w:t>(3)</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27,239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33,350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5,525</w:t>
            </w:r>
          </w:p>
        </w:tc>
      </w:tr>
      <w:tr>
        <w:trPr>
          <w:trHeight w:val="250"/>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276,821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214,406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39,447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8890</wp:posOffset>
            </wp:positionV>
            <wp:extent cx="54286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-95885</wp:posOffset>
            </wp:positionV>
            <wp:extent cx="54286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ind w:left="500" w:hanging="492"/>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earnings is for the period from April 14, 2017 to June 30, 2017.</w:t>
      </w:r>
    </w:p>
    <w:p>
      <w:pPr>
        <w:spacing w:after="0" w:line="1" w:lineRule="exact"/>
        <w:rPr>
          <w:rFonts w:ascii="Times New Roman" w:cs="Times New Roman" w:eastAsia="Times New Roman" w:hAnsi="Times New Roman"/>
          <w:sz w:val="14"/>
          <w:szCs w:val="14"/>
          <w:color w:val="auto"/>
        </w:rPr>
      </w:pPr>
    </w:p>
    <w:p>
      <w:pPr>
        <w:ind w:left="500" w:hanging="492"/>
        <w:spacing w:after="0" w:line="241" w:lineRule="auto"/>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2016, a majority-owned consolidated subsidiary of the Company sold its interest in a real estate equity method investment for net proceeds of $39.8 million and recognized a gain of $31.5 million, of which $10.1 million of the gain was attributable to the noncontrolling interest.</w:t>
      </w:r>
    </w:p>
    <w:p>
      <w:pPr>
        <w:ind w:left="500" w:hanging="492"/>
        <w:spacing w:after="0" w:line="258" w:lineRule="auto"/>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conjunction with the sale of the Company's interests in Oak Hill Advisors, L.P. in 2011, the Company retained a share of the carried interest related to various funds. During the three and six months ended June 30, 2016, the Company recognized $0.5 million and $3.7 million, respectively, of carried interest income.</w:t>
      </w:r>
    </w:p>
    <w:p>
      <w:pPr>
        <w:spacing w:after="0" w:line="12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Net Lease Venture</w:t>
      </w:r>
      <w:r>
        <w:rPr>
          <w:rFonts w:ascii="Times New Roman" w:cs="Times New Roman" w:eastAsia="Times New Roman" w:hAnsi="Times New Roman"/>
          <w:sz w:val="18"/>
          <w:szCs w:val="18"/>
          <w:color w:val="auto"/>
        </w:rPr>
        <w:t>—In February 2014, the Company partnered with a sovereign wealth fund to form an unconsolidated entity in which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an equity interest of approximately 51.9%. The partners plan to contribute up to an aggregate $500 million of equity to acquire and develop net lease assets over time. The Company is responsible for sourcing new opportunities and managing the venture and its assets in exchange for a promote and management fee. Several of the Company's senior executives whose time is substantially devoted to the Net Lease Venture own a total of 0.6% equity ownership in the venture via co-investment. These senior executives are also entitled to an amount equal to 50% of any promote payment received based on the 47.5% partner's interest. During the six months ended June 30, 2017, the Net Lease Venture acquired industrial properties for $59.0 million. During the six months ended June 30, 2017, the Company sold a net lease asset for proceeds of $6.2 million, which approximated its carrying value, to the Net Lease Venture and derecognized the associated $18.9 million financing.</w:t>
      </w:r>
    </w:p>
    <w:p>
      <w:pPr>
        <w:spacing w:after="0" w:line="13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of June 30, 2017 and December 31, 2016, the venture's carrying value of total assets was $626.5 million and $511.3 million, respectively. During the three and six months ended June 30, 2017, the Company recorded management fees of $0.5 million and $0.9 million, respectively, and $0.4 million and $0.8 million for the three and six months ended June 30, 2016, respectively, from the Net Lease Venture which are included in "Other income" in the Company's consolidated statements of operations. This entity is not a VIE and the Company does not have controlling interest due to the substantive participating rights of its partner.</w:t>
      </w:r>
    </w:p>
    <w:p>
      <w:pPr>
        <w:spacing w:after="0" w:line="12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Safety, Income and Growth, Inc.</w:t>
      </w:r>
      <w:r>
        <w:rPr>
          <w:rFonts w:ascii="Times New Roman" w:cs="Times New Roman" w:eastAsia="Times New Roman" w:hAnsi="Times New Roman"/>
          <w:sz w:val="18"/>
          <w:szCs w:val="18"/>
          <w:color w:val="auto"/>
        </w:rPr>
        <w:t>—The Company along with two institutional investors capitalized SIGI Acquisition, Inc. ("SIGI") on April 14, 2017.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contributed $55.5 million for an initial 49% noncontrolling interest in SIGI and the two institutional investors contributed an aggregate $57.5 million for an initial 51% controlling interest in SIGI. A wholly-owned subsidiary of the Company that held the Company's GL business and assets merged with and into SIGI on April 14, 2017 with SIGI surviving the merger and being renamed Safety, Income and Growth, Inc. ("SAFE"). Through this merger and related transactions, the institutional investors acquired a controlling interest in the Company's GL business. The Company's carrying value of the GL assets was approximately $161.1 million. Shortly before the Acquisition Transactions, the Company completed the $227.0 million 2017 Secured Financing on its GL assets (refer to Note 10). The Company received all of the proceeds of the 2017 Secured Financing. The Company received an additional $113.0 million of proceeds in the Acquisition Transactions, including $55.5 million that the Company contributed to SAFE in its initial capitalization. As a result of the Acquisition Transactions, the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Company deconsolidated the 12 properties and the associated 2017 Secured Financing. The Company accounted for this transaction as an in substance sale of real estate and recognized a gain of $123.4 million, reflecting the aggregate gain less the fair value of the Company's retained interest in SAFE. The carrying value of the 12 properties are classified in "Real estate available and held for sale" on the Company's consolidated balance sheet as of December 31, 2016 and the gain was recorded in "Gain from discontinued operations" in the Company's consolidated statements of operations.</w:t>
      </w:r>
    </w:p>
    <w:p>
      <w:pPr>
        <w:spacing w:after="0" w:line="14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June 27, 2017, SAFE completed its initial public offering (the "Offering") raising $205.0 million in gross proceeds and concurrently completed a $45.0 million private placement to the Company. In addition, the Company paid $16.6 million in organization and offering costs of the up to $25.0 million in organization and offering costs it has agreed to pay in connection with the Offering and concurrent private placement through June 30, 2017, including commissions payable to the underwriters and other offering expenses. The Company expensed the portion of offering costs that was attributable to other investors in "Other expense" in the Company's consolidated statements of operations and capitalized the portion of offering costs attributable to the Company's ownership interest in "Other investments" on the Company's consolidated balance sheets. As of June 30, 2017, the Company owned approximately 28% of SAFE's common stock outstanding.</w:t>
      </w:r>
    </w:p>
    <w:p>
      <w:pPr>
        <w:spacing w:after="0" w:line="18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 wholly-owned subsidiary of the Company is the external manager of SAFE and is entitled to a management fee, payable solely in shares of SAFE's common stock, equal to the sum of 1.0% of SAFE's total equity up to $2.5 billion and 0.75% of SAFE's total equity in excess of $2.5 billion. The Company is not entitled to receive any performance or incentive compensation. The Company is also entitled to receive expense reimbursements, payable solely in shares of SAFE's common stock, for its personnel that perform certain legal, accounting, due diligence tasks and other services that third-party professionals or outside consultants otherwise would perform. The Company has agreed to waive both the management fee and certain of the expense reimbursements through June 30, 2018.</w:t>
      </w:r>
    </w:p>
    <w:p>
      <w:pPr>
        <w:spacing w:after="0" w:line="143"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Marina Palms</w:t>
      </w:r>
      <w:r>
        <w:rPr>
          <w:rFonts w:ascii="Times New Roman" w:cs="Times New Roman" w:eastAsia="Times New Roman" w:hAnsi="Times New Roman"/>
          <w:sz w:val="18"/>
          <w:szCs w:val="18"/>
          <w:color w:val="auto"/>
        </w:rPr>
        <w:t>—As of June 30, 2017, the Company owned a 47.5% equity interest in Marina Palms, a 468 unit, two tower residential condominium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in North Miami Beach, Florida. The 234 unit north tower has one unit remaining for sale as of June 30, 2017. The 234 unit south tower is 84% sold or pre-sold (based on unit count) as of June 30, 2017. This entity is not a VIE and the Company does not have controlling interest due to shared control of the entity with its partner. As of June 30, 2017 and December 31, 2016, the venture's carrying value of total assets was $52.7 million and $201.8 million, respectively.</w:t>
      </w:r>
    </w:p>
    <w:p>
      <w:pPr>
        <w:spacing w:after="0" w:line="126"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Other real estate equity investments</w:t>
      </w:r>
      <w:r>
        <w:rPr>
          <w:rFonts w:ascii="Times New Roman" w:cs="Times New Roman" w:eastAsia="Times New Roman" w:hAnsi="Times New Roman"/>
          <w:sz w:val="18"/>
          <w:szCs w:val="18"/>
          <w:color w:val="auto"/>
        </w:rPr>
        <w:t>—As of June 30, 2017, the Company's other real estate equity investments included equity interests in real estate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ventures ranging from 20% to 85%, comprised of investments of $7.9 million in operating properties and $55.2 million in land assets. As of December 31, 2016, the Company's other real estate equity investments included $3.6 million in operating properties and $49.6 million in land assets.</w:t>
      </w:r>
    </w:p>
    <w:p>
      <w:pPr>
        <w:spacing w:after="0" w:line="12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December 2016, the Company sold a land and development asset to a newly formed unconsolidated entity in which the Company owns a 50.0% equity interest. This entity is a VIE and the Company does not have a controlling interest due to shared control of the entity with its partner. The Company and its partner both made $7.0 million contributions to the venture and the Company provided financing to the entity in the form of a $27.0 million senior loan commitment, which had a carrying value of $23.6 million and $22.7 million as of June 30, 2017 and December 31, 2016, respectively, and is included in "Loans receivable and other lending investments, net" on the Company's consolidated balance sheets. During the three and six months ended June 30, 2017, the Company recorded $0.5 million and $0.9 million of interest income, respectively, on the senior loan.</w:t>
      </w:r>
    </w:p>
    <w:p>
      <w:pPr>
        <w:spacing w:after="0" w:line="18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Other strategic investments</w:t>
      </w:r>
      <w:r>
        <w:rPr>
          <w:rFonts w:ascii="Times New Roman" w:cs="Times New Roman" w:eastAsia="Times New Roman" w:hAnsi="Times New Roman"/>
          <w:sz w:val="18"/>
          <w:szCs w:val="18"/>
          <w:color w:val="auto"/>
        </w:rPr>
        <w:t>—As of June 30, 2017, the Company also had smaller investments in real estate related funds and other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in several other entities that were accounted for under the equity method or cost method. As of June 30, 2017 and December 31, 2016, the carrying value of the Company's cost method investments was $0.9 million and $1.4 million,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Summarized investee financial information</w:t>
      </w:r>
      <w:r>
        <w:rPr>
          <w:rFonts w:ascii="Times New Roman" w:cs="Times New Roman" w:eastAsia="Times New Roman" w:hAnsi="Times New Roman"/>
          <w:sz w:val="18"/>
          <w:szCs w:val="18"/>
          <w:color w:val="auto"/>
        </w:rPr>
        <w:t>—The following table presents the investee level summarized financial information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method investments, which were significant subsidiaries for the six months ended June 30, 2017 and 2016 ($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Net Income</w:t>
            </w:r>
          </w:p>
        </w:tc>
      </w:tr>
      <w:tr>
        <w:trPr>
          <w:trHeight w:val="216"/>
        </w:trPr>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Attributable to</w:t>
            </w:r>
          </w:p>
        </w:tc>
      </w:tr>
      <w:tr>
        <w:trPr>
          <w:trHeight w:val="238"/>
        </w:trPr>
        <w:tc>
          <w:tcPr>
            <w:tcW w:w="5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Parent Entities</w:t>
            </w:r>
          </w:p>
        </w:tc>
      </w:tr>
      <w:tr>
        <w:trPr>
          <w:trHeight w:val="27"/>
        </w:trPr>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2017</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Marina Palms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324"/>
        </w:trPr>
        <w:tc>
          <w:tcPr>
            <w:tcW w:w="5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2016</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Marina Palms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87,494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39,730</w:t>
            </w:r>
          </w:p>
        </w:tc>
      </w:tr>
      <w:tr>
        <w:trPr>
          <w:trHeight w:val="27"/>
        </w:trPr>
        <w:tc>
          <w:tcPr>
            <w:tcW w:w="5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8—Other Assets and Other Liabilities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Deferred expenses and other assets, net, consist of the following items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4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Intangible assets, net</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20,452</w:t>
            </w:r>
          </w:p>
        </w:tc>
        <w:tc>
          <w:tcPr>
            <w:tcW w:w="4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30,727</w:t>
            </w:r>
          </w:p>
        </w:tc>
        <w:tc>
          <w:tcPr>
            <w:tcW w:w="0" w:type="dxa"/>
            <w:vAlign w:val="bottom"/>
          </w:tcPr>
          <w:p>
            <w:pPr>
              <w:spacing w:after="0"/>
              <w:rPr>
                <w:sz w:val="1"/>
                <w:szCs w:val="1"/>
                <w:color w:val="auto"/>
              </w:rPr>
            </w:pPr>
          </w:p>
        </w:tc>
      </w:tr>
      <w:tr>
        <w:trPr>
          <w:trHeight w:val="270"/>
        </w:trPr>
        <w:tc>
          <w:tcPr>
            <w:tcW w:w="58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Other receivables</w:t>
            </w:r>
            <w:r>
              <w:rPr>
                <w:rFonts w:ascii="Times New Roman" w:cs="Times New Roman" w:eastAsia="Times New Roman" w:hAnsi="Times New Roman"/>
                <w:sz w:val="25"/>
                <w:szCs w:val="25"/>
                <w:color w:val="auto"/>
                <w:vertAlign w:val="superscript"/>
              </w:rPr>
              <w:t>(2)</w:t>
            </w:r>
          </w:p>
        </w:tc>
        <w:tc>
          <w:tcPr>
            <w:tcW w:w="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52,820</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34,351</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25,883</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Leasing costs, net</w:t>
            </w:r>
            <w:r>
              <w:rPr>
                <w:rFonts w:ascii="Times New Roman" w:cs="Times New Roman" w:eastAsia="Times New Roman" w:hAnsi="Times New Roman"/>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11,802</w:t>
            </w:r>
          </w:p>
        </w:tc>
        <w:tc>
          <w:tcPr>
            <w:tcW w:w="0" w:type="dxa"/>
            <w:vAlign w:val="bottom"/>
          </w:tcPr>
          <w:p>
            <w:pPr>
              <w:spacing w:after="0"/>
              <w:rPr>
                <w:sz w:val="1"/>
                <w:szCs w:val="1"/>
                <w:color w:val="auto"/>
              </w:rPr>
            </w:pPr>
          </w:p>
        </w:tc>
      </w:tr>
      <w:tr>
        <w:trPr>
          <w:trHeight w:val="270"/>
        </w:trPr>
        <w:tc>
          <w:tcPr>
            <w:tcW w:w="58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Corporate furniture, fixtures and equipment, net</w:t>
            </w:r>
            <w:r>
              <w:rPr>
                <w:rFonts w:ascii="Times New Roman" w:cs="Times New Roman" w:eastAsia="Times New Roman" w:hAnsi="Times New Roman"/>
                <w:sz w:val="25"/>
                <w:szCs w:val="25"/>
                <w:color w:val="auto"/>
                <w:vertAlign w:val="superscript"/>
              </w:rPr>
              <w:t>(4)</w:t>
            </w:r>
          </w:p>
        </w:tc>
        <w:tc>
          <w:tcPr>
            <w:tcW w:w="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5,691</w:t>
            </w:r>
          </w:p>
        </w:tc>
        <w:tc>
          <w:tcPr>
            <w:tcW w:w="0" w:type="dxa"/>
            <w:vAlign w:val="bottom"/>
          </w:tcPr>
          <w:p>
            <w:pPr>
              <w:spacing w:after="0"/>
              <w:rPr>
                <w:sz w:val="1"/>
                <w:szCs w:val="1"/>
                <w:color w:val="auto"/>
              </w:rPr>
            </w:pPr>
          </w:p>
        </w:tc>
      </w:tr>
      <w:tr>
        <w:trPr>
          <w:trHeight w:val="270"/>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financing fees, net</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57"/>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expenses and other assets,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147,121</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162,112</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500" w:hanging="492"/>
        <w:spacing w:after="0" w:line="241" w:lineRule="auto"/>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Intangible assets, net includes above market and in-place lease assets and lease incentives related to the acquisition of real estate assets. Accumulated amortization on intangible assets, net was $33.5 million and $31.9 million as of June 30, 2017 and December 31, 2016, respectively. The amortization of above market leases and lease incentive assets decreased operating lease income in the Company's consolidated statements of operations by $0.8 million and $1.6 million for the three and six months ended June 30, 2017, respectively, and $1.1 million and $2.2 million for the three and six months ended June 30, 2016, respectively. These intangible lease assets are amortized over the term of the lease. The amortization expense for in-place leases was $0.7 million and $1.2 million for the three and six months ended June 30, 2017, respectively, and $0.6 million and $1.1 million for the three and six months ended June 30, 2016, respectively. These amounts are included in "Depreciation and amortization" in the Company's consolidated statements of operations.</w:t>
      </w:r>
    </w:p>
    <w:p>
      <w:pPr>
        <w:spacing w:after="0" w:line="2"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2017 and December 31, 2016, included $26.0 million of receivables related to the construction and development of an amphitheater.</w:t>
      </w:r>
    </w:p>
    <w:p>
      <w:pPr>
        <w:spacing w:after="0" w:line="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amortization of leasing costs was $7.0 million and $6.7 million as of June 30, 2017 and December 31, 2016, respectively.</w:t>
      </w:r>
    </w:p>
    <w:p>
      <w:pPr>
        <w:spacing w:after="0" w:line="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depreciation on corporate furniture, fixtures and equipment was $9.8 million and $9.0 million as of June 30, 2017 and December 31, 2016, respectively.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consist of the following items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7"/>
              </w:rPr>
              <w:t>December 31, 2016</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2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Other liabilities</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81,526</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75,993</w:t>
            </w:r>
          </w:p>
        </w:tc>
        <w:tc>
          <w:tcPr>
            <w:tcW w:w="0" w:type="dxa"/>
            <w:vAlign w:val="bottom"/>
          </w:tcPr>
          <w:p>
            <w:pPr>
              <w:spacing w:after="0"/>
              <w:rPr>
                <w:sz w:val="1"/>
                <w:szCs w:val="1"/>
                <w:color w:val="auto"/>
              </w:rPr>
            </w:pPr>
          </w:p>
        </w:tc>
      </w:tr>
      <w:tr>
        <w:trPr>
          <w:trHeight w:val="270"/>
        </w:trPr>
        <w:tc>
          <w:tcPr>
            <w:tcW w:w="58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Accrued expenses</w:t>
            </w:r>
            <w:r>
              <w:rPr>
                <w:rFonts w:ascii="Times New Roman" w:cs="Times New Roman" w:eastAsia="Times New Roman" w:hAnsi="Times New Roman"/>
                <w:sz w:val="25"/>
                <w:szCs w:val="25"/>
                <w:color w:val="auto"/>
                <w:vertAlign w:val="superscript"/>
              </w:rPr>
              <w:t>(2)</w:t>
            </w:r>
          </w:p>
        </w:tc>
        <w:tc>
          <w:tcPr>
            <w:tcW w:w="24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84,174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72,693</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54,033</w:t>
            </w:r>
          </w:p>
        </w:tc>
        <w:tc>
          <w:tcPr>
            <w:tcW w:w="0" w:type="dxa"/>
            <w:vAlign w:val="bottom"/>
          </w:tcPr>
          <w:p>
            <w:pPr>
              <w:spacing w:after="0"/>
              <w:rPr>
                <w:sz w:val="1"/>
                <w:szCs w:val="1"/>
                <w:color w:val="auto"/>
              </w:rPr>
            </w:pPr>
          </w:p>
        </w:tc>
      </w:tr>
      <w:tr>
        <w:trPr>
          <w:trHeight w:val="270"/>
        </w:trPr>
        <w:tc>
          <w:tcPr>
            <w:tcW w:w="582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Intangible liabilities, net</w:t>
            </w:r>
            <w:r>
              <w:rPr>
                <w:rFonts w:ascii="Times New Roman" w:cs="Times New Roman" w:eastAsia="Times New Roman" w:hAnsi="Times New Roman"/>
                <w:sz w:val="25"/>
                <w:szCs w:val="25"/>
                <w:color w:val="auto"/>
                <w:vertAlign w:val="superscript"/>
              </w:rPr>
              <w:t>(3)</w:t>
            </w:r>
          </w:p>
        </w:tc>
        <w:tc>
          <w:tcPr>
            <w:tcW w:w="2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7,843</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8,851</w:t>
            </w: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230,259</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211,570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500" w:hanging="492"/>
        <w:spacing w:after="0" w:line="241" w:lineRule="auto"/>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2017 and December 31, 2016, other liabilities includes $24.0 million related to profit sharing arrangements with developers for certain properties sold. As of June 30, 2017 and December 31, 2016, includes $1.5 million and $1.2 million, respectively, associated with "Real estate available and held for sale" on the Company's consolidated balance sheets. As of June 30, 2017 and December 31, 2016, other liabilities also includes $7.3 million and $8.5 million, respectively, related to tax increment financing bonds which were issued by government entities to fund development within two of the Company's land projects. The amount represents tax assessments associated with each project, which will decrease as the Company sells units.</w:t>
      </w:r>
    </w:p>
    <w:p>
      <w:pPr>
        <w:spacing w:after="0" w:line="1" w:lineRule="exact"/>
        <w:rPr>
          <w:rFonts w:ascii="Times New Roman" w:cs="Times New Roman" w:eastAsia="Times New Roman" w:hAnsi="Times New Roman"/>
          <w:sz w:val="14"/>
          <w:szCs w:val="14"/>
          <w:color w:val="auto"/>
        </w:rPr>
      </w:pPr>
    </w:p>
    <w:p>
      <w:pPr>
        <w:ind w:left="500" w:hanging="492"/>
        <w:spacing w:after="0" w:line="241" w:lineRule="auto"/>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2017 and December 31, 2016, accrued expenses includes $2.5 million and $1.7 million, respectively, associated with "Real estate available and held for sale" on the Company's consolidated balance sheets.</w:t>
      </w:r>
    </w:p>
    <w:p>
      <w:pPr>
        <w:jc w:val="both"/>
        <w:ind w:left="500" w:hanging="492"/>
        <w:spacing w:after="0" w:line="247" w:lineRule="auto"/>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Intangible liabilities, net includes below market lease liabilities related to the acquisition of real estate assets. Accumulated amortization on below market lease liabilities was $7.5 million and $6.4 million as of June 30, 2017 and December 31, 2016, respectively. The amortization of below market leases increased operating lease income in the Company's consolidated statements of operations by $0.8 million and $1.0 million for the three and six months ended June 30, 2017, respectively, and $0.3 million and $0.6 million for the three and six months ended June 30, 2016, respectively.</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Deferred tax assets and liabilities of the Company's taxable REIT subsidiaries were as follows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140" w:type="dxa"/>
            <w:vAlign w:val="bottom"/>
            <w:gridSpan w:val="3"/>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7"/>
        </w:trPr>
        <w:tc>
          <w:tcPr>
            <w:tcW w:w="4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82,219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66,498</w:t>
            </w: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(66,498)</w:t>
            </w:r>
          </w:p>
        </w:tc>
      </w:tr>
      <w:tr>
        <w:trPr>
          <w:trHeight w:val="27"/>
        </w:trPr>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9—Loan Participations Payable, net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loan participations payable, net were as follows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gridSpan w:val="4"/>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Carrying Value as of</w:t>
            </w:r>
          </w:p>
        </w:tc>
      </w:tr>
      <w:tr>
        <w:trPr>
          <w:trHeight w:val="27"/>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4"/>
        </w:trPr>
        <w:tc>
          <w:tcPr>
            <w:tcW w:w="468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Loan participations payable</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107,844</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160,251</w:t>
            </w: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discounts and deferred financing costs, net</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loan participations payable,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107,442</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159,321</w:t>
            </w: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-95885</wp:posOffset>
            </wp:positionV>
            <wp:extent cx="2590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ind w:left="500" w:hanging="492"/>
        <w:spacing w:after="0" w:line="258" w:lineRule="auto"/>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2017, the Company had two loan participations payable with a weighted average interest rate of 6.2%. As of December 31, 2016, the Company had three loan participations payable with a weighted average interest rate of 4.8%.</w:t>
      </w:r>
    </w:p>
    <w:p>
      <w:pPr>
        <w:spacing w:after="0" w:line="12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Loan participations represent transfers of financial assets that did not meet the sales criteria established under ASC Topic 860 and are accounted for as loan participations payable, net. As of June 30, 2017 and December 31, 2016, the corresponding loan receivable balances were $107.1 million and $159.1 million, respectively, and are included in "Loans receivable and other lending investments, net" on the Company's consolidated balance sheets. The principal and interest due on these loan participations payable are paid from cash flows of the corresponding loans receivable, which serve as collateral for the participations.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10—Debt Obligations, net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debt obligations were as follows ($ in thousands):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65"/>
        </w:trPr>
        <w:tc>
          <w:tcPr>
            <w:tcW w:w="37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Carrying Value as of</w:t>
            </w:r>
          </w:p>
        </w:tc>
        <w:tc>
          <w:tcPr>
            <w:tcW w:w="9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Stated</w:t>
            </w:r>
          </w:p>
        </w:tc>
        <w:tc>
          <w:tcPr>
            <w:tcW w:w="34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Scheduled</w:t>
            </w:r>
          </w:p>
        </w:tc>
      </w:tr>
      <w:tr>
        <w:trPr>
          <w:trHeight w:val="237"/>
        </w:trPr>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00" w:type="dxa"/>
            <w:vAlign w:val="bottom"/>
          </w:tcPr>
          <w:p>
            <w:pPr>
              <w:spacing w:after="0"/>
              <w:rPr>
                <w:sz w:val="20"/>
                <w:szCs w:val="20"/>
                <w:color w:val="auto"/>
              </w:rPr>
            </w:pPr>
          </w:p>
        </w:tc>
        <w:tc>
          <w:tcPr>
            <w:tcW w:w="17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Interest Rates</w:t>
            </w:r>
          </w:p>
        </w:tc>
        <w:tc>
          <w:tcPr>
            <w:tcW w:w="3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Maturity Date</w:t>
            </w:r>
          </w:p>
        </w:tc>
      </w:tr>
      <w:tr>
        <w:trPr>
          <w:trHeight w:val="27"/>
        </w:trPr>
        <w:tc>
          <w:tcPr>
            <w:tcW w:w="3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Secured credit facilities and mortgages: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25"/>
        </w:trPr>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2015 $250 Million Secured Revolving Credit</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4"/>
        </w:trPr>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Facility</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LIBOR + 2.75%</w:t>
            </w:r>
          </w:p>
        </w:tc>
        <w:tc>
          <w:tcPr>
            <w:tcW w:w="3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2"/>
              </w:rPr>
              <w:t>(1)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2018</w:t>
            </w: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2016 Senior Secured Credit Facility</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498,750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498,648</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LIBOR + 3.75%</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2"/>
              </w:rPr>
              <w:t>(2)</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2020</w:t>
            </w:r>
          </w:p>
        </w:tc>
      </w:tr>
      <w:tr>
        <w:trPr>
          <w:trHeight w:val="243"/>
        </w:trPr>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Mortgages collateralized by net lease assets</w:t>
            </w: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225,624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249,987</w:t>
            </w:r>
          </w:p>
        </w:tc>
        <w:tc>
          <w:tcPr>
            <w:tcW w:w="1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4.851% - 7.26%</w:t>
            </w:r>
          </w:p>
        </w:tc>
        <w:tc>
          <w:tcPr>
            <w:tcW w:w="3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2"/>
              </w:rPr>
              <w:t>(3)</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Various through 2032</w:t>
            </w:r>
          </w:p>
        </w:tc>
      </w:tr>
      <w:tr>
        <w:trPr>
          <w:trHeight w:val="27"/>
        </w:trPr>
        <w:tc>
          <w:tcPr>
            <w:tcW w:w="3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secured credit facilities and mortgages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724,374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748,635</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Unsecured notes:</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5.85% senior notes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99,722</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2017</w:t>
            </w:r>
          </w:p>
        </w:tc>
      </w:tr>
      <w:tr>
        <w:trPr>
          <w:trHeight w:val="243"/>
        </w:trPr>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9.00% senior notes</w:t>
            </w:r>
          </w:p>
        </w:tc>
        <w:tc>
          <w:tcPr>
            <w:tcW w:w="2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275,000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3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2017</w:t>
            </w: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700" w:type="dxa"/>
            <w:vAlign w:val="bottom"/>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4.00% senior notes</w:t>
            </w:r>
            <w:r>
              <w:rPr>
                <w:rFonts w:ascii="Times New Roman" w:cs="Times New Roman" w:eastAsia="Times New Roman" w:hAnsi="Times New Roman"/>
                <w:sz w:val="25"/>
                <w:szCs w:val="25"/>
                <w:color w:val="auto"/>
                <w:vertAlign w:val="superscript"/>
              </w:rPr>
              <w:t>(4)</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550,000</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4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2017</w:t>
            </w:r>
          </w:p>
        </w:tc>
      </w:tr>
      <w:tr>
        <w:trPr>
          <w:trHeight w:val="243"/>
        </w:trPr>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7.125% senior notes</w:t>
            </w: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3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2018</w:t>
            </w: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700" w:type="dxa"/>
            <w:vAlign w:val="bottom"/>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4.875% senior notes</w:t>
            </w:r>
            <w:r>
              <w:rPr>
                <w:rFonts w:ascii="Times New Roman" w:cs="Times New Roman" w:eastAsia="Times New Roman" w:hAnsi="Times New Roman"/>
                <w:sz w:val="25"/>
                <w:szCs w:val="25"/>
                <w:color w:val="auto"/>
                <w:vertAlign w:val="superscript"/>
              </w:rPr>
              <w:t>(5)</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300,000</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34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2018</w:t>
            </w:r>
          </w:p>
        </w:tc>
      </w:tr>
      <w:tr>
        <w:trPr>
          <w:trHeight w:val="270"/>
        </w:trPr>
        <w:tc>
          <w:tcPr>
            <w:tcW w:w="3700" w:type="dxa"/>
            <w:vAlign w:val="bottom"/>
          </w:tcPr>
          <w:p>
            <w:pPr>
              <w:ind w:left="160"/>
              <w:spacing w:after="0" w:line="270" w:lineRule="exact"/>
              <w:rPr>
                <w:sz w:val="20"/>
                <w:szCs w:val="20"/>
                <w:color w:val="auto"/>
              </w:rPr>
            </w:pPr>
            <w:r>
              <w:rPr>
                <w:rFonts w:ascii="Times New Roman" w:cs="Times New Roman" w:eastAsia="Times New Roman" w:hAnsi="Times New Roman"/>
                <w:sz w:val="18"/>
                <w:szCs w:val="18"/>
                <w:color w:val="auto"/>
              </w:rPr>
              <w:t>5.00% senior notes</w:t>
            </w:r>
            <w:r>
              <w:rPr>
                <w:rFonts w:ascii="Times New Roman" w:cs="Times New Roman" w:eastAsia="Times New Roman" w:hAnsi="Times New Roman"/>
                <w:sz w:val="25"/>
                <w:szCs w:val="25"/>
                <w:color w:val="auto"/>
                <w:vertAlign w:val="superscript"/>
              </w:rPr>
              <w:t>(6)</w:t>
            </w:r>
          </w:p>
        </w:tc>
        <w:tc>
          <w:tcPr>
            <w:tcW w:w="22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770,000</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770,000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4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2019</w:t>
            </w:r>
          </w:p>
        </w:tc>
      </w:tr>
      <w:tr>
        <w:trPr>
          <w:trHeight w:val="270"/>
        </w:trPr>
        <w:tc>
          <w:tcPr>
            <w:tcW w:w="3700" w:type="dxa"/>
            <w:vAlign w:val="bottom"/>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6.50% senior notes</w:t>
            </w:r>
            <w:r>
              <w:rPr>
                <w:rFonts w:ascii="Times New Roman" w:cs="Times New Roman" w:eastAsia="Times New Roman" w:hAnsi="Times New Roman"/>
                <w:sz w:val="25"/>
                <w:szCs w:val="25"/>
                <w:color w:val="auto"/>
                <w:vertAlign w:val="superscript"/>
              </w:rPr>
              <w:t>(7)</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275,000</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4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2021</w:t>
            </w:r>
          </w:p>
        </w:tc>
      </w:tr>
      <w:tr>
        <w:trPr>
          <w:trHeight w:val="270"/>
        </w:trPr>
        <w:tc>
          <w:tcPr>
            <w:tcW w:w="3700" w:type="dxa"/>
            <w:vAlign w:val="bottom"/>
            <w:tcBorders>
              <w:bottom w:val="single" w:sz="8" w:color="CCEEFF"/>
            </w:tcBorders>
          </w:tcPr>
          <w:p>
            <w:pPr>
              <w:ind w:left="160"/>
              <w:spacing w:after="0" w:line="270" w:lineRule="exact"/>
              <w:rPr>
                <w:sz w:val="20"/>
                <w:szCs w:val="20"/>
                <w:color w:val="auto"/>
              </w:rPr>
            </w:pPr>
            <w:r>
              <w:rPr>
                <w:rFonts w:ascii="Times New Roman" w:cs="Times New Roman" w:eastAsia="Times New Roman" w:hAnsi="Times New Roman"/>
                <w:sz w:val="18"/>
                <w:szCs w:val="18"/>
                <w:color w:val="auto"/>
              </w:rPr>
              <w:t>6.00% senior notes</w:t>
            </w:r>
            <w:r>
              <w:rPr>
                <w:rFonts w:ascii="Times New Roman" w:cs="Times New Roman" w:eastAsia="Times New Roman" w:hAnsi="Times New Roman"/>
                <w:sz w:val="25"/>
                <w:szCs w:val="25"/>
                <w:color w:val="auto"/>
                <w:vertAlign w:val="superscript"/>
              </w:rPr>
              <w:t>(8)</w:t>
            </w:r>
          </w:p>
        </w:tc>
        <w:tc>
          <w:tcPr>
            <w:tcW w:w="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40" w:type="dxa"/>
            <w:vAlign w:val="bottom"/>
            <w:tcBorders>
              <w:bottom w:val="single" w:sz="8" w:color="CCEEFF"/>
            </w:tcBorders>
          </w:tcPr>
          <w:p>
            <w:pPr>
              <w:spacing w:after="0"/>
              <w:rPr>
                <w:sz w:val="23"/>
                <w:szCs w:val="23"/>
                <w:color w:val="auto"/>
              </w:rPr>
            </w:pPr>
          </w:p>
        </w:tc>
        <w:tc>
          <w:tcPr>
            <w:tcW w:w="1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April 2022</w:t>
            </w: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unsecured notes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2,570,000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2,569,722</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debt obligations:</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Trust preferred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LIBOR + 1.50%</w:t>
            </w:r>
          </w:p>
        </w:tc>
        <w:tc>
          <w:tcPr>
            <w:tcW w:w="3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2035</w:t>
            </w:r>
          </w:p>
        </w:tc>
      </w:tr>
      <w:tr>
        <w:trPr>
          <w:trHeight w:val="23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 obligations</w:t>
            </w: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3,394,374</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3,418,357</w:t>
            </w: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discounts and deferred financing costs, net</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(26,261)</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(28,449)</w:t>
            </w:r>
          </w:p>
        </w:tc>
        <w:tc>
          <w:tcPr>
            <w:tcW w:w="1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r>
      <w:tr>
        <w:trPr>
          <w:trHeight w:val="29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 obligations, net</w:t>
            </w:r>
            <w:r>
              <w:rPr>
                <w:rFonts w:ascii="Times New Roman" w:cs="Times New Roman" w:eastAsia="Times New Roman" w:hAnsi="Times New Roman"/>
                <w:sz w:val="25"/>
                <w:szCs w:val="25"/>
                <w:b w:val="1"/>
                <w:bCs w:val="1"/>
                <w:color w:val="auto"/>
                <w:vertAlign w:val="superscript"/>
              </w:rPr>
              <w:t>(9)</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3,368,113</w:t>
            </w:r>
          </w:p>
        </w:tc>
        <w:tc>
          <w:tcPr>
            <w:tcW w:w="100" w:type="dxa"/>
            <w:vAlign w:val="bottom"/>
          </w:tcPr>
          <w:p>
            <w:pPr>
              <w:spacing w:after="0"/>
              <w:rPr>
                <w:sz w:val="24"/>
                <w:szCs w:val="24"/>
                <w:color w:val="auto"/>
              </w:rPr>
            </w:pPr>
          </w:p>
        </w:tc>
        <w:tc>
          <w:tcPr>
            <w:tcW w:w="100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3,389,908</w:t>
            </w: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-20955</wp:posOffset>
            </wp:positionV>
            <wp:extent cx="23755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75535" cy="260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 w:lineRule="exact"/>
        <w:rPr>
          <w:sz w:val="20"/>
          <w:szCs w:val="20"/>
          <w:color w:val="auto"/>
        </w:rPr>
      </w:pPr>
    </w:p>
    <w:p>
      <w:pPr>
        <w:jc w:val="both"/>
        <w:ind w:left="500" w:hanging="492"/>
        <w:spacing w:after="0" w:line="241" w:lineRule="auto"/>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bears interest at the Company's election of either (i) a base rate, which is the greater of (a) prime, (b) federal funds plus 0.5% or (c) LIBOR plus 1.0% and subject to a margin ranging from 1.25% to 1.75%, or (ii) LIBOR subject to a margin ranging from 2.25% to 2.75%. At maturity, the Company may convert outstanding borrowings to a one year term loan which matures in quarterly installments through March 2019.</w:t>
      </w:r>
    </w:p>
    <w:p>
      <w:pPr>
        <w:spacing w:after="0" w:line="1" w:lineRule="exact"/>
        <w:rPr>
          <w:rFonts w:ascii="Times New Roman" w:cs="Times New Roman" w:eastAsia="Times New Roman" w:hAnsi="Times New Roman"/>
          <w:sz w:val="14"/>
          <w:szCs w:val="14"/>
          <w:color w:val="auto"/>
        </w:rPr>
      </w:pPr>
    </w:p>
    <w:p>
      <w:pPr>
        <w:ind w:left="500" w:hanging="492"/>
        <w:spacing w:after="0" w:line="241" w:lineRule="auto"/>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bears interest at the Company's election of either (i) a base rate, which is the greater of (a) prime, (b) federal funds plus 0.5% or (c) LIBOR plus 1.0% and subject to a margin of 2.75% or (ii) LIBOR subject to a margin of 3.75% with a minimum LIBOR rate of 1.0%.</w:t>
      </w:r>
    </w:p>
    <w:p>
      <w:pPr>
        <w:ind w:left="500" w:hanging="492"/>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2017 and December 31, 2016, includes a loan with a floating rate of LIBOR plus 2.0%. As of June 30, 2017, the weighted average interest rate of these loans is 5.2%.</w:t>
      </w:r>
    </w:p>
    <w:p>
      <w:pPr>
        <w:spacing w:after="0" w:line="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can prepay these senior notes without penalty beginning August 1, 2017.</w:t>
      </w:r>
    </w:p>
    <w:p>
      <w:pPr>
        <w:spacing w:after="0" w:line="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can prepay these senior notes without penalty beginning January 1, 2018.</w:t>
      </w:r>
    </w:p>
    <w:p>
      <w:pPr>
        <w:spacing w:after="0" w:line="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can prepay these senior notes without penalty beginning July 1, 2018.</w:t>
      </w:r>
    </w:p>
    <w:p>
      <w:pPr>
        <w:spacing w:after="0" w:line="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can prepay these senior notes without penalty beginning July 1, 2020.</w:t>
      </w:r>
    </w:p>
    <w:p>
      <w:pPr>
        <w:spacing w:after="0" w:line="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can prepay these senior notes without penalty beginning April 1, 2021.</w:t>
      </w:r>
    </w:p>
    <w:p>
      <w:pPr>
        <w:spacing w:after="0" w:line="1" w:lineRule="exact"/>
        <w:rPr>
          <w:rFonts w:ascii="Times New Roman" w:cs="Times New Roman" w:eastAsia="Times New Roman" w:hAnsi="Times New Roman"/>
          <w:sz w:val="14"/>
          <w:szCs w:val="14"/>
          <w:color w:val="auto"/>
        </w:rPr>
      </w:pPr>
    </w:p>
    <w:p>
      <w:pPr>
        <w:ind w:left="500" w:hanging="492"/>
        <w:spacing w:after="0" w:line="258" w:lineRule="auto"/>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capitalized interest relating to development activities of $2.0 million and $4.0 million during the three and six months ended June 30, 2017, respectively, and $1.4 million and $2.8 million during the three and six months ended June 30,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Future Scheduled Maturities</w:t>
      </w:r>
      <w:r>
        <w:rPr>
          <w:rFonts w:ascii="Times New Roman" w:cs="Times New Roman" w:eastAsia="Times New Roman" w:hAnsi="Times New Roman"/>
          <w:sz w:val="18"/>
          <w:szCs w:val="18"/>
          <w:color w:val="auto"/>
        </w:rPr>
        <w:t>—As of June 30, 2017, future scheduled maturities of outstanding debt obligations are as follows ($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Unsecured Debt</w:t>
            </w:r>
          </w:p>
        </w:tc>
        <w:tc>
          <w:tcPr>
            <w:tcW w:w="22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Secured Debt</w:t>
            </w:r>
          </w:p>
        </w:tc>
        <w:tc>
          <w:tcPr>
            <w:tcW w:w="40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 (remaining six months)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550,000</w:t>
            </w: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610,091</w:t>
            </w: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798,350</w:t>
            </w: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498,750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498,750</w:t>
            </w: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118,287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393,287</w:t>
            </w: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68,896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543,896</w:t>
            </w:r>
          </w:p>
        </w:tc>
      </w:tr>
      <w:tr>
        <w:trPr>
          <w:trHeight w:val="27"/>
        </w:trPr>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principal maturities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724,374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3,394,374</w:t>
            </w: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Unamortized discounts and deferred financing costs, net</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(26,261)</w:t>
            </w:r>
          </w:p>
        </w:tc>
      </w:tr>
      <w:tr>
        <w:trPr>
          <w:trHeight w:val="27"/>
        </w:trPr>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debt obligations,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2,651,581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716,532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3,368,113</w:t>
            </w: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-95885</wp:posOffset>
            </wp:positionV>
            <wp:extent cx="3404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jc w:val="both"/>
        <w:ind w:left="500" w:hanging="492"/>
        <w:spacing w:after="0" w:line="245" w:lineRule="auto"/>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$550.0 million of debt obligations maturing during the remainder of 2017, and $610.0 million of other debt obligations maturing before the end of August 2018, as listed in the debt obligations table above. The Company's plans to satisfy these obligations primarily consist of using cash on hand and accessing the debt and/or equity markets to obtain capital to satisfy the maturing obligations. In addition, management intends to execute on its business strategy of disposing of assets as well as collecting loan repayments from borrowers to further generate available liquidity. Should these sources of capital not be sufficiently available, the Company will slow its pace of making new investments and will need to identify alternative sources of capital. As of August 2, 2017, the Company had approximately $1.2 billion of cash and available capacity under existing borrowing arrangements.</w:t>
      </w:r>
    </w:p>
    <w:p>
      <w:pPr>
        <w:spacing w:after="0" w:line="13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color w:val="auto"/>
        </w:rPr>
        <w:t>2017 Secured Financing</w:t>
      </w:r>
      <w:r>
        <w:rPr>
          <w:rFonts w:ascii="Times New Roman" w:cs="Times New Roman" w:eastAsia="Times New Roman" w:hAnsi="Times New Roman"/>
          <w:sz w:val="18"/>
          <w:szCs w:val="18"/>
          <w:color w:val="auto"/>
        </w:rPr>
        <w:t>—In March 2017, the Company (through wholly-owned subsidiaries conducting the Company's GL business) entered into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$227.0 million secured financing transaction (the "2017 Secured Financing") that accrued interest at 3.795% and matures in April 2027. The 2017 Secured Financing was collateralized by the 12 properties comprising the Company's GL business, including seven GLs and one master lease (covering the accounts of five properties). In connection with the 2017 Secured Financing, the Company incurred $7.3 million of lender and third-party fees, substantially all of which was capitalized in "Debt obligations, net" on the Company's consolidated balance sheets. In April 2017, the Company derecognized the 2017 Secured Financing when third parties acquired a controlling interest in the Company's GL business (refer to Note 4).</w:t>
      </w:r>
    </w:p>
    <w:p>
      <w:pPr>
        <w:spacing w:after="0" w:line="14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is providing a limited recourse guaranty and environmental indemnity under the 2017 Secured Financing that will remain in effect until SAFE has achieved either an equity market capitalization of at least $500.0 million (inclusive of the initial portfolio that the Company contributed to SAFE) or a net worth of at least $250.0 million (exclusive of the initial portfolio that the Company contributed to SAFE), and SAFE or another replacement guarantor provides similar guaranties and indemnities to the lenders. The management agreement with SAFE provides that SAFE may not terminate the management agreement unless a successor guarantor reasonably acceptable to the Company has agreed to replace the Company as guarantor and indemnitor or has provided the Company with a reasonably acceptable indemnity for any losses suffered by the Company as guarantor and indemnitor. SAFE has generally agreed to indemnify the Company for any amounts the Company is required to pay, or other losses the Company may suffer, under the limited recourse guaranty and environmental indemnity.</w:t>
      </w:r>
    </w:p>
    <w:p>
      <w:pPr>
        <w:spacing w:after="0" w:line="141"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2016 Secured Term Loan</w:t>
      </w:r>
      <w:r>
        <w:rPr>
          <w:rFonts w:ascii="Times New Roman" w:cs="Times New Roman" w:eastAsia="Times New Roman" w:hAnsi="Times New Roman"/>
          <w:sz w:val="18"/>
          <w:szCs w:val="18"/>
          <w:color w:val="auto"/>
        </w:rPr>
        <w:t>—In December 2016, the Company arranged a $170.0 million delayed draw secured term loan (the "2016 Secured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In March 2017, the Company allowed the 2016 Secured Term Loan to expire and replaced the 2016 Secured Term Loan with the 2017 Secured Financing. The 2016 Secured Term Loan was collateralized by the 12 properties that served as collateral for the 2017 Secured Financing.</w:t>
      </w:r>
    </w:p>
    <w:p>
      <w:pPr>
        <w:spacing w:after="0" w:line="13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b w:val="1"/>
          <w:bCs w:val="1"/>
          <w:color w:val="auto"/>
        </w:rPr>
        <w:t>2016 Senior Secured Credit Facility</w:t>
      </w:r>
      <w:r>
        <w:rPr>
          <w:rFonts w:ascii="Times New Roman" w:cs="Times New Roman" w:eastAsia="Times New Roman" w:hAnsi="Times New Roman"/>
          <w:sz w:val="18"/>
          <w:szCs w:val="18"/>
          <w:color w:val="auto"/>
        </w:rPr>
        <w:t>—In June 2016, the Company entered into a senior secured credit facility of $450.0 million (the "2016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Secured Credit Facility"). In August 2016, the Company upsized the facility to $500.0 million. The initial $450.0 million of the 2016 Senior Secured Credit Facility was issued at 99% of par and the upsize was issued at par. The 2016 Senior Secured Credit Facility initially accrued interest at a floating rate of LIBOR plus 4.50% with a 1.00% LIBOR floor. In January 2017, the Company repriced the 2016 Senior Secured Credit Facility to LIBOR plus 3.75% with a 1.00% LIBOR floor. The 2016 Senior Secured Credit Facility is collateralized 1.25x by a first lien on a fixed pool of assets. Proceeds from principal repayments and sales of collateral are applied to amortize the 2016 Senior Secured Credit Facility. Proceeds received for interest, rent, lease payments and fee income are retained by the Company. The Company may also make optional prepayments, subject to prepayment fees, and is required to repay 0.25% of the principal amount on the first business day of each quarter. Proceeds from the 2016 Senior Secured Credit Facility, together with cash on hand, were primarily used to repay other secured debt.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the 2016 Senior Secured Credit Facility, the Company incurred $4.5 million of lender fees, substantially all of which was capitalized in "Debt obligations, net" on the Company's consolidated balance sheets. The Company also incurred $6.2 million in third party fees, of which $4.3 million was capitalized in “Debt obligations, net” on the Company's consolidated balance sheets, as it related to new lenders, and $1.9 million was recognized in “Other expense” in the Company's consolidated statements of operations as it related primarily to those lenders from the original facility that modified their debt under the new facility. In connection with the repricing of the 2016 Senior Secured Credit Facility in January 2017, the Company incurred an additional $0.8 million in fees, substantially all of which was recognized in "Other expense" in the Company's consolidated statements of operations.</w:t>
      </w:r>
    </w:p>
    <w:p>
      <w:pPr>
        <w:spacing w:after="0" w:line="18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b w:val="1"/>
          <w:bCs w:val="1"/>
          <w:color w:val="auto"/>
        </w:rPr>
        <w:t>2015 Secured Revolving Credit Facility</w:t>
      </w:r>
      <w:r>
        <w:rPr>
          <w:rFonts w:ascii="Times New Roman" w:cs="Times New Roman" w:eastAsia="Times New Roman" w:hAnsi="Times New Roman"/>
          <w:sz w:val="18"/>
          <w:szCs w:val="18"/>
          <w:color w:val="auto"/>
        </w:rPr>
        <w:t>—In March 2015, the Company entered into a secured revolving credit facility with a maximum capacity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$250.0 million (the "2015 Secured Revolving Credit Facility"). Borrowings under this credit facility bear interest at a floating rate indexed to one of several base rates plus a margin which adjusts upward or downward based upon the Company's corporate credit rating. An undrawn credit facility commitment fee ranges from 0.375% to 0.50%, based on average utilization each quarter. Commitments under the revolving facility mature in March 2018. At maturity, the Company may convert outstanding borrowings to a one year term loan which matures in quarterly installments through March 2019. As of June 30, 2017, based on the Company's borrowing base of assets, the Company had $234.6 million of borrowing capacity available under the 2015 Secured Revolving Credit Facility.</w:t>
      </w:r>
    </w:p>
    <w:p>
      <w:pPr>
        <w:spacing w:after="0" w:line="1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Unsecured Notes</w:t>
      </w:r>
      <w:r>
        <w:rPr>
          <w:rFonts w:ascii="Times New Roman" w:cs="Times New Roman" w:eastAsia="Times New Roman" w:hAnsi="Times New Roman"/>
          <w:sz w:val="18"/>
          <w:szCs w:val="18"/>
          <w:color w:val="auto"/>
        </w:rPr>
        <w:t>—In March 2017, the Company issued $375.0 million principal amount of 6.00% senior unsecured notes due April 2022. Proceeds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offering were primarily used to repay in full the $99.7 million principal amount of 5.85% senior unsecured notes due March 2017 and repay in full the $275.0 million principal amount of 9.00% senior unsecured notes due June 2017 prior to maturity. In March 2016, the Company repaid its $261.4 million principal amount of 5.875% senior unsecured notes at maturity using available cash. In addition, the Company issued $275.0 million principal amount of 6.50% senior unsecured notes due July 2021. Proceeds from the offering were primarily used to repay in full the $265.0 million principal amount of senior unsecured notes due July 2016 and repay $5.0 million of the 2015 Secured Revolving Credit Facility. During the three and six months ended June 30, 2017, repayments of unsecured notes prior to maturity resulted in losses on early extinguishment of debt of $3.1 million. During the three and six months ended June 30, 2016, repayments of unsecured notes prior to maturity resulted in losses on early extinguishment of debt of $0.4 million. This amount is included in "Loss on early extinguishment of debt, net" in the Company's consolidated statements of operations.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November 2016, in connection with the retirement of the Company's $200.0 million principal amount of 3.0% senior unsecured convertible notes due November 2016, the Company converted $9.6 million principal amount into 0.8 million shares of our common stock.</w:t>
      </w:r>
    </w:p>
    <w:p>
      <w:pPr>
        <w:spacing w:after="0" w:line="158"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Encumbered/Unencumbered Assets</w:t>
      </w:r>
      <w:r>
        <w:rPr>
          <w:rFonts w:ascii="Times New Roman" w:cs="Times New Roman" w:eastAsia="Times New Roman" w:hAnsi="Times New Roman"/>
          <w:sz w:val="18"/>
          <w:szCs w:val="18"/>
          <w:color w:val="auto"/>
        </w:rPr>
        <w:t>—The carrying value of the Company's encumbered and unencumbered assets by asset type are as follows ($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2017</w:t>
            </w:r>
          </w:p>
        </w:tc>
        <w:tc>
          <w:tcPr>
            <w:tcW w:w="160" w:type="dxa"/>
            <w:vAlign w:val="bottom"/>
          </w:tcPr>
          <w:p>
            <w:pPr>
              <w:spacing w:after="0"/>
              <w:rPr>
                <w:sz w:val="20"/>
                <w:szCs w:val="20"/>
                <w:color w:val="auto"/>
              </w:rPr>
            </w:pPr>
          </w:p>
        </w:tc>
        <w:tc>
          <w:tcPr>
            <w:tcW w:w="290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December 31, 2016</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4"/>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Encumbered</w:t>
            </w: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Unencumbered</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Encumbered</w:t>
            </w:r>
          </w:p>
        </w:tc>
        <w:tc>
          <w:tcPr>
            <w:tcW w:w="160" w:type="dxa"/>
            <w:vAlign w:val="bottom"/>
          </w:tcPr>
          <w:p>
            <w:pPr>
              <w:spacing w:after="0"/>
              <w:rPr>
                <w:sz w:val="18"/>
                <w:szCs w:val="18"/>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Unencumbered</w:t>
            </w:r>
          </w:p>
        </w:tc>
      </w:tr>
      <w:tr>
        <w:trPr>
          <w:trHeight w:val="238"/>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20"/>
                <w:szCs w:val="20"/>
                <w:color w:val="auto"/>
              </w:rPr>
            </w:pPr>
          </w:p>
        </w:tc>
        <w:tc>
          <w:tcPr>
            <w:tcW w:w="14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Assets</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871,613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471,369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881,212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506,062</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available and held for sale</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68,045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237,531</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development,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830,397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910,400</w:t>
            </w:r>
          </w:p>
        </w:tc>
      </w:tr>
      <w:tr>
        <w:trPr>
          <w:trHeight w:val="270"/>
        </w:trPr>
        <w:tc>
          <w:tcPr>
            <w:tcW w:w="51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Loans receivable and other lending investments, net</w:t>
            </w:r>
            <w:r>
              <w:rPr>
                <w:rFonts w:ascii="Times New Roman" w:cs="Times New Roman" w:eastAsia="Times New Roman" w:hAnsi="Times New Roman"/>
                <w:sz w:val="25"/>
                <w:szCs w:val="25"/>
                <w:color w:val="auto"/>
                <w:vertAlign w:val="superscript"/>
              </w:rPr>
              <w:t>(1)(2)</w:t>
            </w: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137,722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943,592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172,581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1,142,050</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276,821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214,406</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other assets</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1,200,845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590,299</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1,034,435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3,791,069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1,088,958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3,600,748</w:t>
            </w: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-95885</wp:posOffset>
            </wp:positionV>
            <wp:extent cx="39789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ind w:left="500" w:hanging="49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2017 and December 31, 2016, the amounts presented exclude general reserves for loan losses of $17.8 million and $23.3 million, respectively.</w:t>
      </w:r>
    </w:p>
    <w:p>
      <w:pPr>
        <w:spacing w:after="0" w:line="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2017 and December 31, 2016, the amounts presented exclude loan participations of $107.1 million and $159.1 million, respectively.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Company's outstanding unsecured debt securities contain corporate level covenants that include a covenant to maintain a ratio of unencumbered assets to unsecured indebtedness of at least 1.2x and a covenant not to incur additional indebtedness (except for incurrences of permitted debt), if on a pro forma basis, the Company's consolidated fixed charge coverage ratio, determined in accordance with the indentures governing the Company's debt securities, is 1.5x or lower. If any of the Company's covenants are breached and not cured within applicable cure periods, the breach could result in acceleration of its debt securities unless a waiver or modification is agreed upon with the requisite percentage of the bondholders. If the Company's ability to incur additional indebtedness under the fixed charge coverage ratio is limited, the Company is permitted to incur indebtedness for the purpose of refinancing existing indebtedness and for other permitted purposes under the indentures.</w:t>
      </w:r>
    </w:p>
    <w:p>
      <w:pPr>
        <w:spacing w:after="0" w:line="18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The Company's 2016 Senior Secured Credit Facility and the 2015 Secured Revolving Credit Facility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2016 Senior Secured Credit Facility requires the Company to maintain collateral coverage of at least 1.25x outstanding borrowings on the facility. The 2015 Secured Revolving Credit Facility is secured by a borrowing base of assets and requires the Company to maintain both collateral coverage of at least 1.5x outstanding borrowings on the facility and a consolidated ratio of cash flow to fixed charges of at least 1.5x. The 2015 Secured Revolving Credit Facility does not require that proceeds from the borrowing base be used to pay down outstanding borrowings provided the collateral coverage remains at least 1.5x outstanding borrowings on the facility. To satisfy this covenant, the Company has the option to pay down outstanding borrowings or substitute assets in the borrowing base. In addition, for so long as the Company maintains its qualification as a REIT, the 2016 Senior Secured Credit Facility and the 2015 Secured Revolving Credit Facility permit the Company to distribute 100% of its REIT taxable income on an annual basis (prior to deducting certain cumulative net operating loss ("NOL") carryforwards). The Company may not pay common dividends if it ceases to qualify as a REIT.</w:t>
      </w:r>
    </w:p>
    <w:p>
      <w:pPr>
        <w:spacing w:after="0" w:line="19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Company's 2016 Senior Secured Credit Facility and the 2015 Secured Revolving Credit Facility contain cross default provisions that would allow the lenders to declare an event of default and accelerate the Company's indebtedness to them if the Company fails to pay amounts due in respect of its other recourse indebtedness in excess of specified thresholds or if the lenders under such other indebtedness are otherwise permitted to accelerate such indebtedness for any reason. The indentures governing the Company's unsecured public debt securities permit the bondholders to declare an event of default and accelerate the Company's indebtedness to them if the Company's other recourse indebtedness in excess of specified thresholds is not paid at final maturity or if such indebtedness is accelerated.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11—Commitments and Contingencies</w:t>
      </w:r>
    </w:p>
    <w:p>
      <w:pPr>
        <w:spacing w:after="0" w:line="22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Unfunded Commitments</w:t>
      </w:r>
      <w:r>
        <w:rPr>
          <w:rFonts w:ascii="Times New Roman" w:cs="Times New Roman" w:eastAsia="Times New Roman" w:hAnsi="Times New Roman"/>
          <w:sz w:val="18"/>
          <w:szCs w:val="18"/>
          <w:color w:val="auto"/>
        </w:rPr>
        <w:t>—The Company generally funds construction and development loans and build-outs of space in real estate assets over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time if and when the borrowers and tenants meet established milestones and other performance criteria. The Company refers to these arrangements as Performance-Based Commitments. In addition, the Company sometimes establishes a maximum amount of additional funding which it will make available to a borrower or tenant for an expansion or addition to a project if it approves of the expansion or addition in its sole discretion. The Company refers to these arrangements as Discretionary Fundings. Finally, the Company has committed to invest capital in several real estate funds and other ventures. These arrangements are referred to as Strategic Investments.</w:t>
      </w:r>
    </w:p>
    <w:p>
      <w:pPr>
        <w:spacing w:after="0" w:line="18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June 30, 2017, the maximum amount of fundings the Company may be required to make under each category, assuming all performance hurdles and milestones are met under the Performance-Based Commitments, that it approves all Discretionary Fundings and that 100% of its capital committed to Strategic Investments is drawn down, are as follows ($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Loans and Other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65"/>
        </w:trPr>
        <w:tc>
          <w:tcPr>
            <w:tcW w:w="3600" w:type="dxa"/>
            <w:vAlign w:val="bottom"/>
            <w:tcBorders>
              <w:bottom w:val="single" w:sz="8" w:color="CCEEFF"/>
            </w:tcBorders>
          </w:tcPr>
          <w:p>
            <w:pPr>
              <w:spacing w:after="0"/>
              <w:rPr>
                <w:sz w:val="23"/>
                <w:szCs w:val="23"/>
                <w:color w:val="auto"/>
              </w:rPr>
            </w:pPr>
          </w:p>
        </w:tc>
        <w:tc>
          <w:tcPr>
            <w:tcW w:w="1920" w:type="dxa"/>
            <w:vAlign w:val="bottom"/>
            <w:tcBorders>
              <w:bottom w:val="single" w:sz="8" w:color="auto"/>
            </w:tcBorders>
            <w:gridSpan w:val="2"/>
          </w:tcPr>
          <w:p>
            <w:pPr>
              <w:jc w:val="right"/>
              <w:spacing w:after="0" w:line="265" w:lineRule="exact"/>
              <w:rPr>
                <w:sz w:val="20"/>
                <w:szCs w:val="20"/>
                <w:color w:val="auto"/>
              </w:rPr>
            </w:pPr>
            <w:r>
              <w:rPr>
                <w:rFonts w:ascii="Times New Roman" w:cs="Times New Roman" w:eastAsia="Times New Roman" w:hAnsi="Times New Roman"/>
                <w:sz w:val="18"/>
                <w:szCs w:val="18"/>
                <w:b w:val="1"/>
                <w:bCs w:val="1"/>
                <w:color w:val="auto"/>
              </w:rPr>
              <w:t>Lending Investments</w:t>
            </w:r>
            <w:r>
              <w:rPr>
                <w:rFonts w:ascii="Times New Roman" w:cs="Times New Roman" w:eastAsia="Times New Roman" w:hAnsi="Times New Roman"/>
                <w:sz w:val="25"/>
                <w:szCs w:val="25"/>
                <w:b w:val="1"/>
                <w:bCs w:val="1"/>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Performance-Based Commitments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313,615</w:t>
            </w:r>
          </w:p>
        </w:tc>
        <w:tc>
          <w:tcPr>
            <w:tcW w:w="4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342,921</w:t>
            </w:r>
          </w:p>
        </w:tc>
      </w:tr>
      <w:tr>
        <w:trPr>
          <w:trHeight w:val="243"/>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Strategic Investments</w:t>
            </w: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45,634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45,634</w:t>
            </w:r>
          </w:p>
        </w:tc>
      </w:tr>
      <w:tr>
        <w:trPr>
          <w:trHeight w:val="27"/>
        </w:trPr>
        <w:tc>
          <w:tcPr>
            <w:tcW w:w="3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3600" w:type="dxa"/>
            <w:vAlign w:val="bottom"/>
            <w:shd w:val="clear" w:color="auto" w:fill="CCEEFF"/>
          </w:tcPr>
          <w:p>
            <w:pPr>
              <w:ind w:left="180"/>
              <w:spacing w:after="0" w:line="264"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5"/>
                <w:szCs w:val="25"/>
                <w:color w:val="auto"/>
                <w:vertAlign w:val="superscript"/>
              </w:rPr>
              <w:t>(2)</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313,615</w:t>
            </w:r>
          </w:p>
        </w:tc>
        <w:tc>
          <w:tcPr>
            <w:tcW w:w="4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7,886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67,054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388,555</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22</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7"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$130.3 million of commitments on loan participations sold that are not the obligation of the Company.</w:t>
      </w:r>
    </w:p>
    <w:p>
      <w:pPr>
        <w:spacing w:after="0" w:line="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did not have any Discretionary Fundings as of June 30, 2017.</w:t>
      </w:r>
    </w:p>
    <w:p>
      <w:pPr>
        <w:spacing w:after="0" w:line="202"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—The Company and/or one or more of its subsidiaries is party to various pending litigation matters that are considered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routine litigation incidental to the Company's business as a finance and investment company focused on the commercial real estate industry, including loan foreclosure and foreclosure-related proceedings. In addition to such matters, the Company is a party to the following legal proceedings:</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U.S. Home Corporation ("Lennar") v. Settlers Crossing, LLC, et al. (United States District Court for the District of Maryland, Civil Action No. DKC 08-1863)</w:t>
      </w:r>
    </w:p>
    <w:p>
      <w:pPr>
        <w:spacing w:after="0" w:line="12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This litigation involved a dispute over the purchase and sale of approximately 1,250 acres of land in Prince George’s County, Maryland. Following a trial, in January 2015, the United States District Court for the District of Maryland (the District Court) entered judgment in favor of the Company, finding that the Company was entitled to specific performance of the purchase and sale agreement and awarding the Company the aggregate amount of: (i) the remaining unpaid purchase price; plus (ii) simple interest on the unpaid amount at a rate of 12% annually from 2008; plus (iii) real estate taxes paid by the Company; plus (iv) actual and reasonable attorneys' fees and costs incurred by the Company in connection with the litigation. Lennar appealed the District Court's judgment. On April 12, 2017, the United States Court of Appeals for the Fourth Circuit affirmed the judgment of the District Court in its entirety. Lennar’s petition for rehearing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was summarily denied.</w:t>
      </w:r>
    </w:p>
    <w:p>
      <w:pPr>
        <w:spacing w:after="0" w:line="18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On April 21, 2017, the Company and Lennar completed the transfer of the land, pursuant to which the Company conveyed the land to Lennar and received net proceeds of $234.1 million after payment of $3.3 million in documentary transfer taxes, consisting of $114.0 million of sales proceeds, $121.8 million of interest and $1.6 million of real estate tax reimbursements. The interest and real estate tax reimbursements are recorded in "Other income" in the Company's consolidated statements of operations. The amount of attorneys’ fees and costs to be recovered by the Company will be determined through further proceedings before the District Court. The Company has applied for attorney’s fees in excess of $17.0 million. A portion of the net proceeds received by the Company has been paid to the third party which holds a 4.3% participation interest in all proceeds received by the Company.</w:t>
      </w:r>
    </w:p>
    <w:p>
      <w:pPr>
        <w:spacing w:after="0" w:line="18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a quarterly basis, the Company evaluates developments in legal proceedings that could require a liability to be accrued and/or disclosed. Based on its current knowledge, and after consultation with legal counsel, the Company believes it is not a party to, nor are any of its properties the subject of, any pending legal proceeding that would have a material adverse effect on the Company's consolidated financial statements.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12—Derivatives</w:t>
      </w:r>
    </w:p>
    <w:p>
      <w:pPr>
        <w:spacing w:after="0" w:line="14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Company's use of derivative financial instruments is primarily limited to the utilization of interest rate swaps, interest rate caps and foreign exchange contracts. The principal objective of such financial instruments is to minimize the risks and/or costs associated with the Company's operating and financial structure and to manage its exposure to interest rates and foreign exchange rates. Derivatives not designated as hedges are not speculative and are used to manage the Company's exposure to interest rate movements, foreign exchange rate movements, and other identified risks, but may not meet the strict hedge accounting requirements.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as well as their classification on the consolidated balance sheets ($ in thousands):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Derivative Assets as of</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 Liabilities as of</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1940" w:type="dxa"/>
            <w:vAlign w:val="bottom"/>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r>
      <w:tr>
        <w:trPr>
          <w:trHeight w:val="237"/>
        </w:trPr>
        <w:tc>
          <w:tcPr>
            <w:tcW w:w="1940" w:type="dxa"/>
            <w:vAlign w:val="bottom"/>
          </w:tcPr>
          <w:p>
            <w:pPr>
              <w:spacing w:after="0"/>
              <w:rPr>
                <w:sz w:val="20"/>
                <w:szCs w:val="20"/>
                <w:color w:val="auto"/>
              </w:rPr>
            </w:pPr>
          </w:p>
        </w:tc>
        <w:tc>
          <w:tcPr>
            <w:tcW w:w="202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20" w:type="dxa"/>
            <w:vAlign w:val="bottom"/>
          </w:tcPr>
          <w:p>
            <w:pPr>
              <w:spacing w:after="0"/>
              <w:rPr>
                <w:sz w:val="20"/>
                <w:szCs w:val="20"/>
                <w:color w:val="auto"/>
              </w:rPr>
            </w:pPr>
          </w:p>
        </w:tc>
        <w:tc>
          <w:tcPr>
            <w:tcW w:w="22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20" w:type="dxa"/>
            <w:vAlign w:val="bottom"/>
          </w:tcPr>
          <w:p>
            <w:pPr>
              <w:spacing w:after="0"/>
              <w:rPr>
                <w:sz w:val="20"/>
                <w:szCs w:val="20"/>
                <w:color w:val="auto"/>
              </w:rPr>
            </w:pPr>
          </w:p>
        </w:tc>
        <w:tc>
          <w:tcPr>
            <w:tcW w:w="226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194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4"/>
        </w:trPr>
        <w:tc>
          <w:tcPr>
            <w:tcW w:w="194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6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8"/>
                <w:szCs w:val="18"/>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80" w:type="dxa"/>
            <w:vAlign w:val="bottom"/>
          </w:tcPr>
          <w:p>
            <w:pPr>
              <w:spacing w:after="0"/>
              <w:rPr>
                <w:sz w:val="18"/>
                <w:szCs w:val="18"/>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1940" w:type="dxa"/>
            <w:vAlign w:val="bottom"/>
          </w:tcPr>
          <w:p>
            <w:pPr>
              <w:spacing w:after="0"/>
              <w:rPr>
                <w:sz w:val="20"/>
                <w:szCs w:val="20"/>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1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8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19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in Hedging Relationships</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25"/>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4"/>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6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r>
      <w:tr>
        <w:trPr>
          <w:trHeight w:val="297"/>
        </w:trPr>
        <w:tc>
          <w:tcPr>
            <w:tcW w:w="19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gridSpan w:val="2"/>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r>
      <w:tr>
        <w:trPr>
          <w:trHeight w:val="271"/>
        </w:trPr>
        <w:tc>
          <w:tcPr>
            <w:tcW w:w="19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43"/>
        </w:trPr>
        <w:tc>
          <w:tcPr>
            <w:tcW w:w="42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in Hedging Relationships</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5"/>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41"/>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cap</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64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9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622"/>
        </w:trPr>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9"/>
              </w:rPr>
              <w:t>24</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tables below present the effect of the Company's derivative financial instruments in the consolidated statements of operations and the consolidated statements of comprehensive income (loss) ($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20" w:type="dxa"/>
            <w:vAlign w:val="bottom"/>
          </w:tcPr>
          <w:p>
            <w:pPr>
              <w:spacing w:after="0"/>
              <w:rPr>
                <w:sz w:val="13"/>
                <w:szCs w:val="13"/>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gridSpan w:val="6"/>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0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20" w:type="dxa"/>
            <w:vAlign w:val="bottom"/>
          </w:tcPr>
          <w:p>
            <w:pPr>
              <w:spacing w:after="0"/>
              <w:rPr>
                <w:sz w:val="12"/>
                <w:szCs w:val="12"/>
                <w:color w:val="auto"/>
              </w:rPr>
            </w:pPr>
          </w:p>
        </w:tc>
        <w:tc>
          <w:tcPr>
            <w:tcW w:w="18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2520" w:type="dxa"/>
            <w:vAlign w:val="bottom"/>
            <w:gridSpan w:val="5"/>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1800" w:type="dxa"/>
            <w:vAlign w:val="bottom"/>
            <w:gridSpan w:val="6"/>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Accumulated</w:t>
            </w:r>
          </w:p>
        </w:tc>
        <w:tc>
          <w:tcPr>
            <w:tcW w:w="100" w:type="dxa"/>
            <w:vAlign w:val="bottom"/>
          </w:tcPr>
          <w:p>
            <w:pPr>
              <w:spacing w:after="0"/>
              <w:rPr>
                <w:sz w:val="12"/>
                <w:szCs w:val="12"/>
                <w:color w:val="auto"/>
              </w:rPr>
            </w:pPr>
          </w:p>
        </w:tc>
        <w:tc>
          <w:tcPr>
            <w:tcW w:w="18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2"/>
                <w:szCs w:val="12"/>
                <w:color w:val="auto"/>
              </w:rPr>
            </w:pPr>
          </w:p>
        </w:tc>
        <w:tc>
          <w:tcPr>
            <w:tcW w:w="18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 into</w:t>
            </w:r>
          </w:p>
        </w:tc>
        <w:tc>
          <w:tcPr>
            <w:tcW w:w="0" w:type="dxa"/>
            <w:vAlign w:val="bottom"/>
          </w:tcPr>
          <w:p>
            <w:pPr>
              <w:spacing w:after="0"/>
              <w:rPr>
                <w:sz w:val="1"/>
                <w:szCs w:val="1"/>
                <w:color w:val="auto"/>
              </w:rPr>
            </w:pPr>
          </w:p>
        </w:tc>
      </w:tr>
      <w:tr>
        <w:trPr>
          <w:trHeight w:val="149"/>
        </w:trPr>
        <w:tc>
          <w:tcPr>
            <w:tcW w:w="3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in Hedging Relationships</w:t>
            </w:r>
          </w:p>
        </w:tc>
        <w:tc>
          <w:tcPr>
            <w:tcW w:w="2520" w:type="dxa"/>
            <w:vAlign w:val="bottom"/>
            <w:gridSpan w:val="5"/>
            <w:vMerge w:val="continue"/>
          </w:tcPr>
          <w:p>
            <w:pPr>
              <w:spacing w:after="0"/>
              <w:rPr>
                <w:sz w:val="12"/>
                <w:szCs w:val="12"/>
                <w:color w:val="auto"/>
              </w:rPr>
            </w:pPr>
          </w:p>
        </w:tc>
        <w:tc>
          <w:tcPr>
            <w:tcW w:w="1800" w:type="dxa"/>
            <w:vAlign w:val="bottom"/>
            <w:gridSpan w:val="6"/>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w:t>
            </w:r>
          </w:p>
        </w:tc>
        <w:tc>
          <w:tcPr>
            <w:tcW w:w="100" w:type="dxa"/>
            <w:vAlign w:val="bottom"/>
          </w:tcPr>
          <w:p>
            <w:pPr>
              <w:spacing w:after="0"/>
              <w:rPr>
                <w:sz w:val="12"/>
                <w:szCs w:val="12"/>
                <w:color w:val="auto"/>
              </w:rPr>
            </w:pPr>
          </w:p>
        </w:tc>
        <w:tc>
          <w:tcPr>
            <w:tcW w:w="18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 into</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260" w:type="dxa"/>
            <w:vAlign w:val="bottom"/>
            <w:tcBorders>
              <w:bottom w:val="single" w:sz="8" w:color="auto"/>
            </w:tcBorders>
            <w:vMerge w:val="continue"/>
          </w:tcPr>
          <w:p>
            <w:pPr>
              <w:spacing w:after="0"/>
              <w:rPr>
                <w:sz w:val="16"/>
                <w:szCs w:val="16"/>
                <w:color w:val="auto"/>
              </w:rPr>
            </w:pPr>
          </w:p>
        </w:tc>
        <w:tc>
          <w:tcPr>
            <w:tcW w:w="23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Recognized in Income</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 (Effective Portion)</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(Effective Portion)</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(Ineffective Portion)</w:t>
            </w:r>
          </w:p>
        </w:tc>
        <w:tc>
          <w:tcPr>
            <w:tcW w:w="0" w:type="dxa"/>
            <w:vAlign w:val="bottom"/>
          </w:tcPr>
          <w:p>
            <w:pPr>
              <w:spacing w:after="0"/>
              <w:rPr>
                <w:sz w:val="1"/>
                <w:szCs w:val="1"/>
                <w:color w:val="auto"/>
              </w:rPr>
            </w:pPr>
          </w:p>
        </w:tc>
      </w:tr>
      <w:tr>
        <w:trPr>
          <w:trHeight w:val="249"/>
        </w:trPr>
        <w:tc>
          <w:tcPr>
            <w:tcW w:w="578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2017</w:t>
            </w: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5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cap</w:t>
            </w:r>
          </w:p>
        </w:tc>
        <w:tc>
          <w:tcPr>
            <w:tcW w:w="252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Earnings from equity method</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25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Earnings from equity method</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25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52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Earnings from equity method</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2016</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520" w:type="dxa"/>
            <w:vAlign w:val="bottom"/>
            <w:tcBorders>
              <w:bottom w:val="single" w:sz="8" w:color="CCEEFF"/>
            </w:tcBorders>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25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Earnings from equity method</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25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52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Earnings from equity method</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2017</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5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60" w:type="dxa"/>
            <w:vAlign w:val="bottom"/>
            <w:shd w:val="clear" w:color="auto" w:fill="CCEEFF"/>
          </w:tcPr>
          <w:p>
            <w:pPr>
              <w:spacing w:after="0"/>
              <w:rPr>
                <w:sz w:val="19"/>
                <w:szCs w:val="19"/>
                <w:color w:val="auto"/>
              </w:rPr>
            </w:pPr>
          </w:p>
        </w:tc>
        <w:tc>
          <w:tcPr>
            <w:tcW w:w="252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Earnings from equity method</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cap</w:t>
            </w:r>
          </w:p>
        </w:tc>
        <w:tc>
          <w:tcPr>
            <w:tcW w:w="2520" w:type="dxa"/>
            <w:vAlign w:val="bottom"/>
            <w:tcBorders>
              <w:bottom w:val="single" w:sz="8" w:color="CCEEFF"/>
            </w:tcBorders>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3260" w:type="dxa"/>
            <w:vAlign w:val="bottom"/>
          </w:tcPr>
          <w:p>
            <w:pPr>
              <w:spacing w:after="0"/>
              <w:rPr>
                <w:sz w:val="19"/>
                <w:szCs w:val="19"/>
                <w:color w:val="auto"/>
              </w:rPr>
            </w:pPr>
          </w:p>
        </w:tc>
        <w:tc>
          <w:tcPr>
            <w:tcW w:w="25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Earnings from equity method</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25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60" w:type="dxa"/>
            <w:vAlign w:val="bottom"/>
            <w:shd w:val="clear" w:color="auto" w:fill="CCEEFF"/>
          </w:tcPr>
          <w:p>
            <w:pPr>
              <w:spacing w:after="0"/>
              <w:rPr>
                <w:sz w:val="19"/>
                <w:szCs w:val="19"/>
                <w:color w:val="auto"/>
              </w:rPr>
            </w:pPr>
          </w:p>
        </w:tc>
        <w:tc>
          <w:tcPr>
            <w:tcW w:w="252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Earnings from equity method</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520" w:type="dxa"/>
            <w:vAlign w:val="bottom"/>
            <w:tcBorders>
              <w:bottom w:val="single" w:sz="8" w:color="CCEEFF"/>
            </w:tcBorders>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24"/>
        </w:trPr>
        <w:tc>
          <w:tcPr>
            <w:tcW w:w="3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2016</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cap</w:t>
            </w:r>
          </w:p>
        </w:tc>
        <w:tc>
          <w:tcPr>
            <w:tcW w:w="25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60" w:type="dxa"/>
            <w:vAlign w:val="bottom"/>
            <w:shd w:val="clear" w:color="auto" w:fill="CCEEFF"/>
          </w:tcPr>
          <w:p>
            <w:pPr>
              <w:spacing w:after="0"/>
              <w:rPr>
                <w:sz w:val="19"/>
                <w:szCs w:val="19"/>
                <w:color w:val="auto"/>
              </w:rPr>
            </w:pPr>
          </w:p>
        </w:tc>
        <w:tc>
          <w:tcPr>
            <w:tcW w:w="252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Earnings from equity method</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cap</w:t>
            </w:r>
          </w:p>
        </w:tc>
        <w:tc>
          <w:tcPr>
            <w:tcW w:w="2520" w:type="dxa"/>
            <w:vAlign w:val="bottom"/>
            <w:tcBorders>
              <w:bottom w:val="single" w:sz="8" w:color="CCEEFF"/>
            </w:tcBorders>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5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60" w:type="dxa"/>
            <w:vAlign w:val="bottom"/>
            <w:shd w:val="clear" w:color="auto" w:fill="CCEEFF"/>
          </w:tcPr>
          <w:p>
            <w:pPr>
              <w:spacing w:after="0"/>
              <w:rPr>
                <w:sz w:val="19"/>
                <w:szCs w:val="19"/>
                <w:color w:val="auto"/>
              </w:rPr>
            </w:pPr>
          </w:p>
        </w:tc>
        <w:tc>
          <w:tcPr>
            <w:tcW w:w="252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Earnings from equity method</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2520" w:type="dxa"/>
            <w:vAlign w:val="bottom"/>
            <w:tcBorders>
              <w:bottom w:val="single" w:sz="8" w:color="CCEEFF"/>
            </w:tcBorders>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3260" w:type="dxa"/>
            <w:vAlign w:val="bottom"/>
          </w:tcPr>
          <w:p>
            <w:pPr>
              <w:spacing w:after="0"/>
              <w:rPr>
                <w:sz w:val="19"/>
                <w:szCs w:val="19"/>
                <w:color w:val="auto"/>
              </w:rPr>
            </w:pPr>
          </w:p>
        </w:tc>
        <w:tc>
          <w:tcPr>
            <w:tcW w:w="25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Earnings from equity method</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5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541"/>
        </w:trPr>
        <w:tc>
          <w:tcPr>
            <w:tcW w:w="3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jc w:val="right"/>
              <w:ind w:right="348"/>
              <w:spacing w:after="0"/>
              <w:rPr>
                <w:sz w:val="20"/>
                <w:szCs w:val="20"/>
                <w:color w:val="auto"/>
              </w:rPr>
            </w:pPr>
            <w:r>
              <w:rPr>
                <w:rFonts w:ascii="Times New Roman" w:cs="Times New Roman" w:eastAsia="Times New Roman" w:hAnsi="Times New Roman"/>
                <w:sz w:val="18"/>
                <w:szCs w:val="18"/>
                <w:b w:val="1"/>
                <w:bCs w:val="1"/>
                <w:color w:val="auto"/>
              </w:rPr>
              <w:t>Amount of Gain (Loss)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right"/>
              <w:ind w:right="388"/>
              <w:spacing w:after="0"/>
              <w:rPr>
                <w:sz w:val="20"/>
                <w:szCs w:val="20"/>
                <w:color w:val="auto"/>
              </w:rPr>
            </w:pPr>
            <w:r>
              <w:rPr>
                <w:rFonts w:ascii="Times New Roman" w:cs="Times New Roman" w:eastAsia="Times New Roman" w:hAnsi="Times New Roman"/>
                <w:sz w:val="18"/>
                <w:szCs w:val="18"/>
                <w:b w:val="1"/>
                <w:bCs w:val="1"/>
                <w:color w:val="auto"/>
              </w:rPr>
              <w:t>Recognized in Income</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6"/>
          </w:tcPr>
          <w:p>
            <w:pPr>
              <w:spacing w:after="0"/>
              <w:rPr>
                <w:sz w:val="2"/>
                <w:szCs w:val="2"/>
                <w:color w:val="auto"/>
              </w:rPr>
            </w:pPr>
          </w:p>
        </w:tc>
        <w:tc>
          <w:tcPr>
            <w:tcW w:w="250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5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Six Months</w:t>
            </w:r>
          </w:p>
        </w:tc>
        <w:tc>
          <w:tcPr>
            <w:tcW w:w="0" w:type="dxa"/>
            <w:vAlign w:val="bottom"/>
          </w:tcPr>
          <w:p>
            <w:pPr>
              <w:spacing w:after="0"/>
              <w:rPr>
                <w:sz w:val="1"/>
                <w:szCs w:val="1"/>
                <w:color w:val="auto"/>
              </w:rPr>
            </w:pPr>
          </w:p>
        </w:tc>
      </w:tr>
      <w:tr>
        <w:trPr>
          <w:trHeight w:val="265"/>
        </w:trPr>
        <w:tc>
          <w:tcPr>
            <w:tcW w:w="3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60" w:type="dxa"/>
            <w:vAlign w:val="bottom"/>
          </w:tcPr>
          <w:p>
            <w:pPr>
              <w:spacing w:after="0"/>
              <w:rPr>
                <w:sz w:val="23"/>
                <w:szCs w:val="23"/>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326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Derivatives not Designated in Hedging</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5"/>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(Loss) Recognized in</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Relationships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260" w:type="dxa"/>
            <w:vAlign w:val="bottom"/>
            <w:gridSpan w:val="3"/>
          </w:tcPr>
          <w:p>
            <w:pPr>
              <w:jc w:val="right"/>
              <w:ind w:right="388"/>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40" w:type="dxa"/>
            <w:vAlign w:val="bottom"/>
            <w:gridSpan w:val="3"/>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3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cap</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Foreign Exchange Contracts</w:t>
      </w:r>
      <w:r>
        <w:rPr>
          <w:rFonts w:ascii="Times New Roman" w:cs="Times New Roman" w:eastAsia="Times New Roman" w:hAnsi="Times New Roman"/>
          <w:sz w:val="18"/>
          <w:szCs w:val="18"/>
          <w:color w:val="auto"/>
        </w:rPr>
        <w:t>—The Company is exposed to fluctuations in foreign exchange rates on investments it holds in foreign entities.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uses foreign exchange contracts to hedge its exposure to changes in foreign exchange rates on its foreign investments. Foreign exchange contracts involve fixing the U.S. dollar ("USD") to the respective foreign currency exchange rate for delivery of a specified amount of foreign currency on a specified date. The foreign exchange contracts are typically cash settled in USD for their fair value at or close to their settlement date.</w:t>
      </w:r>
    </w:p>
    <w:p>
      <w:pPr>
        <w:spacing w:after="0" w:line="14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For derivatives designated as net investment hedges, the effective portion of changes in the fair value of the derivatives are reported in Accumulated Other Comprehensive Income as part of the cumulative translation adjustment. The ineffective portion of the change in fair value of the derivatives is recognized directly in earnings. Amounts are reclassified out of Accumulated Other Comprehensive Income into earnings when the hedged foreign entity is either sold or substantially liquidated. As of June 30, 2017, the Company had the following outstanding foreign currency derivatives that were used to hedge its net investments in foreign operations that were designated ($ and Rs in thousands):</w:t>
      </w:r>
    </w:p>
    <w:p>
      <w:pPr>
        <w:spacing w:after="0" w:line="180"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8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1540" w:type="dxa"/>
            <w:vAlign w:val="bottom"/>
          </w:tcPr>
          <w:p>
            <w:pPr>
              <w:spacing w:after="0"/>
              <w:rPr>
                <w:sz w:val="18"/>
                <w:szCs w:val="18"/>
                <w:color w:val="auto"/>
              </w:rPr>
            </w:pPr>
          </w:p>
        </w:tc>
      </w:tr>
      <w:tr>
        <w:trPr>
          <w:trHeight w:val="238"/>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Type</w:t>
            </w:r>
          </w:p>
        </w:tc>
        <w:tc>
          <w:tcPr>
            <w:tcW w:w="28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(USD Equivalent)</w:t>
            </w:r>
          </w:p>
        </w:tc>
        <w:tc>
          <w:tcPr>
            <w:tcW w:w="15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Maturity</w:t>
            </w:r>
          </w:p>
        </w:tc>
      </w:tr>
      <w:tr>
        <w:trPr>
          <w:trHeight w:val="27"/>
        </w:trPr>
        <w:tc>
          <w:tcPr>
            <w:tcW w:w="6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Sells Indian rupee ("INR")/Buys USD Forward</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5,344</w:t>
            </w: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July 2017</w:t>
            </w:r>
          </w:p>
        </w:tc>
      </w:tr>
    </w:tbl>
    <w:p>
      <w:pPr>
        <w:spacing w:after="0" w:line="15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derivatives not designated as net investment hedges, the changes in the fair value of the derivatives are reported in the Company's consolidated statements of operations within "Other Expense." As of June 30, 2017, the Company had the following outstanding foreign currency derivatives that were used to hedge its net investments in foreign operations that were not designated ($, €, and £ in thousands):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6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1360" w:type="dxa"/>
            <w:vAlign w:val="bottom"/>
          </w:tcPr>
          <w:p>
            <w:pPr>
              <w:spacing w:after="0"/>
              <w:rPr>
                <w:sz w:val="18"/>
                <w:szCs w:val="18"/>
                <w:color w:val="auto"/>
              </w:rPr>
            </w:pPr>
          </w:p>
        </w:tc>
      </w:tr>
      <w:tr>
        <w:trPr>
          <w:trHeight w:val="23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Type</w:t>
            </w:r>
          </w:p>
        </w:tc>
        <w:tc>
          <w:tcPr>
            <w:tcW w:w="300" w:type="dxa"/>
            <w:vAlign w:val="bottom"/>
          </w:tcPr>
          <w:p>
            <w:pPr>
              <w:spacing w:after="0"/>
              <w:rPr>
                <w:sz w:val="20"/>
                <w:szCs w:val="20"/>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(USD Equivalent)</w:t>
            </w:r>
          </w:p>
        </w:tc>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Maturity</w:t>
            </w:r>
          </w:p>
        </w:tc>
      </w:tr>
      <w:tr>
        <w:trPr>
          <w:trHeight w:val="27"/>
        </w:trPr>
        <w:tc>
          <w:tcPr>
            <w:tcW w:w="6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Sells euro ("EUR")/Buys USD Forward</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7,496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9"/>
              </w:rPr>
              <w:t>July 2017</w:t>
            </w:r>
          </w:p>
        </w:tc>
      </w:tr>
      <w:tr>
        <w:trPr>
          <w:trHeight w:val="24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Sells pound sterling ("GBP")/Buys USD Forward</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tcPr>
          <w:p>
            <w:pPr>
              <w:spacing w:after="0"/>
              <w:rPr>
                <w:sz w:val="21"/>
                <w:szCs w:val="21"/>
                <w:color w:val="auto"/>
              </w:rPr>
            </w:pPr>
          </w:p>
        </w:tc>
        <w:tc>
          <w:tcPr>
            <w:tcW w:w="13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July 2017</w:t>
            </w:r>
          </w:p>
        </w:tc>
      </w:tr>
    </w:tbl>
    <w:p>
      <w:pPr>
        <w:spacing w:after="0" w:line="1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marks its foreign investments each quarter based on current exchange rates and records the gain or loss through "Other expense" in its consolidated statements of operations for loan investments or "Accumulated other comprehensive income (loss)," on its consolidated balance sheets for net investments in foreign subsidiaries. The Company recorded net gains (losses) related to foreign investments of $0.1 million and $0.1 million during the three and six months ended June 30, 2017, respectively, and $(0.1) million during the three months ended June 30, 2016 in its consolidated statements of operations.</w:t>
      </w:r>
    </w:p>
    <w:p>
      <w:pPr>
        <w:spacing w:after="0" w:line="139"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Interest Rate Hedges</w:t>
      </w:r>
      <w:r>
        <w:rPr>
          <w:rFonts w:ascii="Times New Roman" w:cs="Times New Roman" w:eastAsia="Times New Roman" w:hAnsi="Times New Roman"/>
          <w:sz w:val="18"/>
          <w:szCs w:val="18"/>
          <w:color w:val="auto"/>
        </w:rPr>
        <w:t>—For derivatives designated as cash flow hedges, the effective portion of changes in the fair value of the derivatives are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Accumulated Other Comprehensive Income (Loss). The ineffective portion of the change in fair value of the derivatives is recognized directly in the Company's consolidated statements of operations. As of June 30, 2017, the Company had the following outstanding interest rate swap that was used to hedge its variable rate debt that was designated as a cash flow hedge ($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8"/>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 Type</w:t>
            </w:r>
          </w:p>
        </w:tc>
        <w:tc>
          <w:tcPr>
            <w:tcW w:w="30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Variable Rate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Fixed Rate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Effective Date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2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26,116</w:t>
            </w:r>
          </w:p>
        </w:tc>
        <w:tc>
          <w:tcPr>
            <w:tcW w:w="1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LIBOR + 2.00%</w:t>
            </w:r>
          </w:p>
        </w:tc>
        <w:tc>
          <w:tcPr>
            <w:tcW w:w="16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October 2012</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2019</w:t>
            </w:r>
          </w:p>
        </w:tc>
      </w:tr>
      <w:tr>
        <w:trPr>
          <w:trHeight w:val="27"/>
        </w:trPr>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2017, the Company entered into and settled a rate lock swap in connection with the 2017 Secured Financing and a simultaneous rate lock swap with SAFE. As a result of the settlements, the Company initially recorded a $0.4 million unrealized gain in “Accumulated other comprehensive income” on the Company’s consolidated balance sheets and subsequently derecognized the gain when third parties acquired a controlling interest in the Company's GL business (refer to Note 4).</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For derivatives not designated as cash flow hedges, the changes in the fair value of the derivatives are reported in the Company's consolidated statements of operations within "Other Expense." As of June 30, 2017, the Company had the following outstanding interest rate cap that was used to hedge its variable rate debt that was not designated as a cash flow hedge ($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8"/>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 Type</w:t>
            </w:r>
          </w:p>
        </w:tc>
        <w:tc>
          <w:tcPr>
            <w:tcW w:w="30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Variable Rate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Fixed Rate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Effective Date</w:t>
            </w:r>
          </w:p>
        </w:tc>
        <w:tc>
          <w:tcPr>
            <w:tcW w:w="16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Maturity</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2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cap</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LIBOR</w:t>
            </w:r>
          </w:p>
        </w:tc>
        <w:tc>
          <w:tcPr>
            <w:tcW w:w="16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July 2014</w:t>
            </w:r>
          </w:p>
        </w:tc>
        <w:tc>
          <w:tcPr>
            <w:tcW w:w="1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July 2017</w:t>
            </w:r>
          </w:p>
        </w:tc>
      </w:tr>
      <w:tr>
        <w:trPr>
          <w:trHeight w:val="27"/>
        </w:trPr>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Over the next 12 months, the Company expects that $0.1 million related to cash flow hedges will be reclassified from "Accumulated other comprehensive income (loss)" into earnings.</w:t>
      </w:r>
    </w:p>
    <w:p>
      <w:pPr>
        <w:spacing w:after="0" w:line="158"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Credit Risk-Related Contingent Features</w:t>
      </w:r>
      <w:r>
        <w:rPr>
          <w:rFonts w:ascii="Times New Roman" w:cs="Times New Roman" w:eastAsia="Times New Roman" w:hAnsi="Times New Roman"/>
          <w:sz w:val="18"/>
          <w:szCs w:val="18"/>
          <w:color w:val="auto"/>
        </w:rPr>
        <w:t>—The Company has agreements with each of its derivative counterparties that contain a provision where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either defaults or is capable of being declared in default on any of its indebtedness, then the Company could also be declared in default on its derivative obligations.</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reports derivative instruments on a gross basis in the consolidated financial statements. In connection with its foreign currency derivatives which were in a liability position as of June 30, 2017 and December 31, 2016, the Company has posted collateral of $4.5 million and $0.4 million, respectively, and is included in "Deferred expenses and other assets, net" on the Company's consolidated balance sheets. The Company's net exposure under these contracts was zero as of June 30, 2017.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13—Equity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—The Company had the following series of Cumulative Redeemable and Convertible Perpetual Preferred Stock outstanding 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2017 and December 31, 2016:</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20" w:type="dxa"/>
            <w:vAlign w:val="bottom"/>
            <w:gridSpan w:val="6"/>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w w:val="99"/>
              </w:rPr>
              <w:t>Cumulative Preferential Cash</w:t>
            </w:r>
          </w:p>
        </w:tc>
      </w:tr>
      <w:tr>
        <w:trPr>
          <w:trHeight w:val="265"/>
        </w:trPr>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2"/>
          </w:tcPr>
          <w:p>
            <w:pPr>
              <w:jc w:val="right"/>
              <w:ind w:right="320"/>
              <w:spacing w:after="0" w:line="265" w:lineRule="exact"/>
              <w:rPr>
                <w:sz w:val="20"/>
                <w:szCs w:val="20"/>
                <w:color w:val="auto"/>
              </w:rPr>
            </w:pPr>
            <w:r>
              <w:rPr>
                <w:rFonts w:ascii="Times New Roman" w:cs="Times New Roman" w:eastAsia="Times New Roman" w:hAnsi="Times New Roman"/>
                <w:sz w:val="18"/>
                <w:szCs w:val="18"/>
                <w:b w:val="1"/>
                <w:bCs w:val="1"/>
                <w:color w:val="auto"/>
              </w:rPr>
              <w:t>Dividends</w:t>
            </w:r>
            <w:r>
              <w:rPr>
                <w:rFonts w:ascii="Times New Roman" w:cs="Times New Roman" w:eastAsia="Times New Roman" w:hAnsi="Times New Roman"/>
                <w:sz w:val="25"/>
                <w:szCs w:val="25"/>
                <w:b w:val="1"/>
                <w:bCs w:val="1"/>
                <w:color w:val="auto"/>
                <w:vertAlign w:val="superscript"/>
              </w:rPr>
              <w:t>(1)(2)</w:t>
            </w:r>
          </w:p>
        </w:tc>
        <w:tc>
          <w:tcPr>
            <w:tcW w:w="2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r>
      <w:tr>
        <w:trPr>
          <w:trHeight w:val="214"/>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Issued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Equivalent to</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Liquidation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Fixed Annual</w:t>
            </w:r>
          </w:p>
        </w:tc>
      </w:tr>
      <w:tr>
        <w:trPr>
          <w:trHeight w:val="265"/>
        </w:trPr>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Series</w:t>
            </w:r>
          </w:p>
        </w:tc>
        <w:tc>
          <w:tcPr>
            <w:tcW w:w="100" w:type="dxa"/>
            <w:vAlign w:val="bottom"/>
            <w:tcBorders>
              <w:bottom w:val="single" w:sz="8" w:color="CCEEFF"/>
            </w:tcBorders>
          </w:tcPr>
          <w:p>
            <w:pPr>
              <w:spacing w:after="0"/>
              <w:rPr>
                <w:sz w:val="23"/>
                <w:szCs w:val="23"/>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Par Value</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90"/>
              <w:spacing w:after="0" w:line="265" w:lineRule="exact"/>
              <w:rPr>
                <w:sz w:val="20"/>
                <w:szCs w:val="20"/>
                <w:color w:val="auto"/>
              </w:rPr>
            </w:pPr>
            <w:r>
              <w:rPr>
                <w:rFonts w:ascii="Times New Roman" w:cs="Times New Roman" w:eastAsia="Times New Roman" w:hAnsi="Times New Roman"/>
                <w:sz w:val="18"/>
                <w:szCs w:val="18"/>
                <w:b w:val="1"/>
                <w:bCs w:val="1"/>
                <w:color w:val="auto"/>
                <w:w w:val="95"/>
              </w:rPr>
              <w:t>Preference</w:t>
            </w:r>
            <w:r>
              <w:rPr>
                <w:rFonts w:ascii="Times New Roman" w:cs="Times New Roman" w:eastAsia="Times New Roman" w:hAnsi="Times New Roman"/>
                <w:sz w:val="25"/>
                <w:szCs w:val="25"/>
                <w:b w:val="1"/>
                <w:bCs w:val="1"/>
                <w:color w:val="auto"/>
                <w:w w:val="95"/>
                <w:vertAlign w:val="superscript"/>
              </w:rPr>
              <w:t>(3)(4)</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Rate per Annum</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Rate (per share)</w:t>
            </w:r>
          </w:p>
        </w:tc>
      </w:tr>
      <w:tr>
        <w:trPr>
          <w:trHeight w:val="244"/>
        </w:trPr>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1"/>
              </w:rPr>
              <w:t>D</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43"/>
        </w:trPr>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r>
      <w:tr>
        <w:trPr>
          <w:trHeight w:val="27"/>
        </w:trPr>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F</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r>
      <w:tr>
        <w:trPr>
          <w:trHeight w:val="243"/>
        </w:trPr>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G</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r>
      <w:tr>
        <w:trPr>
          <w:trHeight w:val="27"/>
        </w:trPr>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I</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r>
      <w:tr>
        <w:trPr>
          <w:trHeight w:val="243"/>
        </w:trPr>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 (convertible)</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r>
      <w:tr>
        <w:trPr>
          <w:trHeight w:val="27"/>
        </w:trPr>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44"/>
        </w:trPr>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0"/>
        </w:trPr>
        <w:tc>
          <w:tcPr>
            <w:tcW w:w="1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-95885</wp:posOffset>
            </wp:positionV>
            <wp:extent cx="12090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jc w:val="both"/>
        <w:ind w:left="500" w:hanging="492"/>
        <w:spacing w:after="0" w:line="242" w:lineRule="auto"/>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shares of the Series D, E, F, G, I and J preferred stock are entitled to receive dividends, when and as declared by the Company's Board of Directors, out of funds legally available for the payment of dividends. Dividends are cumulative from the date of original issue and are payable quarterly in arrears on or before the 15th day of each March, June, September and December or, if not a business day, the next succeeding business day. Any dividend payable on the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Company's Board of Directors for the payment of dividends that is not more than 30 nor less than 10 days prior to the dividend payment date.</w:t>
      </w:r>
    </w:p>
    <w:p>
      <w:pPr>
        <w:spacing w:after="0" w:line="160" w:lineRule="exact"/>
        <w:rPr>
          <w:rFonts w:ascii="Times New Roman" w:cs="Times New Roman" w:eastAsia="Times New Roman" w:hAnsi="Times New Roman"/>
          <w:sz w:val="14"/>
          <w:szCs w:val="14"/>
          <w:color w:val="auto"/>
        </w:rPr>
      </w:pPr>
    </w:p>
    <w:p>
      <w:pPr>
        <w:jc w:val="both"/>
        <w:ind w:left="500" w:hanging="492"/>
        <w:spacing w:after="0" w:line="241" w:lineRule="auto"/>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declared and paid dividends of $4.0 million, $5.5 million, $3.9 million, $3.1 million and $4.7 million on its Series D, E, F, G and I Cumulative Redeemable Preferred Stock during the six months ended June 30, 2017 and 2016. The Company declared and paid dividends of $4.5 million on its Series J Convertible Perpetual Preferred Stock during the six months ended June 30, 2017 and 2016. The character of the 2016 dividends was as follows: 47.30% was a capital gain distribution, of which 76.15% represents unrecaptured section 1250 gain and 23.85% long term capital gain, and 52.70% was ordinary income. There are no dividend arrearages on any of the preferred shares currently outstanding.</w:t>
      </w:r>
    </w:p>
    <w:p>
      <w:pPr>
        <w:spacing w:after="0" w:line="1" w:lineRule="exact"/>
        <w:rPr>
          <w:rFonts w:ascii="Times New Roman" w:cs="Times New Roman" w:eastAsia="Times New Roman" w:hAnsi="Times New Roman"/>
          <w:sz w:val="14"/>
          <w:szCs w:val="14"/>
          <w:color w:val="auto"/>
        </w:rPr>
      </w:pPr>
    </w:p>
    <w:p>
      <w:pPr>
        <w:ind w:left="500" w:hanging="492"/>
        <w:spacing w:after="0" w:line="241" w:lineRule="auto"/>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at its option, redeem the Series E, F, G, and I Preferred Stock, in whole or in part, at any time and from time to time, for cash at a redemption price equal to 100% of the liquidation preference of $25.00 per share, plus accrued and unpaid dividends, if any, to the redemption date.</w:t>
      </w:r>
    </w:p>
    <w:p>
      <w:pPr>
        <w:jc w:val="both"/>
        <w:ind w:left="500" w:hanging="492"/>
        <w:spacing w:after="0" w:line="247" w:lineRule="auto"/>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the Series J Preferred Stock is convertible at the holder's option at any time, initially into 3.9087 shares of the Company's common stock (equal to an initial conversion price of approximately $12.79 per share), subject to specified adjustments. The Company may not redeem the Series J Preferred Stock prior to March 15, 2018. On or after March 15, 2018, the Company may, at its option, redeem the Series J Preferred Stock, in whole or in part, at any time and from time to time, for cash at a redemption price equal to 100% of the liquidation preference of $50.00 per share, plus accrued and unpaid dividends, if any, to the redemption date.</w:t>
      </w:r>
    </w:p>
    <w:p>
      <w:pPr>
        <w:spacing w:after="0" w:line="186"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Dividends</w:t>
      </w:r>
      <w:r>
        <w:rPr>
          <w:rFonts w:ascii="Times New Roman" w:cs="Times New Roman" w:eastAsia="Times New Roman" w:hAnsi="Times New Roman"/>
          <w:sz w:val="18"/>
          <w:szCs w:val="18"/>
          <w:color w:val="auto"/>
        </w:rPr>
        <w:t>—To maintain its qualification as a REIT, the Company must annually distribute, at a minimum, an amount equal to 90% of its taxable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excluding net capital gains, and must distribute 100% of its taxable income (including net capital gains) to eliminate corporate federal income taxes payable by the REIT. The Company has recorded NOLs and may record NOLs in the future, which may reduce its taxable income in future periods and lower or eliminate entirely the Company's obligation to pay dividends for such periods in order to maintain its REIT qualification. As of December 31, 2015, the Company had $902.9 million of NOL carryforwards at the corporate REIT level that can generally be used to offset both ordinary taxable income and capital gain net income in future years. The NOL carryforwards will expire beginning in 2029 and through 2035 if unused. The amount of NOL carryforwards as of December 31, 2016 will be determined upon finalizing the Company's 2016 tax return. Because taxable income differs from cash flow from operations due to non-cash revenues and expenses (such as depreciation and certain asset impairments), in certain circumstances, the Company may generate operating cash flow in excess of its dividends, or alternatively, may need to make dividend payments in excess of operating cash flows. The 2016 Senior Secured Credit Facility and 2015 Secured Revolving Credit Facility permit the Company to distribute 100% of its REIT taxable income on an annual basis (prior to deducting certain cumulative NOL carryforwards), as long as the Company maintains its REIT qualification. The 2016 Senior Secured Credit Facility and 2015 Secured Revolving Credit Facility restrict the Company from paying any common dividends if it ceases to qualify as a REIT. The Company did not declare or pay any common stock dividends for the six months ended June 30, 2017 and 2016.</w:t>
      </w:r>
    </w:p>
    <w:p>
      <w:pPr>
        <w:spacing w:after="0" w:line="189"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Stock Repurchase Program</w:t>
      </w:r>
      <w:r>
        <w:rPr>
          <w:rFonts w:ascii="Times New Roman" w:cs="Times New Roman" w:eastAsia="Times New Roman" w:hAnsi="Times New Roman"/>
          <w:sz w:val="18"/>
          <w:szCs w:val="18"/>
          <w:color w:val="auto"/>
        </w:rPr>
        <w:t>—In February 2016, after having substantially utilized the remaining availability previously authorized,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authorized a new $50.0 million stock repurchase program. After having substantially utilized the availability authorized in February 2016, the Company's Board of Directors authorized an increase to the stock</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repurchase program to $50.0 million, effective August 4, 2016. The program authorizes the repurchase of common stock from time to time in open market and privately negotiated purchases, including pursuant to one or more trading plans. During the six months ended June 30, 2017, the Company did not repurchase any shares of common stock. During the six months ended June 30, 2016, the Company repurchased 9.5 million shares of its outstanding common stock for $91.8 million, at an average cost of $9.71 per share. As of June 30, 2017, the Company had remaining authorization to repurchase up to $50.0 million of common stock available to repurchase under its stock repurchase program.</w:t>
      </w:r>
    </w:p>
    <w:p>
      <w:pPr>
        <w:spacing w:after="0" w:line="18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Accumulated Other Comprehensive Income (Loss)</w:t>
      </w:r>
      <w:r>
        <w:rPr>
          <w:rFonts w:ascii="Times New Roman" w:cs="Times New Roman" w:eastAsia="Times New Roman" w:hAnsi="Times New Roman"/>
          <w:sz w:val="18"/>
          <w:szCs w:val="18"/>
          <w:color w:val="auto"/>
        </w:rPr>
        <w:t>—"Accumulated other comprehensive income (loss)" reflected in the Company's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is comprised of the following ($ in thousands):</w:t>
      </w:r>
    </w:p>
    <w:p>
      <w:pPr>
        <w:spacing w:after="0" w:line="101" w:lineRule="exact"/>
        <w:rPr>
          <w:sz w:val="20"/>
          <w:szCs w:val="20"/>
          <w:color w:val="auto"/>
        </w:rPr>
      </w:pPr>
    </w:p>
    <w:tbl>
      <w:tblPr>
        <w:tblLayout w:type="fixed"/>
        <w:tblInd w:w="72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0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22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5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on available-for-sale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on cash flow hedges</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5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losses on cumulative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r>
      <w:tr>
        <w:trPr>
          <w:trHeight w:val="25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w:t>
            </w:r>
          </w:p>
        </w:tc>
      </w:tr>
      <w:tr>
        <w:trPr>
          <w:trHeight w:val="20"/>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14—Stock-Based Compensation Plans and Employee Benefits</w:t>
      </w:r>
    </w:p>
    <w:p>
      <w:pPr>
        <w:spacing w:after="0" w:line="225"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—The Company recorded stock-based compensation expense, including the effect of performance incentive plans (see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of $3.9 million and $9.8 million for the three and six months ended June 30, 2017, respectively, and $1.6 million and $6.2 million for the three and six months ended June 30, 2016, respectively, in "General and administrative" in the Company's consolidated statements of operations. As of June 30, 2017, there was $2.5 million of total unrecognized compensation cost related to all unvested restricted stock units ("Units") that are expected to be recognized over a weighted average remaining vesting/service period of 1.8 years.</w:t>
      </w:r>
    </w:p>
    <w:p>
      <w:pPr>
        <w:spacing w:after="0" w:line="139"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Performance Incentive Plans</w:t>
      </w:r>
      <w:r>
        <w:rPr>
          <w:rFonts w:ascii="Times New Roman" w:cs="Times New Roman" w:eastAsia="Times New Roman" w:hAnsi="Times New Roman"/>
          <w:sz w:val="18"/>
          <w:szCs w:val="18"/>
          <w:color w:val="auto"/>
        </w:rPr>
        <w:t>—The Company's Performance Incentive Plan ("iPIP") is designed to provide, primarily to senior executives and select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professionals engaged in the Company's investment activities, long-term compensation which has a direct relationship to the realized returns on investments included in the plan. The fair value of points is determined using a model that forecasts the Company's projected investment performance. iPIP is a liability-classified award which will be remeasured each reporting period at fair value until the awards are settled. The following is a summary of granted iPIP points.</w:t>
      </w:r>
    </w:p>
    <w:p>
      <w:pPr>
        <w:spacing w:after="0" w:line="167" w:lineRule="exact"/>
        <w:rPr>
          <w:sz w:val="20"/>
          <w:szCs w:val="20"/>
          <w:color w:val="auto"/>
        </w:rPr>
      </w:pPr>
    </w:p>
    <w:p>
      <w:pPr>
        <w:ind w:left="1360" w:hanging="299"/>
        <w:spacing w:after="0"/>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2014, the Company granted 73 iPIP points in the initial 2013-2014 investment pool.</w:t>
      </w:r>
    </w:p>
    <w:p>
      <w:pPr>
        <w:spacing w:after="0" w:line="198" w:lineRule="exact"/>
        <w:rPr>
          <w:rFonts w:ascii="Times New Roman" w:cs="Times New Roman" w:eastAsia="Times New Roman" w:hAnsi="Times New Roman"/>
          <w:sz w:val="18"/>
          <w:szCs w:val="18"/>
          <w:color w:val="auto"/>
        </w:rPr>
      </w:pPr>
    </w:p>
    <w:p>
      <w:pPr>
        <w:ind w:left="1300" w:hanging="239"/>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2015, the Company granted an additional 10 iPIP points in the 2013-2014 investment pool and 34 iPIP points in the 2015-2016 investment pool.</w:t>
      </w:r>
    </w:p>
    <w:p>
      <w:pPr>
        <w:spacing w:after="0" w:line="121" w:lineRule="exact"/>
        <w:rPr>
          <w:rFonts w:ascii="Times New Roman" w:cs="Times New Roman" w:eastAsia="Times New Roman" w:hAnsi="Times New Roman"/>
          <w:sz w:val="18"/>
          <w:szCs w:val="18"/>
          <w:color w:val="auto"/>
        </w:rPr>
      </w:pPr>
    </w:p>
    <w:p>
      <w:pPr>
        <w:ind w:left="1300" w:hanging="239"/>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2016, the Company granted an additional 10 iPIP points in the 2013-2014 investment pool and an additional 40 iPIP points in the 2015-2016 investment pool.</w:t>
      </w:r>
    </w:p>
    <w:p>
      <w:pPr>
        <w:spacing w:after="0" w:line="121"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2016, the Company granted an additional 2.5 iPIP points in the 2015-2016 investment pool.</w:t>
      </w:r>
    </w:p>
    <w:p>
      <w:pPr>
        <w:spacing w:after="0" w:line="184" w:lineRule="exact"/>
        <w:rPr>
          <w:rFonts w:ascii="Times New Roman" w:cs="Times New Roman" w:eastAsia="Times New Roman" w:hAnsi="Times New Roman"/>
          <w:sz w:val="18"/>
          <w:szCs w:val="18"/>
          <w:color w:val="auto"/>
        </w:rPr>
      </w:pPr>
    </w:p>
    <w:p>
      <w:pPr>
        <w:ind w:left="1300" w:hanging="239"/>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2017, the Company granted an additional 5 iPIP points in the 2013-2014 investment pool, an additional 18 iPIP points in the 2015-2016 investment pool, and 44 iPIP points in the 2017-2018 investment pool.</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June 30, 2017, 7.0 iPIP points from the 2013-2014 investment pool, 7.9 iPIP points from the 2015-2016 investment pool and 3.8 iPIP points from the 2017-2018 investment pool were forfeited.</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June 30, 2017 and December 31, 2016, the Company had accrued compensation costs relating to iPIP of $31.2 million and $22.4 million, respectively, which are included in "Accounts payable, accrued expenses and other liabilities" on the Company's consolidated balance sheets.</w:t>
      </w:r>
    </w:p>
    <w:p>
      <w:pPr>
        <w:spacing w:after="0" w:line="117" w:lineRule="exact"/>
        <w:rPr>
          <w:sz w:val="20"/>
          <w:szCs w:val="20"/>
          <w:color w:val="auto"/>
        </w:rPr>
      </w:pPr>
    </w:p>
    <w:p>
      <w:pPr>
        <w:jc w:val="both"/>
        <w:ind w:right="20"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Long-Term Incentive Plan</w:t>
      </w:r>
      <w:r>
        <w:rPr>
          <w:rFonts w:ascii="Times New Roman" w:cs="Times New Roman" w:eastAsia="Times New Roman" w:hAnsi="Times New Roman"/>
          <w:sz w:val="18"/>
          <w:szCs w:val="18"/>
          <w:color w:val="auto"/>
        </w:rPr>
        <w:t>—The Company's 2009 Long-Term Incentive Plan (the "2009 LTIP") is designed to provide incentive compensation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key employees, directors and advisors of the Company. The 2009 LTIP provides for awards of stock options, shares of restricted stock, phantom shares, restricted stock units, dividend equivalent rights and other share-based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performance awards. All awards under the 2009 LTIP are made at the discretion of the Company's Board of Directors or a committee of the Board of Directors. The Company's shareholders approved the 2009 LTIP in 2009 and approved the performance-based provisions of the 2009 LTIP, as amended, in 2014.</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2017, an aggregate of 3.3 million shares remain available for issuance pursuant to future awards under the Company's 2009 LTIP.</w:t>
      </w:r>
    </w:p>
    <w:p>
      <w:pPr>
        <w:spacing w:after="0" w:line="183"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Restricted Share Issuances</w:t>
      </w:r>
      <w:r>
        <w:rPr>
          <w:rFonts w:ascii="Times New Roman" w:cs="Times New Roman" w:eastAsia="Times New Roman" w:hAnsi="Times New Roman"/>
          <w:sz w:val="18"/>
          <w:szCs w:val="18"/>
          <w:color w:val="auto"/>
        </w:rPr>
        <w:t>—During the six months ended June 30, 2017, the Company granted 97,967 shares of common stock to certain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2009 LTIP as part of annual incentive awards that included a mix of cash and equity awards. The shares are fully-vested and 62,704 shares were issued net of statutory minimum required tax withholdings. The employees are restricted from selling these shares for up to 18 months from the date of grant.</w:t>
      </w:r>
    </w:p>
    <w:p>
      <w:pPr>
        <w:spacing w:after="0" w:line="13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2017 Restricted Stock Unit Activity</w:t>
      </w:r>
      <w:r>
        <w:rPr>
          <w:rFonts w:ascii="Times New Roman" w:cs="Times New Roman" w:eastAsia="Times New Roman" w:hAnsi="Times New Roman"/>
          <w:sz w:val="18"/>
          <w:szCs w:val="18"/>
          <w:color w:val="auto"/>
        </w:rPr>
        <w:t>—During the six months ended June 30, 2017, the Company granted new stock-based compensation awards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employees in the form of long-term incentive awards, comprised of the following:</w:t>
      </w:r>
    </w:p>
    <w:p>
      <w:pPr>
        <w:spacing w:after="0" w:line="120" w:lineRule="exact"/>
        <w:rPr>
          <w:sz w:val="20"/>
          <w:szCs w:val="20"/>
          <w:color w:val="auto"/>
        </w:rPr>
      </w:pPr>
    </w:p>
    <w:p>
      <w:pPr>
        <w:jc w:val="both"/>
        <w:ind w:left="660" w:hanging="247"/>
        <w:spacing w:after="0" w:line="258"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115,571 service-based Units granted on February 22, 2017, representing the right to receive an equivalent number of shares of the Company's common stock (after deducting shares for minimum required statutory withholdings) if and when the Units vest. The Units will cliff vest in one installment on December 31, 2019,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 As of June 30, 2017, 111,642 of such service-based Units were outstanding.</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2017, the Company had the following additional stock-based compensation awards outstanding:</w:t>
      </w:r>
    </w:p>
    <w:p>
      <w:pPr>
        <w:spacing w:after="0" w:line="225" w:lineRule="exact"/>
        <w:rPr>
          <w:sz w:val="20"/>
          <w:szCs w:val="20"/>
          <w:color w:val="auto"/>
        </w:rPr>
      </w:pPr>
    </w:p>
    <w:p>
      <w:pPr>
        <w:jc w:val="both"/>
        <w:ind w:left="660" w:hanging="247"/>
        <w:spacing w:after="0" w:line="25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60,000 service-based Units granted on June 15, 2016, representing the right to receive an equivalent number of shares of the Company's common stock (after deducting shares for minimum required statutory withholdings) if and when the Units vest. The Units will vest in equal annual installments over four years on each anniversary of the grant date, if the employee remains employed by the Company on the vesting date, subject to certain accelerated vesting rights. Upon vesting of these Units, the holder will receive shares of the Company's common stock in the amount of the vested Units, net of statutory minimum required tax withholdings. Dividends will accrue as and when dividends are declared by the Company on shares of its common stock, but will not be paid unless and until the Units vest and are settled.</w:t>
      </w:r>
    </w:p>
    <w:p>
      <w:pPr>
        <w:spacing w:after="0" w:line="147" w:lineRule="exact"/>
        <w:rPr>
          <w:rFonts w:ascii="Times New Roman" w:cs="Times New Roman" w:eastAsia="Times New Roman" w:hAnsi="Times New Roman"/>
          <w:sz w:val="18"/>
          <w:szCs w:val="18"/>
          <w:color w:val="auto"/>
        </w:rPr>
      </w:pPr>
    </w:p>
    <w:p>
      <w:pPr>
        <w:jc w:val="both"/>
        <w:ind w:left="660" w:hanging="247"/>
        <w:spacing w:after="0" w:line="258"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104,026 service-based Units granted on January 29, 2016, representing the right to receive an equivalent number of shares of the Company's common stock (after deducting shares for minimum required statutory withholdings) if and when the Units vest. The Units will cliff vest in one installment on December 31, 2018,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w:t>
      </w:r>
    </w:p>
    <w:p>
      <w:pPr>
        <w:spacing w:after="0" w:line="143" w:lineRule="exact"/>
        <w:rPr>
          <w:rFonts w:ascii="Times New Roman" w:cs="Times New Roman" w:eastAsia="Times New Roman" w:hAnsi="Times New Roman"/>
          <w:sz w:val="18"/>
          <w:szCs w:val="18"/>
          <w:color w:val="auto"/>
        </w:rPr>
      </w:pPr>
    </w:p>
    <w:p>
      <w:pPr>
        <w:jc w:val="both"/>
        <w:ind w:left="660" w:hanging="247"/>
        <w:spacing w:after="0" w:line="253"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37,514 target amount of performance-based Units granted on January 30, 2015, representing the right to receive an equivalent number of shares of the Company's common stock (after deducting shares for minimum required statutory withholdings) if and when the Units vest. The performance is based on the Company's TSR, measured over a performance period ending on December 31, 2017, which is the date the awards cliff vest. Vesting will range from 0% to 200% of the target amount of the awards, depending on the Company’s TSR performance relative to the NAREIT All REITs Index (one-half of the target amount of the award) and the Russell 2000 Index (one-half of the target amount of the award) during the performance period. The Company, as well as any companies not included in each index at the beginning and end of the performance period, are excluded from calculation of the performance of such index. To the extent Units vest based on the Company's TSR performance, holders will receive an equivalent number of shares of common stock (after deducting shares for minimum required statutory withholdings),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 The fair values of the performance-based Units were determined by utilizing a Monte Carlo model to simulate a range of possible future stock prices for the Company's common stock. The assumptions used to estimate the fair value of these performance-based awards were 0.75% for risk-free interest rate and 28.14% for expected stock price volatility.</w:t>
      </w:r>
    </w:p>
    <w:p>
      <w:pPr>
        <w:spacing w:after="0" w:line="148" w:lineRule="exact"/>
        <w:rPr>
          <w:rFonts w:ascii="Times New Roman" w:cs="Times New Roman" w:eastAsia="Times New Roman" w:hAnsi="Times New Roman"/>
          <w:sz w:val="18"/>
          <w:szCs w:val="18"/>
          <w:color w:val="auto"/>
        </w:rPr>
      </w:pPr>
    </w:p>
    <w:p>
      <w:pPr>
        <w:ind w:left="660" w:right="20" w:hanging="247"/>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54,201 service-based Units granted on January 30, 2015, representing the right to receive an equivalent number of shares of the Company's common stock (after deducting shares for minimum required statutory withholdings) if and when the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60"/>
        <w:spacing w:after="0" w:line="313" w:lineRule="auto"/>
        <w:rPr>
          <w:sz w:val="20"/>
          <w:szCs w:val="20"/>
          <w:color w:val="auto"/>
        </w:rPr>
      </w:pPr>
      <w:r>
        <w:rPr>
          <w:rFonts w:ascii="Times New Roman" w:cs="Times New Roman" w:eastAsia="Times New Roman" w:hAnsi="Times New Roman"/>
          <w:sz w:val="18"/>
          <w:szCs w:val="18"/>
          <w:color w:val="auto"/>
        </w:rPr>
        <w:t>Units vest. The Units will cliff vest in one installment on December 31, 2017,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w:t>
      </w:r>
    </w:p>
    <w:p>
      <w:pPr>
        <w:spacing w:after="0" w:line="109" w:lineRule="exact"/>
        <w:rPr>
          <w:sz w:val="20"/>
          <w:szCs w:val="20"/>
          <w:color w:val="auto"/>
        </w:rPr>
      </w:pPr>
    </w:p>
    <w:p>
      <w:pPr>
        <w:jc w:val="both"/>
        <w:ind w:left="660" w:hanging="247"/>
        <w:spacing w:after="0" w:line="258"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4,751 service-based Units granted on various dates, representing the right to receive an equivalent number of shares of the Company's common stock (after deducting shares for minimum required statutory withholdings) if and when the Units vest. The Units have an original vesting term of three years. Upon vesting of these Units, holders will receive shares of the Company's common stock in the amount of the vested Units, net of statutory minimum required tax withholdings. Dividends will accrue as and when dividends are declared by the Company on shares of its common stock, but will not be paid unless and until the Units vest and are settled.</w:t>
      </w:r>
    </w:p>
    <w:p>
      <w:pPr>
        <w:spacing w:after="0" w:line="139"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Directors' Awards</w:t>
      </w:r>
      <w:r>
        <w:rPr>
          <w:rFonts w:ascii="Times New Roman" w:cs="Times New Roman" w:eastAsia="Times New Roman" w:hAnsi="Times New Roman"/>
          <w:sz w:val="18"/>
          <w:szCs w:val="18"/>
          <w:color w:val="auto"/>
        </w:rPr>
        <w:t>—During the six months ended June 30, 2017, the Company awarded to non-employee Directors 56,817 restricted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at a fair value per share of $11.86 at the time of grant. The restricted shares have a vesting term of one year. As of June 30, 2017, a combined total of 317,664 CSEs and restricted shares of common stock granted to members of the Company's Board of Directors remained outstanding under the Company's Non-Employee Directors Deferral Plan, with an aggregate intrinsic value of $3.8 million.</w:t>
      </w:r>
    </w:p>
    <w:p>
      <w:pPr>
        <w:spacing w:after="0" w:line="177"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401(k) Plan</w:t>
      </w:r>
      <w:r>
        <w:rPr>
          <w:rFonts w:ascii="Times New Roman" w:cs="Times New Roman" w:eastAsia="Times New Roman" w:hAnsi="Times New Roman"/>
          <w:sz w:val="18"/>
          <w:szCs w:val="18"/>
          <w:color w:val="auto"/>
        </w:rPr>
        <w:t>—The Company made gross contributions of $0.1 million and $0.8 million for the three and six months ended June 30, 2017, respectively,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$0.2 million and $0.8 million for the three and six months ended June 30, 2016,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15—Earnings Per Share</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Earnings per share ("EPS") is calculated using the two-class method, which allocates earnings among common stock and participating securities to calculate EPS when an entity's capital structure includes either two or more classes of common stock or common stock and participating securities.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income (loss) from continuing operations used in the basic and diluted EPS calculations ($ in thousands, except for per share data):</w:t>
      </w:r>
    </w:p>
    <w:p>
      <w:pPr>
        <w:spacing w:after="0" w:line="104"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Six Months Ended June</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sales of real estate</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53,943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dividends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(25,660)</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08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Income from continuing operations attributable to iStar Inc. and</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allocable to common shareholders and Participating Security Holders</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58,421</w:t>
            </w:r>
          </w:p>
        </w:tc>
        <w:tc>
          <w:tcPr>
            <w:tcW w:w="1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34,499</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26,553</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9,730</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40"/>
              <w:spacing w:after="0" w:line="247" w:lineRule="exact"/>
              <w:rPr>
                <w:sz w:val="20"/>
                <w:szCs w:val="20"/>
                <w:color w:val="auto"/>
              </w:rPr>
            </w:pPr>
            <w:r>
              <w:rPr>
                <w:rFonts w:ascii="Times New Roman" w:cs="Times New Roman" w:eastAsia="Times New Roman" w:hAnsi="Times New Roman"/>
                <w:sz w:val="18"/>
                <w:szCs w:val="18"/>
                <w:color w:val="auto"/>
              </w:rPr>
              <w:t>for basic earnings per common share</w:t>
            </w:r>
            <w:r>
              <w:rPr>
                <w:rFonts w:ascii="Times New Roman" w:cs="Times New Roman" w:eastAsia="Times New Roman" w:hAnsi="Times New Roman"/>
                <w:sz w:val="25"/>
                <w:szCs w:val="25"/>
                <w:color w:val="auto"/>
                <w:vertAlign w:val="superscript"/>
              </w:rPr>
              <w:t>(1)</w:t>
            </w: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vMerge w:val="continue"/>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Effect of joint venture shares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Effect of 1.50% senior convertible unsecured notes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Effect of 3.00% senior convertible unsecured notes</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Effect of Series J convertible perpetual preferred stock</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0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Income from continuing operations attributable to iStar Inc. and</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allocable to common shareholders and Participating Security Holders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60,676</w:t>
            </w:r>
          </w:p>
        </w:tc>
        <w:tc>
          <w:tcPr>
            <w:tcW w:w="120" w:type="dxa"/>
            <w:vAlign w:val="bottom"/>
          </w:tcPr>
          <w:p>
            <w:pPr>
              <w:spacing w:after="0"/>
              <w:rPr>
                <w:sz w:val="18"/>
                <w:szCs w:val="18"/>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39,674</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31,062</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9,732</w:t>
            </w:r>
          </w:p>
        </w:tc>
        <w:tc>
          <w:tcPr>
            <w:tcW w:w="0" w:type="dxa"/>
            <w:vAlign w:val="bottom"/>
          </w:tcPr>
          <w:p>
            <w:pPr>
              <w:spacing w:after="0"/>
              <w:rPr>
                <w:sz w:val="1"/>
                <w:szCs w:val="1"/>
                <w:color w:val="auto"/>
              </w:rPr>
            </w:pPr>
          </w:p>
        </w:tc>
      </w:tr>
      <w:tr>
        <w:trPr>
          <w:trHeight w:val="282"/>
        </w:trPr>
        <w:tc>
          <w:tcPr>
            <w:tcW w:w="5080" w:type="dxa"/>
            <w:vAlign w:val="bottom"/>
          </w:tcPr>
          <w:p>
            <w:pPr>
              <w:ind w:left="40"/>
              <w:spacing w:after="0" w:line="282" w:lineRule="exact"/>
              <w:rPr>
                <w:sz w:val="20"/>
                <w:szCs w:val="20"/>
                <w:color w:val="auto"/>
              </w:rPr>
            </w:pPr>
            <w:r>
              <w:rPr>
                <w:rFonts w:ascii="Times New Roman" w:cs="Times New Roman" w:eastAsia="Times New Roman" w:hAnsi="Times New Roman"/>
                <w:sz w:val="18"/>
                <w:szCs w:val="18"/>
                <w:color w:val="auto"/>
              </w:rPr>
              <w:t>for diluted earnings per common share</w:t>
            </w:r>
            <w:r>
              <w:rPr>
                <w:rFonts w:ascii="Times New Roman" w:cs="Times New Roman" w:eastAsia="Times New Roman" w:hAnsi="Times New Roman"/>
                <w:sz w:val="25"/>
                <w:szCs w:val="25"/>
                <w:color w:val="auto"/>
                <w:vertAlign w:val="superscript"/>
              </w:rPr>
              <w:t>(1)</w:t>
            </w:r>
          </w:p>
        </w:tc>
        <w:tc>
          <w:tcPr>
            <w:tcW w:w="16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-20955</wp:posOffset>
            </wp:positionV>
            <wp:extent cx="339598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95980" cy="260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 w:lineRule="exact"/>
        <w:rPr>
          <w:sz w:val="20"/>
          <w:szCs w:val="20"/>
          <w:color w:val="auto"/>
        </w:rPr>
      </w:pPr>
    </w:p>
    <w:p>
      <w:pPr>
        <w:ind w:left="500" w:hanging="492"/>
        <w:spacing w:after="0" w:line="258" w:lineRule="auto"/>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June 30, 2016, includes income from continuing operations allocable to Participating Security Holders of $20 and $14 on a basic and dilutive basis. For the six months ended June 30, 2016, includes income from continuing operations allocable to Participating Security Holders of $11 on a basic and dilutive basis.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Six Months Ended June</w:t>
            </w: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allocable to common shares: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Numerator for basic earnings per share:</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 attributable to iStar Inc. and</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allocable to common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34,481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9,724</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7,209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from discontinued operations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00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Net income attributable to iStar Inc. and allocable to common</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177,467</w:t>
            </w:r>
          </w:p>
        </w:tc>
        <w:tc>
          <w:tcPr>
            <w:tcW w:w="12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38,112</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150,365</w:t>
            </w:r>
          </w:p>
        </w:tc>
        <w:tc>
          <w:tcPr>
            <w:tcW w:w="12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16,933</w:t>
            </w:r>
          </w:p>
        </w:tc>
        <w:tc>
          <w:tcPr>
            <w:tcW w:w="0" w:type="dxa"/>
            <w:vAlign w:val="bottom"/>
          </w:tcPr>
          <w:p>
            <w:pPr>
              <w:spacing w:after="0"/>
              <w:rPr>
                <w:sz w:val="1"/>
                <w:szCs w:val="1"/>
                <w:color w:val="auto"/>
              </w:rPr>
            </w:pPr>
          </w:p>
        </w:tc>
      </w:tr>
      <w:tr>
        <w:trPr>
          <w:trHeight w:val="241"/>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Numerator for diluted earnings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 attributable to iStar Inc. and</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allocable to common shareholders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60,676</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39,661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31,062</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9,726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7,209</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00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Net income attributable to iStar Inc. and allocable to common</w:t>
            </w: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179,722</w:t>
            </w:r>
          </w:p>
        </w:tc>
        <w:tc>
          <w:tcPr>
            <w:tcW w:w="12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43,293</w:t>
            </w:r>
          </w:p>
        </w:tc>
        <w:tc>
          <w:tcPr>
            <w:tcW w:w="10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154,874</w:t>
            </w:r>
          </w:p>
        </w:tc>
        <w:tc>
          <w:tcPr>
            <w:tcW w:w="12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16,935</w:t>
            </w:r>
          </w:p>
        </w:tc>
        <w:tc>
          <w:tcPr>
            <w:tcW w:w="0" w:type="dxa"/>
            <w:vAlign w:val="bottom"/>
          </w:tcPr>
          <w:p>
            <w:pPr>
              <w:spacing w:after="0"/>
              <w:rPr>
                <w:sz w:val="1"/>
                <w:szCs w:val="1"/>
                <w:color w:val="auto"/>
              </w:rPr>
            </w:pPr>
          </w:p>
        </w:tc>
      </w:tr>
      <w:tr>
        <w:trPr>
          <w:trHeight w:val="281"/>
        </w:trPr>
        <w:tc>
          <w:tcPr>
            <w:tcW w:w="5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16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Denominator for basic and diluted earnings per share:</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 for basic earnings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common share</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73,984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75,522</w:t>
            </w:r>
          </w:p>
        </w:tc>
        <w:tc>
          <w:tcPr>
            <w:tcW w:w="0" w:type="dxa"/>
            <w:vAlign w:val="bottom"/>
          </w:tcPr>
          <w:p>
            <w:pPr>
              <w:spacing w:after="0"/>
              <w:rPr>
                <w:sz w:val="1"/>
                <w:szCs w:val="1"/>
                <w:color w:val="auto"/>
              </w:rPr>
            </w:pPr>
          </w:p>
        </w:tc>
      </w:tr>
      <w:tr>
        <w:trPr>
          <w:trHeight w:val="225"/>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Effect of assumed shares issued under treasury stock method</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restricted stock units</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Effect of joint venture shares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Effect of 1.50% senior convertible unsecured notes</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Effect of 3.00% senior convertible unsecured notes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Effect of series J convertible perpetual preferred stock</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00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w w:val="99"/>
              </w:rPr>
              <w:t>Weighted average common shares outstanding for diluted earnings</w:t>
            </w: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88,195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118,510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75,872</w:t>
            </w:r>
          </w:p>
        </w:tc>
        <w:tc>
          <w:tcPr>
            <w:tcW w:w="0" w:type="dxa"/>
            <w:vAlign w:val="bottom"/>
          </w:tcPr>
          <w:p>
            <w:pPr>
              <w:spacing w:after="0"/>
              <w:rPr>
                <w:sz w:val="1"/>
                <w:szCs w:val="1"/>
                <w:color w:val="auto"/>
              </w:rPr>
            </w:pPr>
          </w:p>
        </w:tc>
      </w:tr>
      <w:tr>
        <w:trPr>
          <w:trHeight w:val="241"/>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common share</w:t>
            </w: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 attributable to iStar Inc. and</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allocable to common shareholders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00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Net income attributable to iStar Inc. and allocable to common</w:t>
            </w: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4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1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00"/>
          </w:cols>
          <w:pgMar w:left="240" w:top="118"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300"/>
          </w:cols>
          <w:pgMar w:left="240" w:top="118" w:right="135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Six Months Ended June</w:t>
            </w: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5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 attributable to iStar Inc. and</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allocable to common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from discontinued operations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00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Net income attributable to iStar Inc. and allocable to common</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41"/>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16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460" w:type="dxa"/>
            <w:vAlign w:val="bottom"/>
            <w:gridSpan w:val="3"/>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shares were not included in the diluted EPS calculation because they were anti-dilutive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74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3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5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000" w:type="dxa"/>
            <w:vAlign w:val="bottom"/>
            <w:gridSpan w:val="2"/>
          </w:tcPr>
          <w:p>
            <w:pPr>
              <w:ind w:left="556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3.00% convertible senior unsecured notes</w:t>
            </w:r>
          </w:p>
        </w:tc>
        <w:tc>
          <w:tcPr>
            <w:tcW w:w="8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16,992</w:t>
            </w:r>
          </w:p>
        </w:tc>
      </w:tr>
      <w:tr>
        <w:trPr>
          <w:trHeight w:val="243"/>
        </w:trPr>
        <w:tc>
          <w:tcPr>
            <w:tcW w:w="6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Series J convertible perpetual preferred stock</w:t>
            </w: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15,635</w:t>
            </w:r>
          </w:p>
        </w:tc>
      </w:tr>
      <w:tr>
        <w:trPr>
          <w:trHeight w:val="27"/>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1.50% convertible senior unsecured notes</w:t>
            </w:r>
          </w:p>
        </w:tc>
        <w:tc>
          <w:tcPr>
            <w:tcW w:w="8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11,567</w:t>
            </w:r>
          </w:p>
        </w:tc>
      </w:tr>
      <w:tr>
        <w:trPr>
          <w:trHeight w:val="243"/>
        </w:trPr>
        <w:tc>
          <w:tcPr>
            <w:tcW w:w="6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Joint venture shares</w:t>
            </w: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82"/>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ind w:left="500" w:hanging="492"/>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months ended June 30, 2017, the effect of 5 and 20 unvested time and performance-based Units were anti-dilutive, respectively.</w:t>
      </w:r>
    </w:p>
    <w:p>
      <w:pPr>
        <w:spacing w:after="0" w:line="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months ended June 30, 2016, the effect of 54 and 103 unvested time and performance-based Units were anti-dilutive, respectively.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16—Fair Values</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Fair value represents the price that would be received to sell an asset or paid to transfer a liability in an orderly transaction between market participants at the measurement date. The following fair value hierarchy prioritizes the inputs to be used in valuation techniques to measure fair value:</w:t>
      </w:r>
    </w:p>
    <w:p>
      <w:pPr>
        <w:spacing w:after="0" w:line="121"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Unadjusted quoted prices in active markets that are accessible at the measurement date for identical, unrestricted assets or liabilities;</w:t>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 and</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Certain of the Company's assets and liabilities are recorded at fair value either on a recurring or non-recurring basis. Assets required to be marked-to-market and reported at fair value every reporting period are classified as being valued on a recurring basis.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table summarizes the Company's assets and liabilities recorded at fair value on a recurring and non-recurring basis by the above categories ($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Fair Value Using</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4"/>
        </w:trPr>
        <w:tc>
          <w:tcPr>
            <w:tcW w:w="4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Quoted market</w:t>
            </w:r>
          </w:p>
        </w:tc>
        <w:tc>
          <w:tcPr>
            <w:tcW w:w="18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Significant other</w:t>
            </w:r>
          </w:p>
        </w:tc>
        <w:tc>
          <w:tcPr>
            <w:tcW w:w="200" w:type="dxa"/>
            <w:vAlign w:val="bottom"/>
          </w:tcPr>
          <w:p>
            <w:pPr>
              <w:spacing w:after="0"/>
              <w:rPr>
                <w:sz w:val="18"/>
                <w:szCs w:val="18"/>
                <w:color w:val="auto"/>
              </w:rPr>
            </w:pPr>
          </w:p>
        </w:tc>
        <w:tc>
          <w:tcPr>
            <w:tcW w:w="1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4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prices in</w:t>
            </w:r>
          </w:p>
        </w:tc>
        <w:tc>
          <w:tcPr>
            <w:tcW w:w="18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200" w:type="dxa"/>
            <w:vAlign w:val="bottom"/>
          </w:tcPr>
          <w:p>
            <w:pPr>
              <w:spacing w:after="0"/>
              <w:rPr>
                <w:sz w:val="18"/>
                <w:szCs w:val="18"/>
                <w:color w:val="auto"/>
              </w:rPr>
            </w:pPr>
          </w:p>
        </w:tc>
        <w:tc>
          <w:tcPr>
            <w:tcW w:w="1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unobservable</w:t>
            </w:r>
          </w:p>
        </w:tc>
      </w:tr>
      <w:tr>
        <w:trPr>
          <w:trHeight w:val="216"/>
        </w:trPr>
        <w:tc>
          <w:tcPr>
            <w:tcW w:w="4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8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00" w:type="dxa"/>
            <w:vAlign w:val="bottom"/>
          </w:tcPr>
          <w:p>
            <w:pPr>
              <w:spacing w:after="0"/>
              <w:rPr>
                <w:sz w:val="18"/>
                <w:szCs w:val="18"/>
                <w:color w:val="auto"/>
              </w:rPr>
            </w:pPr>
          </w:p>
        </w:tc>
        <w:tc>
          <w:tcPr>
            <w:tcW w:w="1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38"/>
        </w:trPr>
        <w:tc>
          <w:tcPr>
            <w:tcW w:w="4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1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7"/>
        </w:trPr>
        <w:tc>
          <w:tcPr>
            <w:tcW w:w="4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June 30, 2017</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Recurring basis: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10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Derivative assets</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10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Derivative liabilities</w:t>
            </w:r>
            <w:r>
              <w:rPr>
                <w:rFonts w:ascii="Times New Roman" w:cs="Times New Roman" w:eastAsia="Times New Roman" w:hAnsi="Times New Roman"/>
                <w:sz w:val="25"/>
                <w:szCs w:val="25"/>
                <w:color w:val="auto"/>
                <w:vertAlign w:val="superscript"/>
              </w:rPr>
              <w:t>(1)</w:t>
            </w:r>
          </w:p>
        </w:tc>
        <w:tc>
          <w:tcPr>
            <w:tcW w:w="3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10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Available-for-sale securities</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22,222</w:t>
            </w: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Non-recurring basis: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10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Impaired land and development</w:t>
            </w:r>
            <w:r>
              <w:rPr>
                <w:rFonts w:ascii="Times New Roman" w:cs="Times New Roman" w:eastAsia="Times New Roman" w:hAnsi="Times New Roman"/>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7,400</w:t>
            </w:r>
          </w:p>
        </w:tc>
      </w:tr>
      <w:tr>
        <w:trPr>
          <w:trHeight w:val="324"/>
        </w:trPr>
        <w:tc>
          <w:tcPr>
            <w:tcW w:w="4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Recurring basis: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10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Derivative assets</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10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Derivative liabilities</w:t>
            </w:r>
            <w:r>
              <w:rPr>
                <w:rFonts w:ascii="Times New Roman" w:cs="Times New Roman" w:eastAsia="Times New Roman" w:hAnsi="Times New Roman"/>
                <w:sz w:val="25"/>
                <w:szCs w:val="25"/>
                <w:color w:val="auto"/>
                <w:vertAlign w:val="superscript"/>
              </w:rPr>
              <w:t>(1)</w:t>
            </w:r>
          </w:p>
        </w:tc>
        <w:tc>
          <w:tcPr>
            <w:tcW w:w="3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10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Available-for-sale securities</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21,666</w:t>
            </w: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Non-recurring basis: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10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Impaired loans</w:t>
            </w:r>
            <w:r>
              <w:rPr>
                <w:rFonts w:ascii="Times New Roman" w:cs="Times New Roman" w:eastAsia="Times New Roman" w:hAnsi="Times New Roman"/>
                <w:sz w:val="25"/>
                <w:szCs w:val="25"/>
                <w:color w:val="auto"/>
                <w:vertAlign w:val="superscript"/>
              </w:rPr>
              <w:t>(3)</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7,200</w:t>
            </w:r>
          </w:p>
        </w:tc>
      </w:tr>
      <w:tr>
        <w:trPr>
          <w:trHeight w:val="263"/>
        </w:trPr>
        <w:tc>
          <w:tcPr>
            <w:tcW w:w="4100" w:type="dxa"/>
            <w:vAlign w:val="bottom"/>
          </w:tcPr>
          <w:p>
            <w:pPr>
              <w:ind w:left="180"/>
              <w:spacing w:after="0" w:line="263" w:lineRule="exact"/>
              <w:rPr>
                <w:sz w:val="20"/>
                <w:szCs w:val="20"/>
                <w:color w:val="auto"/>
              </w:rPr>
            </w:pPr>
            <w:r>
              <w:rPr>
                <w:rFonts w:ascii="Times New Roman" w:cs="Times New Roman" w:eastAsia="Times New Roman" w:hAnsi="Times New Roman"/>
                <w:sz w:val="18"/>
                <w:szCs w:val="18"/>
                <w:color w:val="auto"/>
              </w:rPr>
              <w:t>Impaired real estate</w:t>
            </w:r>
            <w:r>
              <w:rPr>
                <w:rFonts w:ascii="Times New Roman" w:cs="Times New Roman" w:eastAsia="Times New Roman" w:hAnsi="Times New Roman"/>
                <w:sz w:val="25"/>
                <w:szCs w:val="25"/>
                <w:color w:val="auto"/>
                <w:vertAlign w:val="superscript"/>
              </w:rPr>
              <w:t>(4)</w:t>
            </w:r>
          </w:p>
        </w:tc>
        <w:tc>
          <w:tcPr>
            <w:tcW w:w="32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3,063</w:t>
            </w:r>
          </w:p>
        </w:tc>
      </w:tr>
    </w:tbl>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w:t>
      </w:r>
    </w:p>
    <w:p>
      <w:pPr>
        <w:spacing w:after="0" w:line="1" w:lineRule="exact"/>
        <w:rPr>
          <w:sz w:val="20"/>
          <w:szCs w:val="20"/>
          <w:color w:val="auto"/>
        </w:rPr>
      </w:pPr>
    </w:p>
    <w:p>
      <w:pPr>
        <w:jc w:val="both"/>
        <w:ind w:left="500" w:hanging="492"/>
        <w:spacing w:after="0" w:line="243" w:lineRule="auto"/>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Company's derivatives are based upon widely accepted valuation techniques utilized by a third-party specialist using observable inputs such as interest rates and contractual cash flow and are classified as Level 2. The fair value of the Company's available-for-sale securities are based upon unadjusted third-party broker quotes and are classified as Level 3.</w:t>
      </w:r>
    </w:p>
    <w:p>
      <w:pPr>
        <w:spacing w:after="0" w:line="160" w:lineRule="exact"/>
        <w:rPr>
          <w:rFonts w:ascii="Times New Roman" w:cs="Times New Roman" w:eastAsia="Times New Roman" w:hAnsi="Times New Roman"/>
          <w:sz w:val="14"/>
          <w:szCs w:val="14"/>
          <w:color w:val="auto"/>
        </w:rPr>
      </w:pPr>
    </w:p>
    <w:p>
      <w:pPr>
        <w:ind w:left="500" w:right="20" w:hanging="492"/>
        <w:spacing w:after="0" w:line="241" w:lineRule="auto"/>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recorded an impairment on one land and development asset with a fair value of $7.4 million based on a discount rate of 15% using discounted cash flows over a two year sellout period.</w:t>
      </w:r>
    </w:p>
    <w:p>
      <w:pPr>
        <w:ind w:left="500" w:hanging="492"/>
        <w:spacing w:after="0" w:line="241" w:lineRule="auto"/>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recorded a provision for loan losses on one loan with a fair value of $5.2 million using an appraisal based on market comparable sales. In addition, the Company recorded a recovery of loan losses on one loan with a fair value of $2.0 million based on proceeds to be received.</w:t>
      </w:r>
    </w:p>
    <w:p>
      <w:pPr>
        <w:ind w:left="500" w:hanging="492"/>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recorded an impairment on one real estate asset with a fair value of $3.1 million based on a discount rate of 11% using discounted cash flows over a two year sellout period.</w:t>
      </w:r>
    </w:p>
    <w:p>
      <w:pPr>
        <w:spacing w:after="0" w:line="23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Level 3 available-for-sale securities reported at fair value on the Company's consolidated balance sheets for the six months ended June 30, 2017 and 2016 ($ in thousands):</w:t>
      </w:r>
    </w:p>
    <w:p>
      <w:pPr>
        <w:spacing w:after="0" w:line="266"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5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1,161</w:t>
            </w: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4,366</w:t>
            </w:r>
          </w:p>
        </w:tc>
      </w:tr>
      <w:tr>
        <w:trPr>
          <w:trHeight w:val="27"/>
        </w:trPr>
        <w:tc>
          <w:tcPr>
            <w:tcW w:w="5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recorded in other comprehensive income</w:t>
            </w:r>
          </w:p>
        </w:tc>
        <w:tc>
          <w:tcPr>
            <w:tcW w:w="11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464</w:t>
            </w:r>
          </w:p>
        </w:tc>
      </w:tr>
      <w:tr>
        <w:trPr>
          <w:trHeight w:val="27"/>
        </w:trPr>
        <w:tc>
          <w:tcPr>
            <w:tcW w:w="5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22,222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5,981</w:t>
            </w:r>
          </w:p>
        </w:tc>
      </w:tr>
      <w:tr>
        <w:trPr>
          <w:trHeight w:val="20"/>
        </w:trPr>
        <w:tc>
          <w:tcPr>
            <w:tcW w:w="5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Fair values of financial instruments—</w:t>
      </w:r>
      <w:r>
        <w:rPr>
          <w:rFonts w:ascii="Times New Roman" w:cs="Times New Roman" w:eastAsia="Times New Roman" w:hAnsi="Times New Roman"/>
          <w:sz w:val="18"/>
          <w:szCs w:val="18"/>
          <w:color w:val="auto"/>
        </w:rPr>
        <w:t>The Company's estimated fair values of its loans receivable and other lending investments and outstanding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$1.2 billion and $3.6 billion, respectively, as of June 30, 2017 and $1.5 billion and $3.6 billion, respectively, as of December 31, 2016. The Company determined that the significant inputs used to value its loans receivable and other lending investments and debt obligations fall within Level 3 of the fair value hierarchy. The carrying value of other financial instruments including cash and cash equivalents, restricted cash, accrued interest receivable and accounts payable, approximate the fair values of the instruments. Cash and cash equivalents and restricted cash values are considered Level 1 on the</w:t>
      </w:r>
    </w:p>
    <w:p>
      <w:pPr>
        <w:sectPr>
          <w:pgSz w:w="11900" w:h="16838" w:orient="portrait"/>
          <w:cols w:equalWidth="0" w:num="1">
            <w:col w:w="11420"/>
          </w:cols>
          <w:pgMar w:left="240" w:top="118" w:right="23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hierarchy. The fair value of other financial instruments, including derivative assets and liabilities, are included in the fair value hierarchy table above.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17—Segment Reporting</w:t>
      </w:r>
    </w:p>
    <w:p>
      <w:pPr>
        <w:spacing w:after="0" w:line="36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has determined that it has four reportable segments based on how management reviews and manages its business. These reportable segments include: Real Estate Finance, Net Lease, Operating Properties and Land and Development. The Real Estate Finance segment includes all of the Company's activities related to senior and mezzanine real estate loans and real estate related securities. The Net Lease segment includes the Company's activities and operations related to the ownership of properties generally leased to single corporate tenants. The Operating Properties segment includes the Company's activities and operations related to its commercial and residential properties. The Land and Development segment includes the Company's activities related to its developable land portfolio.</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 evaluates performance based on the following financial measures for each segment. The Company's segment information is as follows ($ in thousands):</w:t>
      </w:r>
    </w:p>
    <w:p>
      <w:pPr>
        <w:spacing w:after="0" w:line="153" w:lineRule="exact"/>
        <w:rPr>
          <w:sz w:val="20"/>
          <w:szCs w:val="20"/>
          <w:color w:val="auto"/>
        </w:rPr>
      </w:pPr>
    </w:p>
    <w:tbl>
      <w:tblPr>
        <w:tblLayout w:type="fixed"/>
        <w:tblInd w:w="80" w:type="dxa"/>
        <w:tblCellMar>
          <w:top w:w="0" w:type="dxa"/>
          <w:left w:w="0" w:type="dxa"/>
          <w:bottom w:w="0" w:type="dxa"/>
          <w:right w:w="0" w:type="dxa"/>
        </w:tblCellMar>
      </w:tblPr>
      <w:tr>
        <w:trPr>
          <w:trHeight w:val="214"/>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Land and</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140" w:type="dxa"/>
            <w:vAlign w:val="bottom"/>
          </w:tcPr>
          <w:p>
            <w:pPr>
              <w:spacing w:after="0"/>
              <w:rPr>
                <w:sz w:val="21"/>
                <w:szCs w:val="21"/>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Lease</w:t>
            </w:r>
          </w:p>
        </w:tc>
        <w:tc>
          <w:tcPr>
            <w:tcW w:w="140" w:type="dxa"/>
            <w:vAlign w:val="bottom"/>
          </w:tcPr>
          <w:p>
            <w:pPr>
              <w:spacing w:after="0"/>
              <w:rPr>
                <w:sz w:val="21"/>
                <w:szCs w:val="21"/>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Properties</w:t>
            </w:r>
          </w:p>
        </w:tc>
        <w:tc>
          <w:tcPr>
            <w:tcW w:w="14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Corporate/Other</w:t>
            </w:r>
            <w:r>
              <w:rPr>
                <w:rFonts w:ascii="Times New Roman" w:cs="Times New Roman" w:eastAsia="Times New Roman" w:hAnsi="Times New Roman"/>
                <w:sz w:val="21"/>
                <w:szCs w:val="21"/>
                <w:b w:val="1"/>
                <w:bCs w:val="1"/>
                <w:color w:val="auto"/>
                <w:vertAlign w:val="superscript"/>
              </w:rPr>
              <w:t>(1)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Company Total</w:t>
            </w:r>
          </w:p>
        </w:tc>
        <w:tc>
          <w:tcPr>
            <w:tcW w:w="0" w:type="dxa"/>
            <w:vAlign w:val="bottom"/>
          </w:tcPr>
          <w:p>
            <w:pPr>
              <w:spacing w:after="0"/>
              <w:rPr>
                <w:sz w:val="1"/>
                <w:szCs w:val="1"/>
                <w:color w:val="auto"/>
              </w:rPr>
            </w:pPr>
          </w:p>
        </w:tc>
      </w:tr>
      <w:tr>
        <w:trPr>
          <w:trHeight w:val="244"/>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2017:</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30,852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15,940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47,002</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28,645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28,645</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123,871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1,277</w:t>
            </w:r>
          </w:p>
        </w:tc>
        <w:tc>
          <w:tcPr>
            <w:tcW w:w="1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139,510</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development revenue</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132,710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132,710</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from equity method investments</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3,606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5,515</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from discontinued operations</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123,418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123,418</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sales of real estate</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844</w:t>
            </w:r>
          </w:p>
        </w:tc>
        <w:tc>
          <w:tcPr>
            <w:tcW w:w="0" w:type="dxa"/>
            <w:vAlign w:val="bottom"/>
          </w:tcPr>
          <w:p>
            <w:pPr>
              <w:spacing w:after="0"/>
              <w:rPr>
                <w:sz w:val="1"/>
                <w:szCs w:val="1"/>
                <w:color w:val="auto"/>
              </w:rPr>
            </w:pPr>
          </w:p>
        </w:tc>
      </w:tr>
      <w:tr>
        <w:trPr>
          <w:trHeight w:val="217"/>
        </w:trPr>
        <w:tc>
          <w:tcPr>
            <w:tcW w:w="3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revenue and other earnings</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29,124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156,073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30,586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260,397</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1,637</w:t>
            </w:r>
          </w:p>
        </w:tc>
        <w:tc>
          <w:tcPr>
            <w:tcW w:w="120" w:type="dxa"/>
            <w:vAlign w:val="bottom"/>
            <w:tcBorders>
              <w:right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477,817</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expense</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(34,684)</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 development cost of sales</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(122,466)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(122,466)</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(15,877)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(16,276)</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Allocated interest expense</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(12,502)</w:t>
            </w:r>
          </w:p>
        </w:tc>
        <w:tc>
          <w:tcPr>
            <w:tcW w:w="1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(48,807)</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Allocated general and administrative</w:t>
            </w:r>
            <w:r>
              <w:rPr>
                <w:rFonts w:ascii="Times New Roman" w:cs="Times New Roman" w:eastAsia="Times New Roman" w:hAnsi="Times New Roman"/>
                <w:sz w:val="21"/>
                <w:szCs w:val="21"/>
                <w:color w:val="auto"/>
                <w:vertAlign w:val="superscript"/>
              </w:rPr>
              <w:t>(2)</w:t>
            </w: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(5,004)</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(5,323)</w:t>
            </w:r>
          </w:p>
        </w:tc>
        <w:tc>
          <w:tcPr>
            <w:tcW w:w="120" w:type="dxa"/>
            <w:vAlign w:val="bottom"/>
            <w:tcBorders>
              <w:right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(23,303)</w:t>
            </w:r>
          </w:p>
        </w:tc>
        <w:tc>
          <w:tcPr>
            <w:tcW w:w="0" w:type="dxa"/>
            <w:vAlign w:val="bottom"/>
          </w:tcPr>
          <w:p>
            <w:pPr>
              <w:spacing w:after="0"/>
              <w:rPr>
                <w:sz w:val="1"/>
                <w:szCs w:val="1"/>
                <w:color w:val="auto"/>
              </w:rPr>
            </w:pPr>
          </w:p>
        </w:tc>
      </w:tr>
      <w:tr>
        <w:trPr>
          <w:trHeight w:val="290"/>
        </w:trPr>
        <w:tc>
          <w:tcPr>
            <w:tcW w:w="37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Segment profit (loss)</w:t>
            </w:r>
            <w:r>
              <w:rPr>
                <w:rFonts w:ascii="Times New Roman" w:cs="Times New Roman" w:eastAsia="Times New Roman" w:hAnsi="Times New Roman"/>
                <w:sz w:val="21"/>
                <w:szCs w:val="21"/>
                <w:b w:val="1"/>
                <w:bCs w:val="1"/>
                <w:color w:val="auto"/>
                <w:vertAlign w:val="superscript"/>
              </w:rPr>
              <w:t>(3)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13,526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132,419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117,838</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(32,065)</w:t>
            </w:r>
          </w:p>
        </w:tc>
        <w:tc>
          <w:tcPr>
            <w:tcW w:w="120" w:type="dxa"/>
            <w:vAlign w:val="bottom"/>
            <w:tcBorders>
              <w:bottom w:val="single" w:sz="8" w:color="CCEEFF"/>
              <w:right w:val="single" w:sz="8" w:color="auto"/>
            </w:tcBorders>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232,281</w:t>
            </w:r>
          </w:p>
        </w:tc>
        <w:tc>
          <w:tcPr>
            <w:tcW w:w="0" w:type="dxa"/>
            <w:vAlign w:val="bottom"/>
          </w:tcPr>
          <w:p>
            <w:pPr>
              <w:spacing w:after="0"/>
              <w:rPr>
                <w:sz w:val="1"/>
                <w:szCs w:val="1"/>
                <w:color w:val="auto"/>
              </w:rPr>
            </w:pPr>
          </w:p>
        </w:tc>
      </w:tr>
      <w:tr>
        <w:trPr>
          <w:trHeight w:val="217"/>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significant items:</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Recovery of loan losses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 of assets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10,284</w:t>
            </w:r>
          </w:p>
        </w:tc>
        <w:tc>
          <w:tcPr>
            <w:tcW w:w="0" w:type="dxa"/>
            <w:vAlign w:val="bottom"/>
          </w:tcPr>
          <w:p>
            <w:pPr>
              <w:spacing w:after="0"/>
              <w:rPr>
                <w:sz w:val="1"/>
                <w:szCs w:val="1"/>
                <w:color w:val="auto"/>
              </w:rPr>
            </w:pPr>
          </w:p>
        </w:tc>
      </w:tr>
      <w:tr>
        <w:trPr>
          <w:trHeight w:val="237"/>
        </w:trPr>
        <w:tc>
          <w:tcPr>
            <w:tcW w:w="3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13,171</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Capitalized expenditures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30,286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39,558</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2016: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32,042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17,828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49,975</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34,400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34,400</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961</w:t>
            </w:r>
          </w:p>
        </w:tc>
        <w:tc>
          <w:tcPr>
            <w:tcW w:w="1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10,096</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development revenue</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27,888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27,888</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from equity method investments</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31,076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2,688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4,739</w:t>
            </w:r>
          </w:p>
        </w:tc>
        <w:tc>
          <w:tcPr>
            <w:tcW w:w="1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39,447</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3,633</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sales of real estate</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39,146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43,484</w:t>
            </w:r>
          </w:p>
        </w:tc>
        <w:tc>
          <w:tcPr>
            <w:tcW w:w="0" w:type="dxa"/>
            <w:vAlign w:val="bottom"/>
          </w:tcPr>
          <w:p>
            <w:pPr>
              <w:spacing w:after="0"/>
              <w:rPr>
                <w:sz w:val="1"/>
                <w:szCs w:val="1"/>
                <w:color w:val="auto"/>
              </w:rPr>
            </w:pPr>
          </w:p>
        </w:tc>
      </w:tr>
      <w:tr>
        <w:trPr>
          <w:trHeight w:val="33"/>
        </w:trPr>
        <w:tc>
          <w:tcPr>
            <w:tcW w:w="3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revenue and other earnings</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34,723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41,389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95,263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31,848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5,700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208,923</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 expense</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(35,328)</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development cost of sales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(17,262)</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(2,257)</w:t>
            </w:r>
          </w:p>
        </w:tc>
        <w:tc>
          <w:tcPr>
            <w:tcW w:w="1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Allocated 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(10,435)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(56,047)</w:t>
            </w:r>
          </w:p>
        </w:tc>
        <w:tc>
          <w:tcPr>
            <w:tcW w:w="0" w:type="dxa"/>
            <w:vAlign w:val="bottom"/>
          </w:tcPr>
          <w:p>
            <w:pPr>
              <w:spacing w:after="0"/>
              <w:rPr>
                <w:sz w:val="1"/>
                <w:szCs w:val="1"/>
                <w:color w:val="auto"/>
              </w:rPr>
            </w:pPr>
          </w:p>
        </w:tc>
      </w:tr>
      <w:tr>
        <w:trPr>
          <w:trHeight w:val="27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Allocated general and administrative</w:t>
            </w:r>
            <w:r>
              <w:rPr>
                <w:rFonts w:ascii="Times New Roman" w:cs="Times New Roman" w:eastAsia="Times New Roman" w:hAnsi="Times New Roman"/>
                <w:sz w:val="21"/>
                <w:szCs w:val="21"/>
                <w:color w:val="auto"/>
                <w:vertAlign w:val="superscript"/>
              </w:rPr>
              <w:t>(2)</w:t>
            </w: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(3,327)</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(4,968)</w:t>
            </w:r>
          </w:p>
        </w:tc>
        <w:tc>
          <w:tcPr>
            <w:tcW w:w="120" w:type="dxa"/>
            <w:vAlign w:val="bottom"/>
            <w:tcBorders>
              <w:bottom w:val="single" w:sz="8" w:color="CCEEFF"/>
              <w:right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(18,032)</w:t>
            </w: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Segment profit (loss)</w:t>
            </w:r>
            <w:r>
              <w:rPr>
                <w:rFonts w:ascii="Times New Roman" w:cs="Times New Roman" w:eastAsia="Times New Roman" w:hAnsi="Times New Roman"/>
                <w:sz w:val="21"/>
                <w:szCs w:val="21"/>
                <w:b w:val="1"/>
                <w:bCs w:val="1"/>
                <w:color w:val="auto"/>
                <w:vertAlign w:val="superscript"/>
              </w:rPr>
              <w:t>(3)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15,381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66,980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(11,960)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79,072</w:t>
            </w:r>
          </w:p>
        </w:tc>
        <w:tc>
          <w:tcPr>
            <w:tcW w:w="0" w:type="dxa"/>
            <w:vAlign w:val="bottom"/>
          </w:tcPr>
          <w:p>
            <w:pPr>
              <w:spacing w:after="0"/>
              <w:rPr>
                <w:sz w:val="1"/>
                <w:szCs w:val="1"/>
                <w:color w:val="auto"/>
              </w:rPr>
            </w:pPr>
          </w:p>
        </w:tc>
      </w:tr>
      <w:tr>
        <w:trPr>
          <w:trHeight w:val="20"/>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Other significant items:</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37"/>
        </w:trPr>
        <w:tc>
          <w:tcPr>
            <w:tcW w:w="3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 of assets</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3,012</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13,673</w:t>
            </w:r>
          </w:p>
        </w:tc>
        <w:tc>
          <w:tcPr>
            <w:tcW w:w="0" w:type="dxa"/>
            <w:vAlign w:val="bottom"/>
          </w:tcPr>
          <w:p>
            <w:pPr>
              <w:spacing w:after="0"/>
              <w:rPr>
                <w:sz w:val="1"/>
                <w:szCs w:val="1"/>
                <w:color w:val="auto"/>
              </w:rPr>
            </w:pPr>
          </w:p>
        </w:tc>
      </w:tr>
      <w:tr>
        <w:trPr>
          <w:trHeight w:val="237"/>
        </w:trPr>
        <w:tc>
          <w:tcPr>
            <w:tcW w:w="3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Capitalized expenditures</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32,006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46,077</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80" w:type="dxa"/>
        <w:tblCellMar>
          <w:top w:w="0" w:type="dxa"/>
          <w:left w:w="0" w:type="dxa"/>
          <w:bottom w:w="0" w:type="dxa"/>
          <w:right w:w="0" w:type="dxa"/>
        </w:tblCellMar>
      </w:tblPr>
      <w:tr>
        <w:trPr>
          <w:trHeight w:val="214"/>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Land and</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140" w:type="dxa"/>
            <w:vAlign w:val="bottom"/>
          </w:tcPr>
          <w:p>
            <w:pPr>
              <w:spacing w:after="0"/>
              <w:rPr>
                <w:sz w:val="21"/>
                <w:szCs w:val="21"/>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Lease</w:t>
            </w:r>
          </w:p>
        </w:tc>
        <w:tc>
          <w:tcPr>
            <w:tcW w:w="140" w:type="dxa"/>
            <w:vAlign w:val="bottom"/>
          </w:tcPr>
          <w:p>
            <w:pPr>
              <w:spacing w:after="0"/>
              <w:rPr>
                <w:sz w:val="21"/>
                <w:szCs w:val="21"/>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Properties</w:t>
            </w:r>
          </w:p>
        </w:tc>
        <w:tc>
          <w:tcPr>
            <w:tcW w:w="14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Corporate/Other</w:t>
            </w:r>
            <w:r>
              <w:rPr>
                <w:rFonts w:ascii="Times New Roman" w:cs="Times New Roman" w:eastAsia="Times New Roman" w:hAnsi="Times New Roman"/>
                <w:sz w:val="21"/>
                <w:szCs w:val="21"/>
                <w:b w:val="1"/>
                <w:bCs w:val="1"/>
                <w:color w:val="auto"/>
                <w:vertAlign w:val="superscript"/>
              </w:rPr>
              <w:t>(1)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Company Total</w:t>
            </w:r>
          </w:p>
        </w:tc>
        <w:tc>
          <w:tcPr>
            <w:tcW w:w="0" w:type="dxa"/>
            <w:vAlign w:val="bottom"/>
          </w:tcPr>
          <w:p>
            <w:pPr>
              <w:spacing w:after="0"/>
              <w:rPr>
                <w:sz w:val="1"/>
                <w:szCs w:val="1"/>
                <w:color w:val="auto"/>
              </w:rPr>
            </w:pPr>
          </w:p>
        </w:tc>
      </w:tr>
      <w:tr>
        <w:trPr>
          <w:trHeight w:val="231"/>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2017:</w:t>
            </w: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62,104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31,929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94,349</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57,703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57,703</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23,688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124,256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1,818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151,374</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 development revenue</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152,760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152,760</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from equity method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11,217</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4,939</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from discontinued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123,418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123,418</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sales of real estate</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8,954</w:t>
            </w:r>
          </w:p>
        </w:tc>
        <w:tc>
          <w:tcPr>
            <w:tcW w:w="0" w:type="dxa"/>
            <w:vAlign w:val="bottom"/>
          </w:tcPr>
          <w:p>
            <w:pPr>
              <w:spacing w:after="0"/>
              <w:rPr>
                <w:sz w:val="1"/>
                <w:szCs w:val="1"/>
                <w:color w:val="auto"/>
              </w:rPr>
            </w:pPr>
          </w:p>
        </w:tc>
      </w:tr>
      <w:tr>
        <w:trPr>
          <w:trHeight w:val="33"/>
        </w:trPr>
        <w:tc>
          <w:tcPr>
            <w:tcW w:w="3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revenue and other earnings</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58,259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199,791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59,460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284,780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2,424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604,714</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 expense</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(70,274)</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development cost of sales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(138,376)</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(17,141)</w:t>
            </w:r>
          </w:p>
        </w:tc>
        <w:tc>
          <w:tcPr>
            <w:tcW w:w="1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(18,145)</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Allocated 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(22,300)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(99,952)</w:t>
            </w:r>
          </w:p>
        </w:tc>
        <w:tc>
          <w:tcPr>
            <w:tcW w:w="0" w:type="dxa"/>
            <w:vAlign w:val="bottom"/>
          </w:tcPr>
          <w:p>
            <w:pPr>
              <w:spacing w:after="0"/>
              <w:rPr>
                <w:sz w:val="1"/>
                <w:szCs w:val="1"/>
                <w:color w:val="auto"/>
              </w:rPr>
            </w:pPr>
          </w:p>
        </w:tc>
      </w:tr>
      <w:tr>
        <w:trPr>
          <w:trHeight w:val="27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Allocated general and administrative</w:t>
            </w:r>
            <w:r>
              <w:rPr>
                <w:rFonts w:ascii="Times New Roman" w:cs="Times New Roman" w:eastAsia="Times New Roman" w:hAnsi="Times New Roman"/>
                <w:sz w:val="21"/>
                <w:szCs w:val="21"/>
                <w:color w:val="auto"/>
                <w:vertAlign w:val="superscript"/>
              </w:rPr>
              <w:t>(2)</w:t>
            </w: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(8,287)</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(8,930)</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(10,697)</w:t>
            </w:r>
          </w:p>
        </w:tc>
        <w:tc>
          <w:tcPr>
            <w:tcW w:w="120" w:type="dxa"/>
            <w:vAlign w:val="bottom"/>
            <w:tcBorders>
              <w:bottom w:val="single" w:sz="8" w:color="CCEEFF"/>
              <w:right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(42,596)</w:t>
            </w: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Segment profit (loss)</w:t>
            </w:r>
            <w:r>
              <w:rPr>
                <w:rFonts w:ascii="Times New Roman" w:cs="Times New Roman" w:eastAsia="Times New Roman" w:hAnsi="Times New Roman"/>
                <w:sz w:val="21"/>
                <w:szCs w:val="21"/>
                <w:b w:val="1"/>
                <w:bCs w:val="1"/>
                <w:color w:val="auto"/>
                <w:vertAlign w:val="superscript"/>
              </w:rPr>
              <w:t>(3)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26,572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151,184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104,771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(47,714)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235,371</w:t>
            </w:r>
          </w:p>
        </w:tc>
        <w:tc>
          <w:tcPr>
            <w:tcW w:w="0" w:type="dxa"/>
            <w:vAlign w:val="bottom"/>
          </w:tcPr>
          <w:p>
            <w:pPr>
              <w:spacing w:after="0"/>
              <w:rPr>
                <w:sz w:val="1"/>
                <w:szCs w:val="1"/>
                <w:color w:val="auto"/>
              </w:rPr>
            </w:pPr>
          </w:p>
        </w:tc>
      </w:tr>
      <w:tr>
        <w:trPr>
          <w:trHeight w:val="20"/>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Other significant non-cash items:</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Recovery of loan losses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w:t>
            </w:r>
          </w:p>
        </w:tc>
        <w:tc>
          <w:tcPr>
            <w:tcW w:w="0" w:type="dxa"/>
            <w:vAlign w:val="bottom"/>
          </w:tcPr>
          <w:p>
            <w:pPr>
              <w:spacing w:after="0"/>
              <w:rPr>
                <w:sz w:val="1"/>
                <w:szCs w:val="1"/>
                <w:color w:val="auto"/>
              </w:rPr>
            </w:pPr>
          </w:p>
        </w:tc>
      </w:tr>
      <w:tr>
        <w:trPr>
          <w:trHeight w:val="237"/>
        </w:trPr>
        <w:tc>
          <w:tcPr>
            <w:tcW w:w="3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 of assets</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10,064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14,696</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659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25,451</w:t>
            </w:r>
          </w:p>
        </w:tc>
        <w:tc>
          <w:tcPr>
            <w:tcW w:w="0" w:type="dxa"/>
            <w:vAlign w:val="bottom"/>
          </w:tcPr>
          <w:p>
            <w:pPr>
              <w:spacing w:after="0"/>
              <w:rPr>
                <w:sz w:val="1"/>
                <w:szCs w:val="1"/>
                <w:color w:val="auto"/>
              </w:rPr>
            </w:pPr>
          </w:p>
        </w:tc>
      </w:tr>
      <w:tr>
        <w:trPr>
          <w:trHeight w:val="237"/>
        </w:trPr>
        <w:tc>
          <w:tcPr>
            <w:tcW w:w="3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Capitalized expenditures</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56,879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75,132</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2016:</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63,350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36,909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100,470</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67,620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67,620</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2,715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21,636</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 development revenue</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42,835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42,835</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from equity method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30,934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5,542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47,714</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7,214</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sales of real estate</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9,267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44,676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53,943</w:t>
            </w:r>
          </w:p>
        </w:tc>
        <w:tc>
          <w:tcPr>
            <w:tcW w:w="0" w:type="dxa"/>
            <w:vAlign w:val="bottom"/>
          </w:tcPr>
          <w:p>
            <w:pPr>
              <w:spacing w:after="0"/>
              <w:rPr>
                <w:sz w:val="1"/>
                <w:szCs w:val="1"/>
                <w:color w:val="auto"/>
              </w:rPr>
            </w:pPr>
          </w:p>
        </w:tc>
      </w:tr>
      <w:tr>
        <w:trPr>
          <w:trHeight w:val="217"/>
        </w:trPr>
        <w:tc>
          <w:tcPr>
            <w:tcW w:w="3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revenue and other earnings</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69,240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82,233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127,076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54,626</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8,257</w:t>
            </w:r>
          </w:p>
        </w:tc>
        <w:tc>
          <w:tcPr>
            <w:tcW w:w="120" w:type="dxa"/>
            <w:vAlign w:val="bottom"/>
            <w:tcBorders>
              <w:right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341,432</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expense</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(69,572)</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 development cost of sales</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(28,838)</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(3,083)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Allocated interest expense</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(21,539)</w:t>
            </w:r>
          </w:p>
        </w:tc>
        <w:tc>
          <w:tcPr>
            <w:tcW w:w="1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(113,068)</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Allocated general and administrative</w:t>
            </w:r>
            <w:r>
              <w:rPr>
                <w:rFonts w:ascii="Times New Roman" w:cs="Times New Roman" w:eastAsia="Times New Roman" w:hAnsi="Times New Roman"/>
                <w:sz w:val="21"/>
                <w:szCs w:val="21"/>
                <w:color w:val="auto"/>
                <w:vertAlign w:val="superscript"/>
              </w:rPr>
              <w:t>(2)</w:t>
            </w: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(6,597)</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(10,226)</w:t>
            </w:r>
          </w:p>
        </w:tc>
        <w:tc>
          <w:tcPr>
            <w:tcW w:w="120" w:type="dxa"/>
            <w:vAlign w:val="bottom"/>
            <w:tcBorders>
              <w:right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(36,557)</w:t>
            </w:r>
          </w:p>
        </w:tc>
        <w:tc>
          <w:tcPr>
            <w:tcW w:w="0" w:type="dxa"/>
            <w:vAlign w:val="bottom"/>
          </w:tcPr>
          <w:p>
            <w:pPr>
              <w:spacing w:after="0"/>
              <w:rPr>
                <w:sz w:val="1"/>
                <w:szCs w:val="1"/>
                <w:color w:val="auto"/>
              </w:rPr>
            </w:pPr>
          </w:p>
        </w:tc>
      </w:tr>
      <w:tr>
        <w:trPr>
          <w:trHeight w:val="290"/>
        </w:trPr>
        <w:tc>
          <w:tcPr>
            <w:tcW w:w="37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Segment profit (loss)</w:t>
            </w:r>
            <w:r>
              <w:rPr>
                <w:rFonts w:ascii="Times New Roman" w:cs="Times New Roman" w:eastAsia="Times New Roman" w:hAnsi="Times New Roman"/>
                <w:sz w:val="21"/>
                <w:szCs w:val="21"/>
                <w:b w:val="1"/>
                <w:bCs w:val="1"/>
                <w:color w:val="auto"/>
                <w:vertAlign w:val="superscript"/>
              </w:rPr>
              <w:t>(3)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31,451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31,859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69,183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(26,591)</w:t>
            </w:r>
          </w:p>
        </w:tc>
        <w:tc>
          <w:tcPr>
            <w:tcW w:w="120" w:type="dxa"/>
            <w:vAlign w:val="bottom"/>
            <w:tcBorders>
              <w:bottom w:val="single" w:sz="8" w:color="CCEEFF"/>
              <w:right w:val="single" w:sz="8" w:color="auto"/>
            </w:tcBorders>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89,475</w:t>
            </w:r>
          </w:p>
        </w:tc>
        <w:tc>
          <w:tcPr>
            <w:tcW w:w="0" w:type="dxa"/>
            <w:vAlign w:val="bottom"/>
          </w:tcPr>
          <w:p>
            <w:pPr>
              <w:spacing w:after="0"/>
              <w:rPr>
                <w:sz w:val="1"/>
                <w:szCs w:val="1"/>
                <w:color w:val="auto"/>
              </w:rPr>
            </w:pPr>
          </w:p>
        </w:tc>
      </w:tr>
      <w:tr>
        <w:trPr>
          <w:trHeight w:val="231"/>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significant non-cash items:</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2,206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2,206</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 of assets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3,012</w:t>
            </w:r>
          </w:p>
        </w:tc>
        <w:tc>
          <w:tcPr>
            <w:tcW w:w="0" w:type="dxa"/>
            <w:vAlign w:val="bottom"/>
          </w:tcPr>
          <w:p>
            <w:pPr>
              <w:spacing w:after="0"/>
              <w:rPr>
                <w:sz w:val="1"/>
                <w:szCs w:val="1"/>
                <w:color w:val="auto"/>
              </w:rPr>
            </w:pPr>
          </w:p>
        </w:tc>
      </w:tr>
      <w:tr>
        <w:trPr>
          <w:trHeight w:val="237"/>
        </w:trPr>
        <w:tc>
          <w:tcPr>
            <w:tcW w:w="3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16,028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549</w:t>
            </w:r>
          </w:p>
        </w:tc>
        <w:tc>
          <w:tcPr>
            <w:tcW w:w="1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27,581</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Capitalized expenditures</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2,476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28,243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66,274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96,993</w:t>
            </w:r>
          </w:p>
        </w:tc>
        <w:tc>
          <w:tcPr>
            <w:tcW w:w="0" w:type="dxa"/>
            <w:vAlign w:val="bottom"/>
          </w:tcPr>
          <w:p>
            <w:pPr>
              <w:spacing w:after="0"/>
              <w:rPr>
                <w:sz w:val="1"/>
                <w:szCs w:val="1"/>
                <w:color w:val="auto"/>
              </w:rPr>
            </w:pPr>
          </w:p>
        </w:tc>
      </w:tr>
      <w:tr>
        <w:trPr>
          <w:trHeight w:val="33"/>
        </w:trPr>
        <w:tc>
          <w:tcPr>
            <w:tcW w:w="3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18" w:right="299" w:bottom="1440" w:gutter="0" w:footer="0" w:header="0"/>
        </w:sectPr>
      </w:pP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60"/>
          </w:cols>
          <w:pgMar w:left="240" w:top="118" w:right="2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80" w:type="dxa"/>
        <w:tblCellMar>
          <w:top w:w="0" w:type="dxa"/>
          <w:left w:w="0" w:type="dxa"/>
          <w:bottom w:w="0" w:type="dxa"/>
          <w:right w:w="0" w:type="dxa"/>
        </w:tblCellMar>
      </w:tblPr>
      <w:tr>
        <w:trPr>
          <w:trHeight w:val="214"/>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Land and</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140" w:type="dxa"/>
            <w:vAlign w:val="bottom"/>
          </w:tcPr>
          <w:p>
            <w:pPr>
              <w:spacing w:after="0"/>
              <w:rPr>
                <w:sz w:val="21"/>
                <w:szCs w:val="21"/>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Lease</w:t>
            </w:r>
          </w:p>
        </w:tc>
        <w:tc>
          <w:tcPr>
            <w:tcW w:w="140" w:type="dxa"/>
            <w:vAlign w:val="bottom"/>
          </w:tcPr>
          <w:p>
            <w:pPr>
              <w:spacing w:after="0"/>
              <w:rPr>
                <w:sz w:val="21"/>
                <w:szCs w:val="21"/>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Properties</w:t>
            </w:r>
          </w:p>
        </w:tc>
        <w:tc>
          <w:tcPr>
            <w:tcW w:w="14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Corporate/Other</w:t>
            </w:r>
            <w:r>
              <w:rPr>
                <w:rFonts w:ascii="Times New Roman" w:cs="Times New Roman" w:eastAsia="Times New Roman" w:hAnsi="Times New Roman"/>
                <w:sz w:val="21"/>
                <w:szCs w:val="21"/>
                <w:b w:val="1"/>
                <w:bCs w:val="1"/>
                <w:color w:val="auto"/>
                <w:vertAlign w:val="superscript"/>
              </w:rPr>
              <w:t>(1)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Company Total</w:t>
            </w:r>
          </w:p>
        </w:tc>
        <w:tc>
          <w:tcPr>
            <w:tcW w:w="0" w:type="dxa"/>
            <w:vAlign w:val="bottom"/>
          </w:tcPr>
          <w:p>
            <w:pPr>
              <w:spacing w:after="0"/>
              <w:rPr>
                <w:sz w:val="1"/>
                <w:szCs w:val="1"/>
                <w:color w:val="auto"/>
              </w:rPr>
            </w:pPr>
          </w:p>
        </w:tc>
      </w:tr>
      <w:tr>
        <w:trPr>
          <w:trHeight w:val="291"/>
        </w:trPr>
        <w:tc>
          <w:tcPr>
            <w:tcW w:w="37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2017</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Real estate,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863,406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479,576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1,342,982</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Real estate available and held for sale</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67,121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68,045</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real estate</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864,330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546,697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1,411,027</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 and development, net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855,497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855,497</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receivable and other lending investments, net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1,170,565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1,170,565</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investments</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179,284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62,417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27,238</w:t>
            </w:r>
          </w:p>
        </w:tc>
        <w:tc>
          <w:tcPr>
            <w:tcW w:w="12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276,821</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portfolio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1,170,565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1,043,614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554,579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917,914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27,238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3,713,910</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Cash and other assets</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1,200,845</w:t>
            </w:r>
          </w:p>
        </w:tc>
        <w:tc>
          <w:tcPr>
            <w:tcW w:w="0" w:type="dxa"/>
            <w:vAlign w:val="bottom"/>
          </w:tcPr>
          <w:p>
            <w:pPr>
              <w:spacing w:after="0" w:line="20" w:lineRule="exact"/>
              <w:rPr>
                <w:sz w:val="1"/>
                <w:szCs w:val="1"/>
                <w:color w:val="auto"/>
              </w:rPr>
            </w:pPr>
          </w:p>
        </w:tc>
      </w:tr>
      <w:tr>
        <w:trPr>
          <w:trHeight w:val="224"/>
        </w:trPr>
        <w:tc>
          <w:tcPr>
            <w:tcW w:w="37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4,914,755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2016</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Real estate,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911,112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476,162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1,387,274</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Real estate available and held for sale</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155,051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82,480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237,531</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real estate</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1,066,163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558,642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1,624,805</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 and development, net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945,565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945,565</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receivable and other lending investments, net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1,450,439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1,450,439</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investments</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92,669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84,804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33,350</w:t>
            </w:r>
          </w:p>
        </w:tc>
        <w:tc>
          <w:tcPr>
            <w:tcW w:w="12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214,406</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portfolio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1,450,439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1,158,832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562,225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1,030,369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33,350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4,235,215</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Cash and other assets</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590,299</w:t>
            </w:r>
          </w:p>
        </w:tc>
        <w:tc>
          <w:tcPr>
            <w:tcW w:w="0" w:type="dxa"/>
            <w:vAlign w:val="bottom"/>
          </w:tcPr>
          <w:p>
            <w:pPr>
              <w:spacing w:after="0" w:line="20" w:lineRule="exact"/>
              <w:rPr>
                <w:sz w:val="1"/>
                <w:szCs w:val="1"/>
                <w:color w:val="auto"/>
              </w:rPr>
            </w:pPr>
          </w:p>
        </w:tc>
      </w:tr>
      <w:tr>
        <w:trPr>
          <w:trHeight w:val="224"/>
        </w:trPr>
        <w:tc>
          <w:tcPr>
            <w:tcW w:w="37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4,825,514</w:t>
            </w: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-95885</wp:posOffset>
            </wp:positionV>
            <wp:extent cx="7886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ind w:left="500" w:hanging="492"/>
        <w:spacing w:after="0" w:line="241" w:lineRule="auto"/>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Corporate/Other represents all corporate level and unallocated items including any intercompany eliminations necessary to reconcile to consolidated Company totals. This caption also includes the Company's joint venture investments and strategic investments that are not included in the other reportable segments above.</w:t>
      </w:r>
    </w:p>
    <w:p>
      <w:pPr>
        <w:ind w:left="500" w:hanging="492"/>
        <w:spacing w:after="0" w:line="241" w:lineRule="auto"/>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and administrative excludes stock-based compensation expense of $3.9 million and $9.8 million for the three and six months ended June 30, 2017 respectively, and $1.6 million and $6.2 million for the three and six months ended June 30, 2016, respectively.</w:t>
      </w:r>
    </w:p>
    <w:p>
      <w:pPr>
        <w:ind w:left="500" w:hanging="492"/>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is a reconciliation of segment profit to net income (loss) ($ in thousands):</w:t>
      </w:r>
    </w:p>
    <w:p>
      <w:pPr>
        <w:spacing w:after="0" w:line="213" w:lineRule="exact"/>
        <w:rPr>
          <w:sz w:val="20"/>
          <w:szCs w:val="20"/>
          <w:color w:val="auto"/>
        </w:rPr>
      </w:pPr>
    </w:p>
    <w:tbl>
      <w:tblPr>
        <w:tblLayout w:type="fixed"/>
        <w:tblInd w:w="500" w:type="dxa"/>
        <w:tblCellMar>
          <w:top w:w="0" w:type="dxa"/>
          <w:left w:w="0" w:type="dxa"/>
          <w:bottom w:w="0" w:type="dxa"/>
          <w:right w:w="0" w:type="dxa"/>
        </w:tblCellMar>
      </w:tblPr>
      <w:tr>
        <w:trPr>
          <w:trHeight w:val="195"/>
        </w:trPr>
        <w:tc>
          <w:tcPr>
            <w:tcW w:w="3920" w:type="dxa"/>
            <w:vAlign w:val="bottom"/>
          </w:tcPr>
          <w:p>
            <w:pPr>
              <w:spacing w:after="0"/>
              <w:rPr>
                <w:sz w:val="16"/>
                <w:szCs w:val="16"/>
                <w:color w:val="auto"/>
              </w:rPr>
            </w:pPr>
          </w:p>
        </w:tc>
        <w:tc>
          <w:tcPr>
            <w:tcW w:w="25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20" w:type="dxa"/>
            <w:vAlign w:val="bottom"/>
          </w:tcPr>
          <w:p>
            <w:pPr>
              <w:spacing w:after="0"/>
              <w:rPr>
                <w:sz w:val="16"/>
                <w:szCs w:val="16"/>
                <w:color w:val="auto"/>
              </w:rPr>
            </w:pPr>
          </w:p>
        </w:tc>
        <w:tc>
          <w:tcPr>
            <w:tcW w:w="232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64"/>
        </w:trPr>
        <w:tc>
          <w:tcPr>
            <w:tcW w:w="39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profit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232,281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79,072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235,371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89,475</w:t>
            </w:r>
          </w:p>
        </w:tc>
      </w:tr>
      <w:tr>
        <w:trPr>
          <w:trHeight w:val="26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Recovery of (provision for) loan losses</w:t>
            </w:r>
          </w:p>
        </w:tc>
        <w:tc>
          <w:tcPr>
            <w:tcW w:w="28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5,528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w:t>
            </w:r>
          </w:p>
        </w:tc>
      </w:tr>
      <w:tr>
        <w:trPr>
          <w:trHeight w:val="27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Impairment of assets</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w:t>
            </w:r>
          </w:p>
        </w:tc>
      </w:tr>
      <w:tr>
        <w:trPr>
          <w:trHeight w:val="26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Stock-based compensation expense</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(6,211)</w:t>
            </w:r>
          </w:p>
        </w:tc>
      </w:tr>
      <w:tr>
        <w:trPr>
          <w:trHeight w:val="27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Depreciation and amortization</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(27,581)</w:t>
            </w:r>
          </w:p>
        </w:tc>
      </w:tr>
      <w:tr>
        <w:trPr>
          <w:trHeight w:val="26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Income tax (expense) benefit</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1,604</w:t>
            </w:r>
          </w:p>
        </w:tc>
      </w:tr>
      <w:tr>
        <w:trPr>
          <w:trHeight w:val="27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Income tax expense from discontinued operations</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Loss on early extinguishment of debt, net</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(1,582)</w:t>
            </w:r>
          </w:p>
        </w:tc>
      </w:tr>
      <w:tr>
        <w:trPr>
          <w:trHeight w:val="242"/>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196,007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59,787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180,635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50,487</w:t>
            </w:r>
          </w:p>
        </w:tc>
      </w:tr>
      <w:tr>
        <w:trPr>
          <w:trHeight w:val="20"/>
        </w:trPr>
        <w:tc>
          <w:tcPr>
            <w:tcW w:w="3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iStar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18—Subsequent Events</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Subsequent to June 30, 2017, the Company, trusts established by Jay Sugarman, the Company's Chairman and Chief Executive Officer, and Geoffrey Jervis, the Company's Chief Operating Officer and Chief Financial Officer, purchased an aggregate $5.1 million in shares of SAFE's common stock pursuant to a 10b5-1 plan (the “10b5-1 Plan") in accordance with Rules 10b5-1 and 10b-18 under the Securities and Exchange Act of 1934, as amended, under which they may buy in the open market up to $25.0 million in the aggregate of SAFE's common stock. Shares will be purchased under the 10b5-1 Plan when the market price per share is below $20.00 and will accelerate with declines in the market price. Purchases will be allocated 98% to the Company, 1% to the trusts established by Mr. Sugarman and 1% to Mr. Jervis.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8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iStar Inc.'s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10-Q and the uncertainties and risks described in Item 1A—"Risk Factors" in our 2016 Annual Report, all of which could affect our future results of operations, financial condition and liquidity. For purposes of Management's Discussion and Analysis of Financial Condition and Results of Operations, the terms "we," "our" and "us" refer to iStar Inc. and its consolidated subsidiaries, unless the context indicates otherwise.</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discussion below should be read in conjunction with our consolidated financial statements and related notes in this quarterly report on Form 10-Q and our 2016 Annual Report. These historical financial statements may not be indicative of our future performance. We have reclassified certain items in our consolidated financial statements of prior periods to conform to our current financial statements presentation.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iStar Inc., doing business as "iStar," finances, invests in and develops real estate and real estate related projects as part of its fully-integrated investment platform. We also provide management services for our ground lease and net lease equity method investments. We have invested more than $35 billion over the past two decades and are structured as a real estate investment trust ("REIT") with a diversified portfolio focused on larger assets located in major metropolitan markets. Our primary business segments are real estate finance, net lease, operating properties and land and development.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continue to focus on our net lease and real estate finance businesses to find selective investment opportunities in these core businesses. We also continue to make significant additional progress in monetizing our commercial and residential operating properties as well as our land portfolio. In our continuing effort to find untapped investment opportunities in real estate, we recently conceived and ultimately launched a new, publicly traded REIT focused exclusively on the ground lease ("GL") asset class.</w:t>
      </w:r>
    </w:p>
    <w:p>
      <w:pPr>
        <w:spacing w:after="0" w:line="14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 April 2017, institutional investors acquired a controlling interest in our GL business through the merger of one of our subsidiaries and related transactions (the "Acquisition Transactions"). Our GL business was a component of our net lease segment and consisted of 12 properties subject to long-term net leases including seven GLs and one master lease (covering five properties). The acquiring entity was a newly formed unconsolidated entity named Safety, Income and Growth, Inc. ("SAFE"). The carrying value of our GL assets was approximately $161.1 million. Shortly before the Acquisition Transactions, we completed the $227.0 million 2017 Secured Financing on our GL assets (refer to Note 10). We received all of the proceeds of the 2017 Secured Financing. We received an additional $113.0 million of proceeds in the Acquisition Transactions, including $55.5 million that we contributed to SAFE in its initial capitalization. As a result of the Acquisition Transactions, we deconsolidated the 12 properties and the associated 2017 Secured Financing. We account for our investment in SAFE as an equity method investment (refer to Note 7). We accounted for this transaction as an in substance sale of real estate and recognized a gain of $123.4 million, reflecting the aggregate gain less the fair value of our retained interest in SAFE.</w:t>
      </w:r>
    </w:p>
    <w:p>
      <w:pPr>
        <w:spacing w:after="0" w:line="14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June 27, 2017, SAFE completed its initial public offering raising $205.0 million in gross proceeds and concurrently completed a $45.0 million private placement to us, its largest shareholder. We paid organization and offering costs in connection with these transactions, including commissions payable to the underwriters and other offering expenses. As of June 30, 2017, we owned 28% of SAFE and our investment had a market value of $96.2 million. In addition, one of our wholly-owned subsidiaries is the external manager of SAFE, our Chief Executive Officer is a director and the Chairman of SAFE's board of directors and our executive officers hold similarly titled positions with SAFE.</w:t>
      </w:r>
    </w:p>
    <w:p>
      <w:pPr>
        <w:spacing w:after="0" w:line="14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April 2017, we received a favorable judgment from the U.S. Court of Appeals for the Fourth Circuit, affirming a prior district court judgment relating to a dispute with Lennar over the purchase and sale of Bevard, a master planned community located in Maryland. On April 21, we conveyed the property to Lennar and received $234.3 million of net proceeds after payment of $3.3</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million in documentary transfer taxes, comprised of the remaining purchase price of $114.0 million and $123.4 million of interest and real estate taxes, net of costs.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continue to strengthen our balance sheet through our financing activities. Access to the capital markets has allowed us to extend our debt maturity profile and remain primarily an unsecured borrower. In March 2017, we issued $375.0 million principal amount of 6.00% senior unsecured notes due April 2022. Proceeds from the offering were primarily used to repay in full the $99.7 million principal amount of 5.85% senior unsecured notes due March 2017 and repay in full the $275.0 million principal amount of 9.00% senior unsecured notes due June 2017 prior to maturity. In addition, also in March 2017, through wholly-owned subsidiaries conducting our GL business, we entered into the $227.0 million 2017 Secured Financing that accrued interest at 3.795% and matures in April 2027. The 2017 Secured Financing was collateralized by the 12 properties comprising our GL business, including seven ground net leases and one master lease covering the accounts of five related properties. In April 2017, we derecognized the 2017 Secured Financing when third parties acquired a controlling interest in our GL business. As of June 30, 2017, we had $954.3 million of cash, which we expect to use primarily to repay debt and fund future investment activities. In addition, we have additional borrowing capacity of $234.6 million at June 30, 2017.</w:t>
      </w:r>
    </w:p>
    <w:p>
      <w:pPr>
        <w:spacing w:after="0" w:line="14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2017, all of our business segments contributed positively to our earnings. We continue to work on repositioning or redeveloping our transitional operating properties and progressing on the entitlement and development of our land and development assets in order to maximize their value. We intend to continue these efforts, with the objective of increasing the contribution of these assets to our earnings in the future. For the three months ended June 30, 2017, we recorded net income allocable to common shareholders of $177.5 million, compared to net income of $38.1 million during the same period in the prior year. Adjusted income allocable to common shareholders for the three months ended June 30, 2017 was $198.4 million, compared to $61.1 million during the same period in the prior year (see "Adjusted Income" for a reconciliation of adjusted income to net income).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Overview</w:t>
      </w:r>
    </w:p>
    <w:p>
      <w:pPr>
        <w:spacing w:after="0" w:line="22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As of June 30, 2017, based on carrying values gross of accumulated depreciation and general loan loss reserves, our $4.2 billion investment portfolio has the following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114300</wp:posOffset>
            </wp:positionV>
            <wp:extent cx="5462905" cy="2761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62905"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55" w:lineRule="exact"/>
        <w:rPr>
          <w:sz w:val="20"/>
          <w:szCs w:val="20"/>
          <w:color w:val="auto"/>
        </w:rPr>
      </w:pPr>
    </w:p>
    <w:p>
      <w:pPr>
        <w:ind w:left="2120" w:hanging="572"/>
        <w:spacing w:after="0"/>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market value of our equity method investment in SAFE.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2017, based on carrying values gross of accumulated depreciation and general loan loss reserves, our total investment portfolio has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following property/collateral type and geographic characteristics ($ in thousands):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92"/>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6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Land &amp;</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38"/>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Property/Collateral Types</w:t>
            </w: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Finance</w:t>
            </w:r>
          </w:p>
        </w:tc>
        <w:tc>
          <w:tcPr>
            <w:tcW w:w="16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Lease</w:t>
            </w:r>
          </w:p>
        </w:tc>
        <w:tc>
          <w:tcPr>
            <w:tcW w:w="16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26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 / Industrial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760,965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122,658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920,587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43"/>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Land and Development</w:t>
            </w:r>
          </w:p>
        </w:tc>
        <w:tc>
          <w:tcPr>
            <w:tcW w:w="1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925,191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925,191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7"/>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Hotel</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338,422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102,815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441,237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3"/>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Entertainment / Leisure</w:t>
            </w:r>
          </w:p>
        </w:tc>
        <w:tc>
          <w:tcPr>
            <w:tcW w:w="1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489,387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489,387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7"/>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Mixed Use / Mixed Collateral</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297,024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477,177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43"/>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Condominium</w:t>
            </w: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258,010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66,490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324,500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Property Types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228,527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228,534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57,348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222,782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298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Ground Leases</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96,229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96,229</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Strategic Investments</w:t>
            </w:r>
          </w:p>
        </w:tc>
        <w:tc>
          <w:tcPr>
            <w:tcW w:w="1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27,238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2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1,188,365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1,403,929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608,139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925,191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4,152,862</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Land &amp;</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38"/>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Geographic Region</w:t>
            </w:r>
          </w:p>
        </w:tc>
        <w:tc>
          <w:tcPr>
            <w:tcW w:w="14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Finance</w:t>
            </w:r>
          </w:p>
        </w:tc>
        <w:tc>
          <w:tcPr>
            <w:tcW w:w="16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Net Lease</w:t>
            </w:r>
          </w:p>
        </w:tc>
        <w:tc>
          <w:tcPr>
            <w:tcW w:w="16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16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Development</w:t>
            </w:r>
          </w:p>
        </w:tc>
        <w:tc>
          <w:tcPr>
            <w:tcW w:w="26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Northeast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569,385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399,468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258,381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1,274,446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43"/>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West</w:t>
            </w: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98,197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312,383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42,616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364,834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818,030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Southeast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174,602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249,574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146,511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694,401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3"/>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Mid-Atlantic</w:t>
            </w: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153,835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124,298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325,147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Southwest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59,984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160,019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243,055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485,522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43"/>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Central</w:t>
            </w: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187,775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97,988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388,853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92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Various</w:t>
            </w:r>
            <w:r>
              <w:rPr>
                <w:rFonts w:ascii="Times New Roman" w:cs="Times New Roman" w:eastAsia="Times New Roman" w:hAnsi="Times New Roman"/>
                <w:sz w:val="25"/>
                <w:szCs w:val="25"/>
                <w:color w:val="auto"/>
                <w:vertAlign w:val="superscript"/>
              </w:rPr>
              <w:t>(2)</w:t>
            </w: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98,422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10,141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139,225</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292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Strategic Investments</w:t>
            </w:r>
            <w:r>
              <w:rPr>
                <w:rFonts w:ascii="Times New Roman" w:cs="Times New Roman" w:eastAsia="Times New Roman" w:hAnsi="Times New Roman"/>
                <w:sz w:val="25"/>
                <w:szCs w:val="25"/>
                <w:color w:val="auto"/>
                <w:vertAlign w:val="superscript"/>
              </w:rPr>
              <w:t>(2)</w:t>
            </w:r>
          </w:p>
        </w:tc>
        <w:tc>
          <w:tcPr>
            <w:tcW w:w="14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27,238</w:t>
            </w: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57"/>
        </w:trPr>
        <w:tc>
          <w:tcPr>
            <w:tcW w:w="29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1,188,365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1,403,929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608,139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925,191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4,152,862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-95885</wp:posOffset>
            </wp:positionV>
            <wp:extent cx="51542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54295" cy="8890"/>
                    </a:xfrm>
                    <a:prstGeom prst="rect">
                      <a:avLst/>
                    </a:prstGeom>
                    <a:noFill/>
                  </pic:spPr>
                </pic:pic>
              </a:graphicData>
            </a:graphic>
          </wp:anchor>
        </w:drawing>
      </w:r>
    </w:p>
    <w:p>
      <w:pPr>
        <w:ind w:left="660" w:hanging="490"/>
        <w:spacing w:after="0"/>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market value of our equity method investment in SAFE.</w:t>
      </w:r>
    </w:p>
    <w:p>
      <w:pPr>
        <w:spacing w:after="0" w:line="39" w:lineRule="exact"/>
        <w:rPr>
          <w:rFonts w:ascii="Times New Roman" w:cs="Times New Roman" w:eastAsia="Times New Roman" w:hAnsi="Times New Roman"/>
          <w:sz w:val="14"/>
          <w:szCs w:val="14"/>
          <w:color w:val="auto"/>
        </w:rPr>
      </w:pPr>
    </w:p>
    <w:p>
      <w:pPr>
        <w:ind w:left="820" w:hanging="650"/>
        <w:spacing w:after="0"/>
        <w:tabs>
          <w:tab w:leader="none" w:pos="8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Combined, strategic investments and the various category include $20.2 million of international assets.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Finance</w:t>
      </w:r>
    </w:p>
    <w:p>
      <w:pPr>
        <w:spacing w:after="0" w:line="2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real estate finance business targets sophisticated and innovative owner/operators of real estate and real estate related projects by providing one-stop capabilities that encompass financing alternatives ranging from full envelope senior loans to mezzanine and preferred equity capital positions. As of June 30, 2017, our real estate finance portfolio, including securities, totaled $1.2 billion, gross of general loan loss reserves. The portfolio included $914.1 million of performing loans with a weighted average maturity of 1.5 years.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tables below summarize our loans and the reserves for loan losses associated with our loans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 2017</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
        </w:trPr>
        <w:tc>
          <w:tcPr>
            <w:tcW w:w="22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4"/>
        </w:trPr>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Reserve for Loan</w:t>
            </w:r>
          </w:p>
        </w:tc>
      </w:tr>
      <w:tr>
        <w:trPr>
          <w:trHeight w:val="216"/>
        </w:trPr>
        <w:tc>
          <w:tcPr>
            <w:tcW w:w="224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Reserve for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 as a % of</w:t>
            </w:r>
          </w:p>
        </w:tc>
      </w:tr>
      <w:tr>
        <w:trPr>
          <w:trHeight w:val="238"/>
        </w:trPr>
        <w:tc>
          <w:tcPr>
            <w:tcW w:w="224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30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Loan Losses</w:t>
            </w:r>
          </w:p>
        </w:tc>
        <w:tc>
          <w:tcPr>
            <w:tcW w:w="18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Gross Carrying Value</w:t>
            </w:r>
          </w:p>
        </w:tc>
      </w:tr>
      <w:tr>
        <w:trPr>
          <w:trHeight w:val="27"/>
        </w:trPr>
        <w:tc>
          <w:tcPr>
            <w:tcW w:w="2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Performing loans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896,306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Non-performing loans</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188,670</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17.4%</w:t>
            </w:r>
          </w:p>
        </w:tc>
        <w:tc>
          <w:tcPr>
            <w:tcW w:w="12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24.4%</w:t>
            </w:r>
          </w:p>
        </w:tc>
      </w:tr>
      <w:tr>
        <w:trPr>
          <w:trHeight w:val="27"/>
        </w:trPr>
        <w:tc>
          <w:tcPr>
            <w:tcW w:w="2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2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1,163,765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1,084,976</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2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500"/>
        </w:trPr>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December 31, 2016</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
        </w:trPr>
        <w:tc>
          <w:tcPr>
            <w:tcW w:w="22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4"/>
        </w:trPr>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Reserve for Loan</w:t>
            </w:r>
          </w:p>
        </w:tc>
      </w:tr>
      <w:tr>
        <w:trPr>
          <w:trHeight w:val="216"/>
        </w:trPr>
        <w:tc>
          <w:tcPr>
            <w:tcW w:w="224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Reserve for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 as a % of</w:t>
            </w:r>
          </w:p>
        </w:tc>
      </w:tr>
      <w:tr>
        <w:trPr>
          <w:trHeight w:val="238"/>
        </w:trPr>
        <w:tc>
          <w:tcPr>
            <w:tcW w:w="224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30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Loan Losses</w:t>
            </w:r>
          </w:p>
        </w:tc>
        <w:tc>
          <w:tcPr>
            <w:tcW w:w="18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Gross Carrying Value</w:t>
            </w:r>
          </w:p>
        </w:tc>
      </w:tr>
      <w:tr>
        <w:trPr>
          <w:trHeight w:val="27"/>
        </w:trPr>
        <w:tc>
          <w:tcPr>
            <w:tcW w:w="2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Performing loans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1,202,127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1,178,827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86.0%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Non-performing loans</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191,696</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14.0%</w:t>
            </w:r>
          </w:p>
        </w:tc>
        <w:tc>
          <w:tcPr>
            <w:tcW w:w="12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24.5%</w:t>
            </w:r>
          </w:p>
        </w:tc>
      </w:tr>
      <w:tr>
        <w:trPr>
          <w:trHeight w:val="27"/>
        </w:trPr>
        <w:tc>
          <w:tcPr>
            <w:tcW w:w="2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2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1,456,068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1,370,523</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2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Performing Loans</w:t>
      </w:r>
      <w:r>
        <w:rPr>
          <w:rFonts w:ascii="Times New Roman" w:cs="Times New Roman" w:eastAsia="Times New Roman" w:hAnsi="Times New Roman"/>
          <w:sz w:val="18"/>
          <w:szCs w:val="18"/>
          <w:color w:val="auto"/>
        </w:rPr>
        <w:t>—The table below summarizes our performing loans gross of reserves ($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2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mortgages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515,053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854,805</w:t>
            </w:r>
          </w:p>
        </w:tc>
      </w:tr>
      <w:tr>
        <w:trPr>
          <w:trHeight w:val="243"/>
        </w:trPr>
        <w:tc>
          <w:tcPr>
            <w:tcW w:w="2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Corporate/Partnership loans</w:t>
            </w:r>
          </w:p>
        </w:tc>
        <w:tc>
          <w:tcPr>
            <w:tcW w:w="2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387,214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333,244</w:t>
            </w: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Subordinate mortgages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11,839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14,078</w:t>
            </w:r>
          </w:p>
        </w:tc>
      </w:tr>
      <w:tr>
        <w:trPr>
          <w:trHeight w:val="297"/>
        </w:trPr>
        <w:tc>
          <w:tcPr>
            <w:tcW w:w="2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914,106</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1,202,127</w:t>
            </w:r>
          </w:p>
        </w:tc>
      </w:tr>
      <w:tr>
        <w:trPr>
          <w:trHeight w:val="311"/>
        </w:trPr>
        <w:tc>
          <w:tcPr>
            <w:tcW w:w="2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2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LTV</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2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Yield</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2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Non-Performing Loans</w:t>
      </w:r>
      <w:r>
        <w:rPr>
          <w:rFonts w:ascii="Times New Roman" w:cs="Times New Roman" w:eastAsia="Times New Roman" w:hAnsi="Times New Roman"/>
          <w:sz w:val="18"/>
          <w:szCs w:val="18"/>
          <w:color w:val="auto"/>
        </w:rPr>
        <w:t>—We designate loans as non-performing at such time as: (1) the loan becomes 90 days delinquent; (2) the loan has a maturity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 or (3) management determines it is probable that we will be unable to collect all amounts due according to the contractual terms of the loan. All non-performing loans are placed on non-accrual status and income is only recognized in certain cases upon actual cash receipt. As of June 30, 2017, we had non-performing loans with an aggregate carrying value of $188.7 million compared to non-performing loans with an aggregate carrying value of $191.7 million as of December 31, 2016. We expect that our level of non-performing loans will fluctuate from period to period.</w:t>
      </w:r>
    </w:p>
    <w:p>
      <w:pPr>
        <w:spacing w:after="0" w:line="18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Reserve for Loan Losses</w:t>
      </w:r>
      <w:r>
        <w:rPr>
          <w:rFonts w:ascii="Times New Roman" w:cs="Times New Roman" w:eastAsia="Times New Roman" w:hAnsi="Times New Roman"/>
          <w:sz w:val="18"/>
          <w:szCs w:val="18"/>
          <w:color w:val="auto"/>
        </w:rPr>
        <w:t>—The reserve for loan losses was $78.8 million as of June 30, 2017, or 6.8% of total loans, compared to $85.5 million or 5.9%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December 31, 2016. For the six months ended June 30, 2017, the recovery of loan losses included a reduction in the general reserve of $5.5 million due to an overall improvement in the risk ratings and a decrease in size of our loan portfolio. We expect that our level of reserve for loan losses will fluctuate from period to period. Due to the volatility of the commercial real estate market, the process of estimating collateral values and reserves requires the use of significant judgment. We currently believe there is adequate collateral and reserves to support the carrying values of the loans.</w:t>
      </w:r>
    </w:p>
    <w:p>
      <w:pPr>
        <w:spacing w:after="0" w:line="18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reserve for loan losses includes an asset-specific component and a formula-based component. An asset-specific reserve is established for an impaired loan when the estimated fair value of the loan's collateral less costs to sell is lower than the carrying value of the loan. As of June 30, 2017, asset-specific reserves decreased to $61.0 million compared to $62.2 million as of December 31, 2016.</w:t>
      </w:r>
    </w:p>
    <w:p>
      <w:pPr>
        <w:spacing w:after="0" w:line="17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formula-based general reserve is derived from estimated principal default probabilities and loss severities applied to groups of performing loans based upon risk ratings assigned to loans with similar risk characteristics during our quarterly loan portfolio assessment. During this assessment, we perform a comprehensive analysis of our loan portfolio and assign risk ratings to loans that incorporate management's current judgments and future expectations about their credit quality based on all known and relevant factors that may affect collectability. We consider, among other things, payment status, lien position, borrower financial resources and investment in collateral, collateral type, project economics and geographical location as well as national and regional</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economic factors. This methodology results in loans being segmented by risk classification into risk rating categories that are associated with estimated probabilities of default and principal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general reserve decreased to $17.8 million or 1.9% of performing loans as of June 30, 2017, compared to $23.3 million or 1.9% of performing loans as of December 31, 2016. The decrease was primarily attributable to an overall improvement in the risk ratings and a decrease in size of our loan portfolio.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Lease</w:t>
      </w:r>
    </w:p>
    <w:p>
      <w:pPr>
        <w:spacing w:after="0" w:line="22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net lease business seeks to create stable cash flows through long-term net leases primarily to single tenants on our properties. We target mission-critical facilities leased on a long-term basis to tenants, offering structured solutions that combine our capabilities in underwriting, lease structuring, asset management and build-to-suit construction. We invest in new net lease investments primarily through our Net Lease Venture, in which we hold a 51.9% interest. The Net Lease Venture has a right of first offer on any new net lease investments that we source. In February 2017, the Net Lease Venture's investment period was extended through February 1, 2018. The term of the Net Lease Venture extends through February 13, 2022, subject to two, one-year extension options at the discretion of the Company and its partner.</w:t>
      </w:r>
    </w:p>
    <w:p>
      <w:pPr>
        <w:spacing w:after="0" w:line="18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April 2017, institutional investors acquired a controlling interest in our GL business through the merger of one of our subsidiaries and related transactions. Our GL business was a component of our net lease segment and consisted of 12 properties subject to long-term net leases including seven GLs and one master lease (covering five properties). As a result, we deconsolidated the 12 properties and associated liabilities and we began to record our investment in SAFE as an equity method investment.</w:t>
      </w:r>
    </w:p>
    <w:p>
      <w:pPr>
        <w:spacing w:after="0" w:line="14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June 27, 2017, SAFE completed its initial public offering raising $205.0 million in gross proceeds and concurrently completed a $45.0 million private placement to us. As of June 30, 2017, we owned approximately 28% of SAFE's common stock outstanding which had an estimated market value of $96.2 million. In addition, a wholly-owned subsidiary of ours is the external manager of SAFE and our Chief Executive Officer is the Chairman of SAFE's board of directors.</w:t>
      </w:r>
    </w:p>
    <w:p>
      <w:pPr>
        <w:spacing w:after="0" w:line="18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June 30, 2017, our net lease portfolio, including our equity method investments in SAFE and the Net Lease Venture, totaled $1.36 billion, gross of $314.4 million of accumulated depreciation. The table below provides certain statistics for our net lease portfolio.</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920" w:type="dxa"/>
            <w:vAlign w:val="bottom"/>
          </w:tcPr>
          <w:p>
            <w:pPr>
              <w:spacing w:after="0"/>
              <w:rPr>
                <w:sz w:val="24"/>
                <w:szCs w:val="24"/>
                <w:color w:val="auto"/>
              </w:rPr>
            </w:pPr>
          </w:p>
        </w:tc>
        <w:tc>
          <w:tcPr>
            <w:tcW w:w="27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Net Lease Statistics</w:t>
            </w:r>
            <w:r>
              <w:rPr>
                <w:rFonts w:ascii="Times New Roman" w:cs="Times New Roman" w:eastAsia="Times New Roman" w:hAnsi="Times New Roman"/>
                <w:sz w:val="25"/>
                <w:szCs w:val="25"/>
                <w:b w:val="1"/>
                <w:bCs w:val="1"/>
                <w:color w:val="auto"/>
                <w:vertAlign w:val="superscript"/>
              </w:rPr>
              <w:t>(1)</w:t>
            </w:r>
          </w:p>
        </w:tc>
        <w:tc>
          <w:tcPr>
            <w:tcW w:w="2000" w:type="dxa"/>
            <w:vAlign w:val="bottom"/>
          </w:tcPr>
          <w:p>
            <w:pPr>
              <w:spacing w:after="0"/>
              <w:rPr>
                <w:sz w:val="24"/>
                <w:szCs w:val="24"/>
                <w:color w:val="auto"/>
              </w:rPr>
            </w:pPr>
          </w:p>
        </w:tc>
      </w:tr>
      <w:tr>
        <w:trPr>
          <w:trHeight w:val="238"/>
        </w:trPr>
        <w:tc>
          <w:tcPr>
            <w:tcW w:w="2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16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2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29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4"/>
        </w:trPr>
        <w:tc>
          <w:tcPr>
            <w:tcW w:w="292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Square feet (mm)</w:t>
            </w:r>
            <w:r>
              <w:rPr>
                <w:rFonts w:ascii="Times New Roman" w:cs="Times New Roman" w:eastAsia="Times New Roman" w:hAnsi="Times New Roman"/>
                <w:sz w:val="25"/>
                <w:szCs w:val="25"/>
                <w:color w:val="auto"/>
                <w:vertAlign w:val="superscript"/>
              </w:rPr>
              <w:t>(2)</w:t>
            </w:r>
          </w:p>
        </w:tc>
        <w:tc>
          <w:tcPr>
            <w:tcW w:w="26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15,959</w:t>
            </w:r>
          </w:p>
        </w:tc>
        <w:tc>
          <w:tcPr>
            <w:tcW w:w="120" w:type="dxa"/>
            <w:vAlign w:val="bottom"/>
            <w:shd w:val="clear" w:color="auto" w:fill="CCEEFF"/>
          </w:tcPr>
          <w:p>
            <w:pPr>
              <w:spacing w:after="0"/>
              <w:rPr>
                <w:sz w:val="22"/>
                <w:szCs w:val="22"/>
                <w:color w:val="auto"/>
              </w:rPr>
            </w:pPr>
          </w:p>
        </w:tc>
        <w:tc>
          <w:tcPr>
            <w:tcW w:w="2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17,214</w:t>
            </w:r>
          </w:p>
        </w:tc>
      </w:tr>
      <w:tr>
        <w:trPr>
          <w:trHeight w:val="243"/>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Leased %</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7"/>
        </w:trPr>
        <w:tc>
          <w:tcPr>
            <w:tcW w:w="2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29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Weighted average lease term (years)</w:t>
            </w:r>
            <w:r>
              <w:rPr>
                <w:rFonts w:ascii="Times New Roman" w:cs="Times New Roman" w:eastAsia="Times New Roman" w:hAnsi="Times New Roman"/>
                <w:sz w:val="25"/>
                <w:szCs w:val="25"/>
                <w:color w:val="auto"/>
                <w:vertAlign w:val="superscript"/>
              </w:rPr>
              <w:t>(3)</w:t>
            </w:r>
          </w:p>
        </w:tc>
        <w:tc>
          <w:tcPr>
            <w:tcW w:w="26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14.7</w:t>
            </w:r>
          </w:p>
        </w:tc>
      </w:tr>
      <w:tr>
        <w:trPr>
          <w:trHeight w:val="243"/>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Yield</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w:t>
      </w:r>
    </w:p>
    <w:p>
      <w:pPr>
        <w:spacing w:after="0" w:line="17" w:lineRule="exact"/>
        <w:rPr>
          <w:sz w:val="20"/>
          <w:szCs w:val="20"/>
          <w:color w:val="auto"/>
        </w:rPr>
      </w:pPr>
    </w:p>
    <w:p>
      <w:pPr>
        <w:ind w:left="500" w:hanging="492"/>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Statistics exclude our equity method investment in SAFE.</w:t>
      </w:r>
    </w:p>
    <w:p>
      <w:pPr>
        <w:spacing w:after="0" w:line="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2017 and December 31, 2016, includes 4,005 and 3,081 square feet, respectively, at our equity method investment of which we own 51.9%.</w:t>
      </w:r>
    </w:p>
    <w:p>
      <w:pPr>
        <w:spacing w:after="0" w:line="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lease term as of June 30, 2017 includes a lease extension that was effective July 3, 2017.</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Properties</w:t>
      </w:r>
    </w:p>
    <w:p>
      <w:pPr>
        <w:spacing w:after="0" w:line="22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June 30, 2017, our operating property portfolio, including equity method investments, totaled $608.1 million, gross of $53.6 million of accumulated depreciation, and was comprised of $541.0 million of commercial and $67.1 million of residential real estate properties.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Operating Properties</w:t>
      </w:r>
    </w:p>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commercial operating properties represent a diverse pool of assets across a broad range of geographies and collateral types including office, retail and hotel properties. We generally seek to reposition our transitional properties with the objective of maximizing their values through the infusion of capital and/or intensive asset management efforts resulting in value realization upon sale.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provides certain statistics for our commercial operating property portfolio.</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80" w:type="dxa"/>
            <w:vAlign w:val="bottom"/>
            <w:gridSpan w:val="7"/>
          </w:tcPr>
          <w:p>
            <w:pPr>
              <w:ind w:left="1140"/>
              <w:spacing w:after="0"/>
              <w:rPr>
                <w:sz w:val="20"/>
                <w:szCs w:val="20"/>
                <w:color w:val="auto"/>
              </w:rPr>
            </w:pPr>
            <w:r>
              <w:rPr>
                <w:rFonts w:ascii="Times New Roman" w:cs="Times New Roman" w:eastAsia="Times New Roman" w:hAnsi="Times New Roman"/>
                <w:sz w:val="16"/>
                <w:szCs w:val="16"/>
                <w:b w:val="1"/>
                <w:bCs w:val="1"/>
                <w:color w:val="auto"/>
              </w:rPr>
              <w:t>Commercial Operating Property Statistics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57"/>
        </w:trPr>
        <w:tc>
          <w:tcPr>
            <w:tcW w:w="1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in millions)</w:t>
            </w: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328"/>
        </w:trPr>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gridSpan w:val="4"/>
          </w:tcPr>
          <w:p>
            <w:pPr>
              <w:ind w:left="720"/>
              <w:spacing w:after="0"/>
              <w:rPr>
                <w:sz w:val="20"/>
                <w:szCs w:val="20"/>
                <w:color w:val="auto"/>
              </w:rPr>
            </w:pPr>
            <w:r>
              <w:rPr>
                <w:rFonts w:ascii="Times New Roman" w:cs="Times New Roman" w:eastAsia="Times New Roman" w:hAnsi="Times New Roman"/>
                <w:sz w:val="16"/>
                <w:szCs w:val="16"/>
                <w:b w:val="1"/>
                <w:bCs w:val="1"/>
                <w:color w:val="auto"/>
              </w:rPr>
              <w:t>Stabilized Operating</w:t>
            </w:r>
            <w:r>
              <w:rPr>
                <w:rFonts w:ascii="Times New Roman" w:cs="Times New Roman" w:eastAsia="Times New Roman" w:hAnsi="Times New Roman"/>
                <w:sz w:val="21"/>
                <w:szCs w:val="21"/>
                <w:b w:val="1"/>
                <w:bCs w:val="1"/>
                <w:color w:val="auto"/>
                <w:vertAlign w:val="superscript"/>
              </w:rPr>
              <w:t>(1)</w:t>
            </w:r>
          </w:p>
        </w:tc>
        <w:tc>
          <w:tcPr>
            <w:tcW w:w="180" w:type="dxa"/>
            <w:vAlign w:val="bottom"/>
          </w:tcPr>
          <w:p>
            <w:pPr>
              <w:spacing w:after="0"/>
              <w:rPr>
                <w:sz w:val="24"/>
                <w:szCs w:val="24"/>
                <w:color w:val="auto"/>
              </w:rPr>
            </w:pPr>
          </w:p>
        </w:tc>
        <w:tc>
          <w:tcPr>
            <w:tcW w:w="3160" w:type="dxa"/>
            <w:vAlign w:val="bottom"/>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Transitional Operating</w:t>
            </w:r>
            <w:r>
              <w:rPr>
                <w:rFonts w:ascii="Times New Roman" w:cs="Times New Roman" w:eastAsia="Times New Roman" w:hAnsi="Times New Roman"/>
                <w:sz w:val="21"/>
                <w:szCs w:val="21"/>
                <w:b w:val="1"/>
                <w:bCs w:val="1"/>
                <w:color w:val="auto"/>
                <w:vertAlign w:val="superscript"/>
              </w:rPr>
              <w:t>(1)</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40" w:type="dxa"/>
            <w:vAlign w:val="bottom"/>
            <w:gridSpan w:val="2"/>
          </w:tcPr>
          <w:p>
            <w:pPr>
              <w:jc w:val="right"/>
              <w:ind w:right="13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June 30, 2017</w:t>
            </w:r>
          </w:p>
        </w:tc>
        <w:tc>
          <w:tcPr>
            <w:tcW w:w="20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18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June 30, 2017</w:t>
            </w:r>
          </w:p>
        </w:tc>
        <w:tc>
          <w:tcPr>
            <w:tcW w:w="20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160" w:type="dxa"/>
            <w:vAlign w:val="bottom"/>
          </w:tcPr>
          <w:p>
            <w:pPr>
              <w:spacing w:after="0"/>
              <w:rPr>
                <w:sz w:val="18"/>
                <w:szCs w:val="18"/>
                <w:color w:val="auto"/>
              </w:rPr>
            </w:pP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June 30, 2017</w:t>
            </w:r>
          </w:p>
        </w:tc>
        <w:tc>
          <w:tcPr>
            <w:tcW w:w="180" w:type="dxa"/>
            <w:vAlign w:val="bottom"/>
          </w:tcPr>
          <w:p>
            <w:pPr>
              <w:spacing w:after="0"/>
              <w:rPr>
                <w:sz w:val="18"/>
                <w:szCs w:val="18"/>
                <w:color w:val="auto"/>
              </w:rPr>
            </w:pPr>
          </w:p>
        </w:tc>
        <w:tc>
          <w:tcPr>
            <w:tcW w:w="16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2016</w:t>
            </w:r>
          </w:p>
        </w:tc>
      </w:tr>
      <w:tr>
        <w:trPr>
          <w:trHeight w:val="33"/>
        </w:trPr>
        <w:tc>
          <w:tcPr>
            <w:tcW w:w="1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6"/>
        </w:trPr>
        <w:tc>
          <w:tcPr>
            <w:tcW w:w="1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book value</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43"/>
        </w:trPr>
        <w:tc>
          <w:tcPr>
            <w:tcW w:w="1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($mm)</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343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526</w:t>
            </w:r>
          </w:p>
        </w:tc>
      </w:tr>
      <w:tr>
        <w:trPr>
          <w:trHeight w:val="297"/>
        </w:trPr>
        <w:tc>
          <w:tcPr>
            <w:tcW w:w="1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Occupancy</w:t>
            </w:r>
            <w:r>
              <w:rPr>
                <w:rFonts w:ascii="Times New Roman" w:cs="Times New Roman" w:eastAsia="Times New Roman" w:hAnsi="Times New Roman"/>
                <w:sz w:val="21"/>
                <w:szCs w:val="21"/>
                <w:color w:val="auto"/>
                <w:vertAlign w:val="superscript"/>
              </w:rPr>
              <w:t>(3)</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0"/>
        </w:trPr>
        <w:tc>
          <w:tcPr>
            <w:tcW w:w="1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Yield</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w:t>
      </w:r>
    </w:p>
    <w:p>
      <w:pPr>
        <w:spacing w:after="0" w:line="17" w:lineRule="exact"/>
        <w:rPr>
          <w:sz w:val="20"/>
          <w:szCs w:val="20"/>
          <w:color w:val="auto"/>
        </w:rPr>
      </w:pPr>
    </w:p>
    <w:p>
      <w:pPr>
        <w:ind w:left="500" w:hanging="492"/>
        <w:spacing w:after="0" w:line="241" w:lineRule="auto"/>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Stabilized commercial properties generally have occupancy levels above 80% and/or generate yields resulting in a sufficient return based upon the properties’ risk profiles. Transitional commercial properties are generally those properties that do not meet these criteria.</w:t>
      </w:r>
    </w:p>
    <w:p>
      <w:pPr>
        <w:ind w:left="500" w:hanging="492"/>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carrying value represents carrying value gross of accumulated depreciation.</w:t>
      </w:r>
    </w:p>
    <w:p>
      <w:pPr>
        <w:spacing w:after="0" w:line="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Occupancy is as of June 30, 2017 and December 31, 2016.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Operating Properties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2017, our residential operating portfolio was comprised of 36 condominium units generally located within luxury projects in major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cities. The table below provides certain statistics for our residential operating property portfolio (excluding fractional units).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gridSpan w:val="6"/>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Residential Operating Property Statistics</w:t>
            </w:r>
          </w:p>
        </w:tc>
        <w:tc>
          <w:tcPr>
            <w:tcW w:w="1500" w:type="dxa"/>
            <w:vAlign w:val="bottom"/>
          </w:tcPr>
          <w:p>
            <w:pPr>
              <w:spacing w:after="0"/>
              <w:rPr>
                <w:sz w:val="20"/>
                <w:szCs w:val="20"/>
                <w:color w:val="auto"/>
              </w:rPr>
            </w:pPr>
          </w:p>
        </w:tc>
      </w:tr>
      <w:tr>
        <w:trPr>
          <w:trHeight w:val="270"/>
        </w:trPr>
        <w:tc>
          <w:tcPr>
            <w:tcW w:w="2560" w:type="dxa"/>
            <w:vAlign w:val="bottom"/>
          </w:tcPr>
          <w:p>
            <w:pPr>
              <w:spacing w:after="0"/>
              <w:rPr>
                <w:sz w:val="23"/>
                <w:szCs w:val="23"/>
                <w:color w:val="auto"/>
              </w:rPr>
            </w:pPr>
          </w:p>
        </w:tc>
        <w:tc>
          <w:tcPr>
            <w:tcW w:w="226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i w:val="1"/>
                <w:iCs w:val="1"/>
                <w:color w:val="auto"/>
                <w:w w:val="99"/>
              </w:rPr>
              <w:t>($ in millions)</w:t>
            </w: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2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2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2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240" w:type="dxa"/>
            <w:vAlign w:val="bottom"/>
          </w:tcPr>
          <w:p>
            <w:pPr>
              <w:spacing w:after="0"/>
              <w:rPr>
                <w:sz w:val="23"/>
                <w:szCs w:val="23"/>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June 30, 2016</w:t>
            </w:r>
          </w:p>
        </w:tc>
      </w:tr>
      <w:tr>
        <w:trPr>
          <w:trHeight w:val="27"/>
        </w:trPr>
        <w:tc>
          <w:tcPr>
            <w:tcW w:w="25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2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Condominium units sold</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2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7"/>
        </w:trPr>
        <w:tc>
          <w:tcPr>
            <w:tcW w:w="2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sales of real estate</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459"/>
        </w:trPr>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46</w:t>
            </w:r>
          </w:p>
        </w:tc>
      </w:tr>
    </w:tbl>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Land and Development</w:t>
      </w:r>
    </w:p>
    <w:p>
      <w:pPr>
        <w:spacing w:after="0" w:line="2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June 30, 2017, our land and development portfolio, gross of accumulated depreciation and including equity method investments, totaled $925.2 million, with seven projects in production, nine in development and 13 in the pre-development phase. These projects are collectively entitled for approximately 13,000 lots and units. The following tables presents certain statistics for our land and development portfolio.</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0" w:type="dxa"/>
            <w:vAlign w:val="bottom"/>
          </w:tcPr>
          <w:p>
            <w:pPr>
              <w:spacing w:after="0"/>
              <w:rPr>
                <w:sz w:val="20"/>
                <w:szCs w:val="20"/>
                <w:color w:val="auto"/>
              </w:rPr>
            </w:pPr>
          </w:p>
        </w:tc>
        <w:tc>
          <w:tcPr>
            <w:tcW w:w="36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Land and Development Portfolio Rollforward</w:t>
            </w:r>
          </w:p>
        </w:tc>
        <w:tc>
          <w:tcPr>
            <w:tcW w:w="1600" w:type="dxa"/>
            <w:vAlign w:val="bottom"/>
          </w:tcPr>
          <w:p>
            <w:pPr>
              <w:spacing w:after="0"/>
              <w:rPr>
                <w:sz w:val="20"/>
                <w:szCs w:val="20"/>
                <w:color w:val="auto"/>
              </w:rPr>
            </w:pPr>
          </w:p>
        </w:tc>
      </w:tr>
      <w:tr>
        <w:trPr>
          <w:trHeight w:val="270"/>
        </w:trPr>
        <w:tc>
          <w:tcPr>
            <w:tcW w:w="1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i w:val="1"/>
                <w:iCs w:val="1"/>
                <w:color w:val="auto"/>
                <w:w w:val="99"/>
              </w:rPr>
              <w:t>(in millions)</w:t>
            </w:r>
          </w:p>
        </w:tc>
        <w:tc>
          <w:tcPr>
            <w:tcW w:w="4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1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940" w:type="dxa"/>
            <w:vAlign w:val="bottom"/>
            <w:gridSpan w:val="4"/>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1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420" w:type="dxa"/>
            <w:vAlign w:val="bottom"/>
          </w:tcPr>
          <w:p>
            <w:pPr>
              <w:spacing w:after="0"/>
              <w:rPr>
                <w:sz w:val="23"/>
                <w:szCs w:val="23"/>
                <w:color w:val="auto"/>
              </w:rPr>
            </w:pPr>
          </w:p>
        </w:tc>
        <w:tc>
          <w:tcPr>
            <w:tcW w:w="16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 2016</w:t>
            </w:r>
          </w:p>
        </w:tc>
      </w:tr>
      <w:tr>
        <w:trPr>
          <w:trHeight w:val="27"/>
        </w:trPr>
        <w:tc>
          <w:tcPr>
            <w:tcW w:w="16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160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Beginning balance</w:t>
            </w:r>
            <w:r>
              <w:rPr>
                <w:rFonts w:ascii="Times New Roman" w:cs="Times New Roman" w:eastAsia="Times New Roman" w:hAnsi="Times New Roman"/>
                <w:sz w:val="25"/>
                <w:szCs w:val="25"/>
                <w:color w:val="auto"/>
                <w:vertAlign w:val="superscript"/>
              </w:rPr>
              <w:t>(1)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945.6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1,002.0</w:t>
            </w:r>
          </w:p>
        </w:tc>
      </w:tr>
      <w:tr>
        <w:trPr>
          <w:trHeight w:val="270"/>
        </w:trPr>
        <w:tc>
          <w:tcPr>
            <w:tcW w:w="16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Asset sales</w:t>
            </w:r>
            <w:r>
              <w:rPr>
                <w:rFonts w:ascii="Times New Roman" w:cs="Times New Roman" w:eastAsia="Times New Roman" w:hAnsi="Times New Roman"/>
                <w:sz w:val="25"/>
                <w:szCs w:val="25"/>
                <w:color w:val="auto"/>
                <w:vertAlign w:val="superscript"/>
              </w:rPr>
              <w:t>(2)</w:t>
            </w: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w:t>
            </w:r>
          </w:p>
        </w:tc>
      </w:tr>
      <w:tr>
        <w:trPr>
          <w:trHeight w:val="243"/>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16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1600" w:type="dxa"/>
            <w:vAlign w:val="bottom"/>
            <w:tcBorders>
              <w:bottom w:val="single" w:sz="8" w:color="CCEEFF"/>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Ending balance</w:t>
            </w:r>
            <w:r>
              <w:rPr>
                <w:rFonts w:ascii="Times New Roman" w:cs="Times New Roman" w:eastAsia="Times New Roman" w:hAnsi="Times New Roman"/>
                <w:sz w:val="25"/>
                <w:szCs w:val="25"/>
                <w:color w:val="auto"/>
                <w:vertAlign w:val="superscript"/>
              </w:rPr>
              <w:t>(1)</w:t>
            </w:r>
          </w:p>
        </w:tc>
        <w:tc>
          <w:tcPr>
            <w:tcW w:w="1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855.5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1,046.0</w:t>
            </w: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-95885</wp:posOffset>
            </wp:positionV>
            <wp:extent cx="26244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5" w:lineRule="exact"/>
        <w:rPr>
          <w:sz w:val="20"/>
          <w:szCs w:val="20"/>
          <w:color w:val="auto"/>
        </w:rPr>
      </w:pPr>
    </w:p>
    <w:p>
      <w:pPr>
        <w:ind w:left="820" w:hanging="812"/>
        <w:spacing w:after="0"/>
        <w:tabs>
          <w:tab w:leader="none" w:pos="8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2017 and December 31, 2016, excludes $62.4 million and $84.8 million, respectively, of equity method investments.</w:t>
      </w:r>
    </w:p>
    <w:p>
      <w:pPr>
        <w:spacing w:after="0" w:line="95" w:lineRule="exact"/>
        <w:rPr>
          <w:rFonts w:ascii="Times New Roman" w:cs="Times New Roman" w:eastAsia="Times New Roman" w:hAnsi="Times New Roman"/>
          <w:sz w:val="14"/>
          <w:szCs w:val="14"/>
          <w:color w:val="auto"/>
        </w:rPr>
      </w:pPr>
    </w:p>
    <w:p>
      <w:pPr>
        <w:ind w:left="820" w:hanging="812"/>
        <w:spacing w:after="0"/>
        <w:tabs>
          <w:tab w:leader="none" w:pos="8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gross book value of the assets sold, rather than proceeds received.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30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Land and Development Statistics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70"/>
        </w:trPr>
        <w:tc>
          <w:tcPr>
            <w:tcW w:w="2540" w:type="dxa"/>
            <w:vAlign w:val="bottom"/>
          </w:tcPr>
          <w:p>
            <w:pPr>
              <w:spacing w:after="0"/>
              <w:rPr>
                <w:sz w:val="23"/>
                <w:szCs w:val="23"/>
                <w:color w:val="auto"/>
              </w:rPr>
            </w:pPr>
          </w:p>
        </w:tc>
        <w:tc>
          <w:tcPr>
            <w:tcW w:w="302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25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368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20" w:type="dxa"/>
            <w:vAlign w:val="bottom"/>
          </w:tcPr>
          <w:p>
            <w:pPr>
              <w:spacing w:after="0"/>
              <w:rPr>
                <w:sz w:val="23"/>
                <w:szCs w:val="23"/>
                <w:color w:val="auto"/>
              </w:rPr>
            </w:pPr>
          </w:p>
        </w:tc>
      </w:tr>
      <w:tr>
        <w:trPr>
          <w:trHeight w:val="270"/>
        </w:trPr>
        <w:tc>
          <w:tcPr>
            <w:tcW w:w="25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420" w:type="dxa"/>
            <w:vAlign w:val="bottom"/>
          </w:tcPr>
          <w:p>
            <w:pPr>
              <w:spacing w:after="0"/>
              <w:rPr>
                <w:sz w:val="23"/>
                <w:szCs w:val="23"/>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development revenue</w:t>
            </w:r>
          </w:p>
        </w:tc>
        <w:tc>
          <w:tcPr>
            <w:tcW w:w="3020" w:type="dxa"/>
            <w:vAlign w:val="bottom"/>
            <w:tcBorders>
              <w:bottom w:val="single" w:sz="8" w:color="CCEEFF"/>
            </w:tcBorders>
            <w:gridSpan w:val="2"/>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152.8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43"/>
        </w:trPr>
        <w:tc>
          <w:tcPr>
            <w:tcW w:w="2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 development cost of sales</w:t>
            </w:r>
          </w:p>
        </w:tc>
        <w:tc>
          <w:tcPr>
            <w:tcW w:w="1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138.4</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7"/>
        </w:trPr>
        <w:tc>
          <w:tcPr>
            <w:tcW w:w="25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3020" w:type="dxa"/>
            <w:vAlign w:val="bottom"/>
            <w:tcBorders>
              <w:bottom w:val="single" w:sz="8" w:color="CCEEFF"/>
            </w:tcBorders>
            <w:gridSpan w:val="2"/>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5"/>
        </w:trPr>
        <w:tc>
          <w:tcPr>
            <w:tcW w:w="5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Earnings from land development equity method</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4"/>
        </w:trPr>
        <w:tc>
          <w:tcPr>
            <w:tcW w:w="2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1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7"/>
        </w:trPr>
        <w:tc>
          <w:tcPr>
            <w:tcW w:w="25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7"/>
        </w:trPr>
        <w:tc>
          <w:tcPr>
            <w:tcW w:w="2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020" w:type="dxa"/>
            <w:vAlign w:val="bottom"/>
            <w:gridSpan w:val="2"/>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4860" w:type="dxa"/>
            <w:vAlign w:val="bottom"/>
            <w:gridSpan w:val="3"/>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862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6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June 30, 2017 compared to the Three Months Ended June 30, 2016</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
                <w:szCs w:val="2"/>
                <w:color w:val="auto"/>
              </w:rPr>
            </w:pPr>
          </w:p>
        </w:tc>
        <w:tc>
          <w:tcPr>
            <w:tcW w:w="15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49,975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139,510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129,414</w:t>
            </w:r>
          </w:p>
        </w:tc>
        <w:tc>
          <w:tcPr>
            <w:tcW w:w="16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 development revenue</w:t>
            </w:r>
          </w:p>
        </w:tc>
        <w:tc>
          <w:tcPr>
            <w:tcW w:w="1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132,710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104,822</w:t>
            </w:r>
          </w:p>
        </w:tc>
        <w:tc>
          <w:tcPr>
            <w:tcW w:w="16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4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347,867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122,359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225,508</w:t>
            </w:r>
          </w:p>
        </w:tc>
        <w:tc>
          <w:tcPr>
            <w:tcW w:w="16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48,807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56,047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expense</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 development cost of sales</w:t>
            </w:r>
          </w:p>
        </w:tc>
        <w:tc>
          <w:tcPr>
            <w:tcW w:w="1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122,466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105,204</w:t>
            </w:r>
          </w:p>
        </w:tc>
        <w:tc>
          <w:tcPr>
            <w:tcW w:w="16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7,553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(Recovery of) provision for loan losses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6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7,272</w:t>
            </w:r>
          </w:p>
        </w:tc>
        <w:tc>
          <w:tcPr>
            <w:tcW w:w="16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 w:type="dxa"/>
            <w:vAlign w:val="bottom"/>
          </w:tcPr>
          <w:p>
            <w:pPr>
              <w:spacing w:after="0"/>
              <w:rPr>
                <w:sz w:val="23"/>
                <w:szCs w:val="23"/>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16,276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13,094</w:t>
            </w:r>
          </w:p>
        </w:tc>
        <w:tc>
          <w:tcPr>
            <w:tcW w:w="16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4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272,306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148,869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123,437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 net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6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from equity method investments</w:t>
            </w:r>
          </w:p>
        </w:tc>
        <w:tc>
          <w:tcPr>
            <w:tcW w:w="1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6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123,418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123,418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from discontinued operations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 w:type="dxa"/>
            <w:vAlign w:val="bottom"/>
          </w:tcPr>
          <w:p>
            <w:pPr>
              <w:spacing w:after="0"/>
              <w:rPr>
                <w:sz w:val="23"/>
                <w:szCs w:val="23"/>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sales of real estate</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43,484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196,007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59,787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136,220</w:t>
            </w:r>
          </w:p>
        </w:tc>
        <w:tc>
          <w:tcPr>
            <w:tcW w:w="16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—Operating lease income, which primarily includes income from net lease assets and commercial operating properties, decreased to $47.0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during the three months ended June 30, 2017 from $50.0 million for the same period in 2016.</w:t>
      </w:r>
    </w:p>
    <w:p>
      <w:pPr>
        <w:spacing w:after="0" w:line="15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Operating lease income from net lease assets decreased to $30.9 million during the three months ended June 30, 2017 from $32.0 million for the same period in 2016. The decrease was due to the sale of net lease assets since July 1, 2016. Operating lease income from same store net lease assets, defined as net lease assets we owned on or prior to April 1, 2016 and were in service through June 30, 2017, was $30.2 million during the three months ended June 30, 2017 and 2016. An increase in rent per occupied square foot, which was $10.30 for the three months ended June 30, 2017 and $10.24 for the same period in 2016, was offset by a decrease in the occupancy rate, which was 98.0% as of June 30, 2017 and 98.8% as of June 30, 2016.</w:t>
      </w:r>
    </w:p>
    <w:p>
      <w:pPr>
        <w:spacing w:after="0" w:line="18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Operating lease income from operating properties decreased to $15.9 million during the three months ended June 30, 2017 from $17.8 million for the same period in 2016. The decrease was primarily due to commercial operating property sales since July 1, 2016, partially offset by the execution of new leases. Operating lease income from same store commercial operating properties, defined as commercial operating properties, excluding hotels and marinas, which we owned on or prior to April 1, 2016 and were in service through June 30, 2017, increased to $11.7 million during the three months ended June 30, 2017 as compared to $10.8 million for the same period in 2016. Rent per occupied square foot for same store commercial operating properties was $25.24 for the three months ended June 30, 2017 and $24.30 for the same period in 2016. Occupancy rates for same store commercial operating properties were 73.5% as of June 30, 2017 and 70.7% as of June 30, 2016. Ancillary operating lease income from land and development assets was $0.2 million and $0.1 million during the three months ended June 30, 2017 and 2016, respectively.</w:t>
      </w:r>
    </w:p>
    <w:p>
      <w:pPr>
        <w:spacing w:after="0" w:line="18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income decreased to $28.6 million during the three months ended June 30, 2017 from $34.4 million for the same period in 2016. The decrease was due primarily to a decrease in the average balance of our performing loans, which decreased to</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4" w:right="2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$1.18 billion in 2017 from $1.62 billion in 2016. The weighted average yield on our performing loans increased to 9.7% for the three months ended June 30, 2017 from 8.4% for the same period in 2016.</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Other income increased to $139.5 million during the three months ended June 30, 2017 from $10.1 million for the same period in 2016. Other income during the three months ended June 30, 2017 consisted primarily of interest income and real estate tax reimbursements resulting from the settlement of litigation involving a dispute over the purchase and sale of land (refer to Note 11) and also included income from our hotel properties and other ancillary income from our operating properties. Other income during the three months ended June 30, 2016 consisted of income from our hotel properties and other ancillary income from our operating properties.</w:t>
      </w:r>
    </w:p>
    <w:p>
      <w:pPr>
        <w:spacing w:after="0" w:line="13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Land development revenue and cost of sales</w:t>
      </w:r>
      <w:r>
        <w:rPr>
          <w:rFonts w:ascii="Times New Roman" w:cs="Times New Roman" w:eastAsia="Times New Roman" w:hAnsi="Times New Roman"/>
          <w:sz w:val="18"/>
          <w:szCs w:val="18"/>
          <w:color w:val="auto"/>
        </w:rPr>
        <w:t>—During the three months ended June 30, 2017, we sold residential lots and units and one land parcel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totaling 1,250 acres and recognized land development revenue of $132.7 million which had associated cost of sales of $122.5 million. During the three months ended June 30, 2016, we sold residential lots and units and recognized land development revenue of $27.9 million which had associated cost of sales of $17.3 million. The increase in 2017 from 2016 was primarily due to the resolution of litigation involving a dispute over the purchase and sale of the approximately 1,250 acres of land in Prince George’s County, Maryland, which resulted in us recognizing $114.0 million of land development revenue and $106.3 million of land development cost of sales (refer to Note 11).</w:t>
      </w:r>
    </w:p>
    <w:p>
      <w:pPr>
        <w:spacing w:after="0" w:line="142"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Costs and expenses</w:t>
      </w:r>
      <w:r>
        <w:rPr>
          <w:rFonts w:ascii="Times New Roman" w:cs="Times New Roman" w:eastAsia="Times New Roman" w:hAnsi="Times New Roman"/>
          <w:sz w:val="18"/>
          <w:szCs w:val="18"/>
          <w:color w:val="auto"/>
        </w:rPr>
        <w:t>—Interest expense decreased to $48.8 million during the three months ended June 30, 2017 from $56.0 million for the same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2016 due to a decrease in the balance of our average outstanding debt, which decreased to $3.70 billion for the three months ended June 30, 2017 from $4.08 billion for the same period in 2016. Our weighted average cost of debt for the three months ended June 30, 2017 and 2016 was 5.5% and 5.6%, respectively.</w:t>
      </w:r>
    </w:p>
    <w:p>
      <w:pPr>
        <w:spacing w:after="0" w:line="14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Real estate expenses decreased to $34.7 million during the three months ended June 30, 2017 from $35.3 million for the same period in 2016. The decrease was due primarily to a decrease in carry costs and other expenses on our land assets, which decreased to $8.0 million during the three months ended June 30, 2017 from $9.9 million for the same period in 2016. Expenses for net lease assets decreased to $4.1 million during the three months ended June 30, 2017 from $4.6 million for the same period in 2016. Expenses from same store net lease assets was $4.0 million and $3.7 million, respectively, for the three months ended June 30, 2017 and 2016. These decreases were offset by expenses for commercial operating properties, which increased to $20.9 million during the three months ended June 30, 2017 from $18.6 million for the same period in 2016. This increase was primarily due to an increase in expenses at certain of our hotel properties. Expenses from same store commercial operating properties, excluding hotels and marinas, was $7.6 million for the three months ended June 30, 2017 and 2016. Expenses associated with residential operating properties decreased to $1.7 million during the three months ended June 30, 2017 from $2.2 million for the same period in 2016 due to the sale of residential units since June 30, 2016.</w:t>
      </w:r>
    </w:p>
    <w:p>
      <w:pPr>
        <w:spacing w:after="0" w:line="14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decreased to $13.2 million during the three months ended June 30, 2017 from $13.7 million for the same period in 2016, primarily due to the sale of net lease and commercial operating properties in since July 1, 2016.</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to $27.2 million during the three months ended June 30, 2017 from $19.7 million for the same period in 2016, primarily due to a an increase in compensation expense related to performance incentive plans.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net recovery of loan losses was $0.6 million during the three months ended June 30, 2017 as compared to a net provision for loan losses of $0.7 million for the same period in 2016. The recovery of loan losses for the three months ended June 30, 2017 included a $0.6 million reduction in the general reserve due to an overall improvement in the risk ratings of our loan portfolio. Included in the net provision for the three months ended June 30, 2016 were provisions of $0.3 million in the specific reserve due to one non-performing loan and $0.4 million in the general reserve primarily due to new investment originations and additional fundings and a weakening of risk ratings on certain performing loans, which were offset by payoffs and loans being classified to non-performing status to evaluate for asset-specific reserves.</w:t>
      </w:r>
    </w:p>
    <w:p>
      <w:pPr>
        <w:spacing w:after="0" w:line="14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Impairment of assets was $10.3 million during the three months ended June 30, 2017 and resulted primarily from an impairment on a land and development asset due to a change in our exit strategy. During the three months ended June 30, 2016, we recorded an impairment of $3.0 million on a residential operating property resulting from a slowdown in the local condominium real estate market.</w:t>
      </w:r>
    </w:p>
    <w:p>
      <w:pPr>
        <w:spacing w:after="0" w:line="13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expense increased to $16.3 million during the three months ended June 30, 2017 from $3.2 million for the same period in 2016. The increase was primarily the result of paying organization and offering costs associated with the initial public offering of SAFE (refer to Note 7) during the three months ended June 30, 2017.</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 net—</w:t>
      </w:r>
      <w:r>
        <w:rPr>
          <w:rFonts w:ascii="Times New Roman" w:cs="Times New Roman" w:eastAsia="Times New Roman" w:hAnsi="Times New Roman"/>
          <w:sz w:val="18"/>
          <w:szCs w:val="18"/>
          <w:color w:val="auto"/>
        </w:rPr>
        <w:t>During the three months ended June 30, 2017, we incurred losses on early extinguishment of debt resulting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repayments of unsecured notes prior to maturity. During the three months ended June 30, 2016, we incurred losses on the early extinguishment of debt related to repayments of secured facilities and unsecured notes prior to maturity.</w:t>
      </w:r>
    </w:p>
    <w:p>
      <w:pPr>
        <w:spacing w:after="0" w:line="13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Earnings from equity method investments</w:t>
      </w:r>
      <w:r>
        <w:rPr>
          <w:rFonts w:ascii="Times New Roman" w:cs="Times New Roman" w:eastAsia="Times New Roman" w:hAnsi="Times New Roman"/>
          <w:sz w:val="18"/>
          <w:szCs w:val="18"/>
          <w:color w:val="auto"/>
        </w:rPr>
        <w:t>—Earnings from equity method investments decreased to $5.5 million during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2017 from $39.4 million for the same period in 2016. During the three months ended June 30, 2017, we recognized $2.4 million from profit participations on a land development venture, $1.2 million related to sales activity on a land development venture, $1.0 million related to operations at our Net Lease Venture and $0.9 million was aggregate income from our remaining equity method investments. During the three months ended June 30, 2016, we recognized $31.9 million primarily from the sale of an equity method investment in a commercial operating property, $5.2 million related to sales activity on a land development venture, $0.9 million related to leasing operations at our Net Lease Venture and $1.4 million was aggregate income from our remaining equity method investments.</w:t>
      </w:r>
    </w:p>
    <w:p>
      <w:pPr>
        <w:spacing w:after="0" w:line="143"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r>
        <w:rPr>
          <w:rFonts w:ascii="Times New Roman" w:cs="Times New Roman" w:eastAsia="Times New Roman" w:hAnsi="Times New Roman"/>
          <w:sz w:val="18"/>
          <w:szCs w:val="18"/>
          <w:color w:val="auto"/>
        </w:rPr>
        <w:t>—An income tax expense of $1.6 million was recorded during the three months ended June 30, 2017 as compared to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 benefit of $1.2 million for the same period in 2016. The income tax expense for the three months ended June 30, 2017 primarily related to federal alternative minimum taxes on REIT taxable income generated by the settlement of litigation on the sale of a land parcel. The income tax benefit for the three months ended June 30, 2016 primarily related to taxable losses generated by sales of certain taxable REIT subsidiary ("TRS") properties.</w:t>
      </w:r>
    </w:p>
    <w:p>
      <w:pPr>
        <w:spacing w:after="0" w:line="17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Discontinued Operations</w:t>
      </w:r>
      <w:r>
        <w:rPr>
          <w:rFonts w:ascii="Times New Roman" w:cs="Times New Roman" w:eastAsia="Times New Roman" w:hAnsi="Times New Roman"/>
          <w:sz w:val="18"/>
          <w:szCs w:val="18"/>
          <w:color w:val="auto"/>
        </w:rPr>
        <w:t>—During the three months ended June 30, 2017, institutional investors acquired a controlling interest in our GL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the merger of one of our subsidiaries and related transactions. We received total consideration of $340.0 million, including $113.0 million in cash, including $55.5 million that we contributed to SAFE in its initial capitalization, and the proceeds from the $227.0 million 2017 Secured Financing (refer to Note 10). We had a total carrying value of approximately $161.1 million in our GL assets and recognized a gain from discontinued operations of $123.4 million, reflecting the aggregate gain less the fair value of our retained interest in SAFE. Income from discontinued operations represents the operating results from the 12 properties comprising our GL business.</w:t>
      </w:r>
    </w:p>
    <w:p>
      <w:pPr>
        <w:spacing w:after="0" w:line="183"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Income from sales of real estate</w:t>
      </w:r>
      <w:r>
        <w:rPr>
          <w:rFonts w:ascii="Times New Roman" w:cs="Times New Roman" w:eastAsia="Times New Roman" w:hAnsi="Times New Roman"/>
          <w:sz w:val="18"/>
          <w:szCs w:val="18"/>
          <w:color w:val="auto"/>
        </w:rPr>
        <w:t>—During the three months ended June 30, 2017, we sold residential condominiums and recognized $0.8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from sales of real estate. During the three months ended June 30, 2016, we sold properties and recognized $43.5 million in income from sales of real estate. During the three months ended June 30, 2016, we sold commercial operating properties resulting in income of $25.1 million, residential condominiums resulting in income of $14.0 million and net lease assets resulting in income of $4.4 million.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8"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4840" w:type="dxa"/>
            <w:vAlign w:val="bottom"/>
            <w:gridSpan w:val="3"/>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w w:val="99"/>
              </w:rPr>
              <w:t>Results of Operations for the Six Months Ended June 30, 2017 compared to the Six Months Ended June 30, 2016</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
                <w:szCs w:val="2"/>
                <w:color w:val="auto"/>
              </w:rPr>
            </w:pPr>
          </w:p>
        </w:tc>
        <w:tc>
          <w:tcPr>
            <w:tcW w:w="15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40" w:type="dxa"/>
            <w:vAlign w:val="bottom"/>
          </w:tcPr>
          <w:p>
            <w:pPr>
              <w:spacing w:after="0"/>
              <w:rPr>
                <w:sz w:val="22"/>
                <w:szCs w:val="22"/>
                <w:color w:val="auto"/>
              </w:rPr>
            </w:pPr>
          </w:p>
        </w:tc>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94,349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100,470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57,703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67,620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21,636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129,738</w:t>
            </w:r>
          </w:p>
        </w:tc>
        <w:tc>
          <w:tcPr>
            <w:tcW w:w="16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Land development revenue</w:t>
            </w:r>
          </w:p>
        </w:tc>
        <w:tc>
          <w:tcPr>
            <w:tcW w:w="2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152,760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42,835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109,925</w:t>
            </w:r>
          </w:p>
        </w:tc>
        <w:tc>
          <w:tcPr>
            <w:tcW w:w="16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456,186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232,561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223,625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99,952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113,068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expense</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70,274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69,572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Land development cost of sales</w:t>
            </w:r>
          </w:p>
        </w:tc>
        <w:tc>
          <w:tcPr>
            <w:tcW w:w="2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138,376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28,838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109,538</w:t>
            </w:r>
          </w:p>
        </w:tc>
        <w:tc>
          <w:tcPr>
            <w:tcW w:w="16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27,581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52,392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42,768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9,624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(Recovery of) provision for loan losses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16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Impairment of assets</w:t>
            </w:r>
          </w:p>
        </w:tc>
        <w:tc>
          <w:tcPr>
            <w:tcW w:w="2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11,684</w:t>
            </w:r>
          </w:p>
        </w:tc>
        <w:tc>
          <w:tcPr>
            <w:tcW w:w="16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Pr>
          <w:p>
            <w:pPr>
              <w:spacing w:after="0"/>
              <w:rPr>
                <w:sz w:val="23"/>
                <w:szCs w:val="23"/>
                <w:color w:val="auto"/>
              </w:rPr>
            </w:pPr>
          </w:p>
        </w:tc>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14,223</w:t>
            </w:r>
          </w:p>
        </w:tc>
        <w:tc>
          <w:tcPr>
            <w:tcW w:w="16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4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413,758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290,967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122,791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early extinguishment of debt, net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6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Earnings from equity method investments</w:t>
            </w:r>
          </w:p>
        </w:tc>
        <w:tc>
          <w:tcPr>
            <w:tcW w:w="2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47,714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6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123,418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123,418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 expense from discontinued operations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Pr>
          <w:p>
            <w:pPr>
              <w:spacing w:after="0"/>
              <w:rPr>
                <w:sz w:val="23"/>
                <w:szCs w:val="23"/>
                <w:color w:val="auto"/>
              </w:rPr>
            </w:pPr>
          </w:p>
        </w:tc>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sales of real estate</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53,943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180,635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50,487</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130,148</w:t>
            </w:r>
          </w:p>
        </w:tc>
        <w:tc>
          <w:tcPr>
            <w:tcW w:w="16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—Operating lease income, which primarily includes income from net lease assets and commercial operating properties, decreased to $94.3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during the six months ended June 30, 2017 from $100.5 million for the same period in 2016.</w:t>
      </w:r>
    </w:p>
    <w:p>
      <w:pPr>
        <w:spacing w:after="0" w:line="15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Operating lease income from net lease assets decreased to $62.1 million during the six months ended June 30, 2017 from $63.4 million for the same period in 2016. The decrease was primarily due to the sale of net lease assets since July 1, 2016. Operating lease income from same store net lease assets, defined as net lease assets we owned on or prior to January 1, 2016 and were in service through June 30, 2017, increased slightly to $60.2 million during the six months ended June 30, 2017 from $59.9 million for the same period in 2016. This increase was primarily due to an increase in rent per occupied square foot to $10.29 for the six months ended June 30, 2017 from $10.13 for the same period in 2016, partially offset by a decrease in the occupancy rate, which was 98.0% as of June 30, 2017 and 98.8% as of June 30, 2016.</w:t>
      </w:r>
    </w:p>
    <w:p>
      <w:pPr>
        <w:spacing w:after="0" w:line="18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Operating lease income from operating properties decreased to $31.9 million during the six months ended June 30, 2017 from $36.9 million for the same period in 2016. The decrease was primarily due to commercial operating property sales since July 1, 2016, partially offset by the execution of new leases. Operating lease income from same store commercial operating properties, defined as commercial operating properties, excluding hotels and marinas, which we owned on or prior to January 1, 2016 and were in service through June 30, 2017, increased to $23.4 million during the six months ended June 30, 2017 as compared to $22.6 million for the same period in 2016. Rent per occupied square foot for same store commercial operating properties was $25.25 for the six months ended June 30, 2017 and $25.35 for the same period in 2016. Occupancy rates for same store commercial operating properties were 73.5% as of June 30, 2017 and 70.7% as of June 30, 2016. Ancillary operating lease income from land and development assets was $0.3 million and $0.2 million during the six months ended June 30, 2017 and 2016, respectively.</w:t>
      </w:r>
    </w:p>
    <w:p>
      <w:pPr>
        <w:spacing w:after="0" w:line="18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income decreased to $57.7 million during the six months ended June 30, 2017 from $67.6 million for the same period in 2016. The decrease was due primarily to a decrease in the average balance of our performing loans, which decreased to $1.23</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4" w:right="23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billion in 2017 from $1.59 billion in 2016. The weighted average yield on our performing loans increased to 9.5% for the six months ended June 30, 2017 from 8.4% for the same period in 2016.</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Other income increased to $151.4 million during the six months ended June 30, 2017 from $21.6 million for the same period in 2016. Other income during the six months ended June 30, 2017 primarily consisted of interest income and real estate tax reimbursements resulting from the settlement of litigation involving a dispute over the purchase and sale of land (refer to Note11), income from our hotel properties and other ancillary income from our operating properties. Other income during the six months ended June 30, 2016 consisted of income from our hotel properties, loan prepayment fees and property tax refunds.</w:t>
      </w:r>
    </w:p>
    <w:p>
      <w:pPr>
        <w:spacing w:after="0" w:line="13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Land development revenue and cost of sales</w:t>
      </w:r>
      <w:r>
        <w:rPr>
          <w:rFonts w:ascii="Times New Roman" w:cs="Times New Roman" w:eastAsia="Times New Roman" w:hAnsi="Times New Roman"/>
          <w:sz w:val="18"/>
          <w:szCs w:val="18"/>
          <w:color w:val="auto"/>
        </w:rPr>
        <w:t>—During the six months ended June 30, 2017, we sold residential lots and units and one land parcel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totaling 1,250 acres and recognized land development revenue of $152.8 million which had associated cost of sales of $138.4 million. During the six months ended June 30, 2016, we sold residential lots and units and recognized land development revenue of $42.8 million which had associated cost of sales of $28.8 million. The increase in 2017 from 2016 was primarily due to the resolution of litigation involving a dispute over the purchase and sale of the approximately 1,250 acres of land in Prince George’s County, Maryland, which resulted in us recognizing $114.0 million of land development revenue and $106.3 million of land development cost of sales (refer to Note 11).</w:t>
      </w:r>
    </w:p>
    <w:p>
      <w:pPr>
        <w:spacing w:after="0" w:line="142" w:lineRule="exact"/>
        <w:rPr>
          <w:sz w:val="20"/>
          <w:szCs w:val="20"/>
          <w:color w:val="auto"/>
        </w:rPr>
      </w:pPr>
    </w:p>
    <w:p>
      <w:pPr>
        <w:jc w:val="both"/>
        <w:ind w:right="2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Costs and expenses</w:t>
      </w:r>
      <w:r>
        <w:rPr>
          <w:rFonts w:ascii="Times New Roman" w:cs="Times New Roman" w:eastAsia="Times New Roman" w:hAnsi="Times New Roman"/>
          <w:sz w:val="18"/>
          <w:szCs w:val="18"/>
          <w:color w:val="auto"/>
        </w:rPr>
        <w:t>—Interest expense decreased to $100.0 million during the six months ended June 30, 2017 from $113.1 million for the same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2016 due to a decrease in the balance of our average outstanding debt, which decreased to $3.64 billion for the six months ended June 30, 2017 from $4.16 billion for the same period in 2016. Our weighted average cost of debt for the six months ended June 30, 2017 and 2016 was 5.7% and 5.5%, respectively.</w:t>
      </w:r>
    </w:p>
    <w:p>
      <w:pPr>
        <w:spacing w:after="0" w:line="13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Real estate expenses increased to $70.3 million during the six months ended June 30, 2017 from $69.6 million for the same period in 2016. The increase was due to expenses for commercial operating properties, which increased to $40.7 million during the six months ended June 30, 2017 from $37.1 million for the same period in 2016. This increase was primarily due to an increase in expenses at certain of our hotel properties, partially offset by property sales since July 1, 2016. This increase was partially offset by a decrease in carry costs and other expenses on our land assets, which decreased to $17.5 million during the six months ended June 30, 2017 from $18.6 million for the same period in 2016. Expenses from same store commercial operating properties, excluding hotels and marinas, decreased to $14.9 million from $15.0 million for the same period in 2016. Expenses associated with residential operating properties decreased to $3.5 million during the six months ended June 30, 2017 from $4.8 million for the same period in 2016 due to the sale of residential units since June 30, 2016. Expenses for net lease assets decreased to $8.6 million during the six months ended June 30, 2017 from $9.1 million for the same period in 2016. Expenses from same store net lease assets was $8.3 million and $7.4 million, respectively, for the six months ended June 30, 2017 and 2016.</w:t>
      </w:r>
    </w:p>
    <w:p>
      <w:pPr>
        <w:spacing w:after="0" w:line="14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decreased to $25.5 million during the six months ended June 30, 2017 from $27.6 million for the same period in 2016, primarily due to the sale of net lease and commercial operating properties in since July 1, 2016.</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to $52.4 million during the six months ended June 30, 2017 from $42.8 million for the same period in 2016, primarily due to a an increase in compensation expense related to performance incentive plans.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net recovery of loan losses was $5.5 million during the six months ended June 30, 2017 as compared to a net provision for loan losses of $2.2 million for the same period in 2016. The recovery of loan losses included a $5.5 million reduction in the general reserve due to an overall improvement in the risk ratings of our loan portfolio. Included in the net provision for the six months ended June 30, 2016 were provisions of $1.2 million in the specific reserve due to one non-performing loan and $1.0 million in the general reserve primarily due to new investment originations and additional fundings and a weakening of risk ratings on certain performing loans, which were offset by payoffs and loans being classified to non-performing status to evaluate for asset-specific reserves.</w:t>
      </w:r>
    </w:p>
    <w:p>
      <w:pPr>
        <w:spacing w:after="0" w:line="14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Impairment of assets was $14.7 million during the six months ended June 30, 2017 and resulted primarily from an impairment on a land and development asset due to a change in our exit strategy and an impairment on a real estate asset held for sale due to shifting demand in the local condominium market along with a change in our exit strategy. During the six months ended June 30, 2016, we recorded an impairment of $3.0 million on a residential property resulting from a slowdown in the local condominium real estate market.</w:t>
      </w:r>
    </w:p>
    <w:p>
      <w:pPr>
        <w:spacing w:after="0" w:line="14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expense increased to $18.1 million during the six months ended June 30, 2017 from $3.9 million for the same period in 2016. The increase was primarily the result of paying organization and offering costs associated with the initial public offering of SAFE (refer to Note 7) recorded during the six months ended June 30, 2017.</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both"/>
        <w:ind w:right="2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 net—</w:t>
      </w:r>
      <w:r>
        <w:rPr>
          <w:rFonts w:ascii="Times New Roman" w:cs="Times New Roman" w:eastAsia="Times New Roman" w:hAnsi="Times New Roman"/>
          <w:sz w:val="18"/>
          <w:szCs w:val="18"/>
          <w:color w:val="auto"/>
        </w:rPr>
        <w:t>During the six months ended June 30, 2017, we incurred losses on early extinguishment of debt resulting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repayments of unsecured notes prior to maturity and the repricing of our 2016 Senior Secured Credit Facility. During the six months ended June 30, 2016, we incurred losses on the early extinguishment of debt related to repayments of secured facilities and unsecured notes prior to maturity.</w:t>
      </w:r>
    </w:p>
    <w:p>
      <w:pPr>
        <w:spacing w:after="0" w:line="13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Earnings from equity method investments</w:t>
      </w:r>
      <w:r>
        <w:rPr>
          <w:rFonts w:ascii="Times New Roman" w:cs="Times New Roman" w:eastAsia="Times New Roman" w:hAnsi="Times New Roman"/>
          <w:sz w:val="18"/>
          <w:szCs w:val="18"/>
          <w:color w:val="auto"/>
        </w:rPr>
        <w:t>—Earnings from equity method investments decreased to $11.2 million during the six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from $47.7 million for the same period in 2016. During the six months ended June 30, 2017, we recognized $2.9 million primarily from profit participations on a land development venture, $4.3 million related to sales activity on a land development venture, $2.0 million related to operations at our Net Lease Venture and $2.0 million was aggregate income from our remaining equity method investments. During the six months ended June 30, 2016, we recognized $32.3 million primarily from the sale of an equity method investment in a commercial operating property, $13.4 million related to sales activity on a land development venture, $1.9 million related to leasing operations at our Net Lease Venture and $0.1 million was aggregate income from our remaining equity method investments.</w:t>
      </w:r>
    </w:p>
    <w:p>
      <w:pPr>
        <w:spacing w:after="0" w:line="143"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r>
        <w:rPr>
          <w:rFonts w:ascii="Times New Roman" w:cs="Times New Roman" w:eastAsia="Times New Roman" w:hAnsi="Times New Roman"/>
          <w:sz w:val="18"/>
          <w:szCs w:val="18"/>
          <w:color w:val="auto"/>
        </w:rPr>
        <w:t>—An income tax expense of $2.3 million was recorded during the six months ended June 30, 2017 as compared to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 benefit of $1.6 million for the same period in 2016. The income tax expense for the six months ended June 30, 2017 primarily related to federal alternative minimum taxes on REIT taxable income generated by the settlement of litigation on the sale of a land parcel. The income tax benefit for the six months ended June 30, 2016 primarily related to taxable losses generated by sales of certain TRS properties.</w:t>
      </w:r>
    </w:p>
    <w:p>
      <w:pPr>
        <w:spacing w:after="0" w:line="17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Discontinued Operations</w:t>
      </w:r>
      <w:r>
        <w:rPr>
          <w:rFonts w:ascii="Times New Roman" w:cs="Times New Roman" w:eastAsia="Times New Roman" w:hAnsi="Times New Roman"/>
          <w:sz w:val="18"/>
          <w:szCs w:val="18"/>
          <w:color w:val="auto"/>
        </w:rPr>
        <w:t>—During the six months ended June 30, 2017, institutional investors acquired a controlling interest in our GL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the merger of one of our subsidiaries and related transactions. We received total consideration of $340.0 million, including $113.0 million in cash, including $55.5 million that we contributed to SAFE in its initial capitalization, and the proceeds from the $227.0 million 2017 Secured Financing (refer to Note 10). We had a carrying value of approximately $161.1 million in our GL assets and recognized a gain from discontinued operations of $123.4 million, reflecting the aggregate gain less the fair value of our retained interest in SAFE. Income from discontinued operations represents the operating results from the 12 properties comprising our GL business.</w:t>
      </w:r>
    </w:p>
    <w:p>
      <w:pPr>
        <w:spacing w:after="0" w:line="18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from sales of real estate</w:t>
      </w:r>
      <w:r>
        <w:rPr>
          <w:rFonts w:ascii="Times New Roman" w:cs="Times New Roman" w:eastAsia="Times New Roman" w:hAnsi="Times New Roman"/>
          <w:sz w:val="18"/>
          <w:szCs w:val="18"/>
          <w:color w:val="auto"/>
        </w:rPr>
        <w:t>—During the six months ended June 30, 2017, we sold net lease and operating properties and recognized $9.0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income from sales of real estate. During the six months ended June 30, 2016, we sold commercial operating properties resulting in income of $25.9 million, residential condominiums resulting in income of $18.8 million and net lease assets resulting in income of $9.2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Income</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addition to net income (loss) prepared in conformity with generally accepted accounting principles in the United States of America ("GAAP"), we use adjusted income, a non-GAAP financial measure, to measure our operating performance. Adjusted income is used internally as a supplemental performance measure adjusting for certain non-cash GAAP measures to give management a view of income more directly derived from current period activity. Until the second quarter 2016, adjusted income was calculated as net income (loss) allocable to common shareholders, prior to the effect of depreciation and amortization, provision for (recovery of) loan losses, impairment of assets, stock-based compensation expense, and the non-cash portion of gain (loss) on early extinguishment of debt. Effective in the second quarter 2016, we modified our presentation of adjusted income to reflect the effect of gains or losses on charge-offs and dispositions on carrying value gross of loan loss reserves and impairments ("Adjusted Income").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Adjusted Income should be examined in conjunction with net income (loss) as shown in our consolidated statements of operations. Adjusted Income should not be considered as an alternative to net income (loss) (determined in accordance with GAAP), or to cash flows from operating activities (determined in accordance with GAAP), as a measure of our liquidity, nor is Adjusted Income indicative of funds available to fund our cash needs or available for distribution to shareholders. Rather, Adjusted Income is an additional measure we use to analyze our business performance because it excludes the effects of certain non-cash charges that we believe are not necessarily indicative of our operating performance while including the effect of gains or losses on investments when realized. It should be noted that our manner of calculating Adjusted Income may differ from the calculations of similarly-titled measures by other companies.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tcPr>
          <w:p>
            <w:pPr>
              <w:spacing w:after="0"/>
              <w:rPr>
                <w:sz w:val="17"/>
                <w:szCs w:val="17"/>
                <w:color w:val="auto"/>
              </w:rPr>
            </w:pPr>
          </w:p>
        </w:tc>
        <w:tc>
          <w:tcPr>
            <w:tcW w:w="266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 June</w:t>
            </w:r>
          </w:p>
        </w:tc>
        <w:tc>
          <w:tcPr>
            <w:tcW w:w="23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w:t>
            </w:r>
          </w:p>
        </w:tc>
        <w:tc>
          <w:tcPr>
            <w:tcW w:w="0" w:type="dxa"/>
            <w:vAlign w:val="bottom"/>
          </w:tcPr>
          <w:p>
            <w:pPr>
              <w:spacing w:after="0"/>
              <w:rPr>
                <w:sz w:val="1"/>
                <w:szCs w:val="1"/>
                <w:color w:val="auto"/>
              </w:rPr>
            </w:pPr>
          </w:p>
        </w:tc>
      </w:tr>
      <w:tr>
        <w:trPr>
          <w:trHeight w:val="212"/>
        </w:trPr>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gridSpan w:val="3"/>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allocable to common shareholders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177,467</w:t>
            </w:r>
          </w:p>
        </w:tc>
        <w:tc>
          <w:tcPr>
            <w:tcW w:w="4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38,112</w:t>
            </w:r>
          </w:p>
        </w:tc>
        <w:tc>
          <w:tcPr>
            <w:tcW w:w="120" w:type="dxa"/>
            <w:vAlign w:val="bottom"/>
          </w:tcPr>
          <w:p>
            <w:pPr>
              <w:spacing w:after="0"/>
              <w:rPr>
                <w:sz w:val="21"/>
                <w:szCs w:val="21"/>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150,365</w:t>
            </w:r>
          </w:p>
        </w:tc>
        <w:tc>
          <w:tcPr>
            <w:tcW w:w="4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16,933</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20" w:type="dxa"/>
            <w:vAlign w:val="bottom"/>
            <w:shd w:val="clear" w:color="auto" w:fill="CCEEFF"/>
          </w:tcPr>
          <w:p>
            <w:pPr>
              <w:ind w:left="200"/>
              <w:spacing w:after="0" w:line="270" w:lineRule="exact"/>
              <w:rPr>
                <w:sz w:val="20"/>
                <w:szCs w:val="20"/>
                <w:color w:val="auto"/>
              </w:rPr>
            </w:pPr>
            <w:r>
              <w:rPr>
                <w:rFonts w:ascii="Times New Roman" w:cs="Times New Roman" w:eastAsia="Times New Roman" w:hAnsi="Times New Roman"/>
                <w:sz w:val="18"/>
                <w:szCs w:val="18"/>
                <w:color w:val="auto"/>
              </w:rPr>
              <w:t>Add: Depreciation and amortization</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15,620</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17,335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30,672</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34,508</w:t>
            </w:r>
          </w:p>
        </w:tc>
        <w:tc>
          <w:tcPr>
            <w:tcW w:w="0" w:type="dxa"/>
            <w:vAlign w:val="bottom"/>
          </w:tcPr>
          <w:p>
            <w:pPr>
              <w:spacing w:after="0"/>
              <w:rPr>
                <w:sz w:val="1"/>
                <w:szCs w:val="1"/>
                <w:color w:val="auto"/>
              </w:rPr>
            </w:pPr>
          </w:p>
        </w:tc>
      </w:tr>
      <w:tr>
        <w:trPr>
          <w:trHeight w:val="243"/>
        </w:trPr>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 (Recovery of) provision for loan losses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2,206</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20" w:type="dxa"/>
            <w:vAlign w:val="bottom"/>
            <w:shd w:val="clear" w:color="auto" w:fill="CCEEFF"/>
          </w:tcPr>
          <w:p>
            <w:pPr>
              <w:ind w:left="200"/>
              <w:spacing w:after="0" w:line="270" w:lineRule="exact"/>
              <w:rPr>
                <w:sz w:val="20"/>
                <w:szCs w:val="20"/>
                <w:color w:val="auto"/>
              </w:rPr>
            </w:pPr>
            <w:r>
              <w:rPr>
                <w:rFonts w:ascii="Times New Roman" w:cs="Times New Roman" w:eastAsia="Times New Roman" w:hAnsi="Times New Roman"/>
                <w:sz w:val="18"/>
                <w:szCs w:val="18"/>
                <w:color w:val="auto"/>
              </w:rPr>
              <w:t>Add: Impairment of assets</w:t>
            </w:r>
            <w:r>
              <w:rPr>
                <w:rFonts w:ascii="Times New Roman" w:cs="Times New Roman" w:eastAsia="Times New Roman" w:hAnsi="Times New Roman"/>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3,012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14,696</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3,927</w:t>
            </w:r>
          </w:p>
        </w:tc>
        <w:tc>
          <w:tcPr>
            <w:tcW w:w="0" w:type="dxa"/>
            <w:vAlign w:val="bottom"/>
          </w:tcPr>
          <w:p>
            <w:pPr>
              <w:spacing w:after="0"/>
              <w:rPr>
                <w:sz w:val="1"/>
                <w:szCs w:val="1"/>
                <w:color w:val="auto"/>
              </w:rPr>
            </w:pPr>
          </w:p>
        </w:tc>
      </w:tr>
      <w:tr>
        <w:trPr>
          <w:trHeight w:val="243"/>
        </w:trPr>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 Stock-based compensation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6,211</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 Loss on early extinguishment of debt,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1,582</w:t>
            </w:r>
          </w:p>
        </w:tc>
        <w:tc>
          <w:tcPr>
            <w:tcW w:w="0" w:type="dxa"/>
            <w:vAlign w:val="bottom"/>
          </w:tcPr>
          <w:p>
            <w:pPr>
              <w:spacing w:after="0"/>
              <w:rPr>
                <w:sz w:val="1"/>
                <w:szCs w:val="1"/>
                <w:color w:val="auto"/>
              </w:rPr>
            </w:pPr>
          </w:p>
        </w:tc>
      </w:tr>
      <w:tr>
        <w:trPr>
          <w:trHeight w:val="270"/>
        </w:trPr>
        <w:tc>
          <w:tcPr>
            <w:tcW w:w="6120" w:type="dxa"/>
            <w:vAlign w:val="bottom"/>
          </w:tcPr>
          <w:p>
            <w:pPr>
              <w:ind w:left="200"/>
              <w:spacing w:after="0" w:line="270" w:lineRule="exact"/>
              <w:rPr>
                <w:sz w:val="20"/>
                <w:szCs w:val="20"/>
                <w:color w:val="auto"/>
              </w:rPr>
            </w:pPr>
            <w:r>
              <w:rPr>
                <w:rFonts w:ascii="Times New Roman" w:cs="Times New Roman" w:eastAsia="Times New Roman" w:hAnsi="Times New Roman"/>
                <w:sz w:val="18"/>
                <w:szCs w:val="18"/>
                <w:color w:val="auto"/>
              </w:rPr>
              <w:t>Less: Losses on charge-offs and dispositions</w:t>
            </w:r>
            <w:r>
              <w:rPr>
                <w:rFonts w:ascii="Times New Roman" w:cs="Times New Roman" w:eastAsia="Times New Roman" w:hAnsi="Times New Roman"/>
                <w:sz w:val="25"/>
                <w:szCs w:val="25"/>
                <w:color w:val="auto"/>
                <w:vertAlign w:val="superscript"/>
              </w:rPr>
              <w:t>(3)</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(14,127)</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0" w:type="dxa"/>
            <w:vAlign w:val="bottom"/>
          </w:tcPr>
          <w:p>
            <w:pPr>
              <w:spacing w:after="0"/>
              <w:rPr>
                <w:sz w:val="1"/>
                <w:szCs w:val="1"/>
                <w:color w:val="auto"/>
              </w:rPr>
            </w:pPr>
          </w:p>
        </w:tc>
      </w:tr>
      <w:tr>
        <w:trPr>
          <w:trHeight w:val="270"/>
        </w:trPr>
        <w:tc>
          <w:tcPr>
            <w:tcW w:w="6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Participating Security allocation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7"/>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income allocable to common shareholders</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198,440</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61,089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186,649</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60,776</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00" w:hanging="492"/>
        <w:spacing w:after="0" w:line="241" w:lineRule="auto"/>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also includes our proportionate share of depreciation and amortization expense for equity method investments and excludes the portion of depreciation and amortization expense allocable to noncontrolling interests.</w:t>
      </w:r>
    </w:p>
    <w:p>
      <w:pPr>
        <w:ind w:left="500" w:right="20" w:hanging="492"/>
        <w:spacing w:after="0" w:line="241" w:lineRule="auto"/>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six months ended June 30, 2016, impairment of assets includes impairments on cost and equity method investments recorded in "Other income" and "Earnings from equity method investments," respectively, in our consolidated statements of operations.</w:t>
      </w:r>
    </w:p>
    <w:p>
      <w:pPr>
        <w:ind w:left="500" w:hanging="492"/>
        <w:spacing w:after="0" w:line="258" w:lineRule="auto"/>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charge-offs and dispositions realized during the period. These charge-offs and dispositions were on assets that were previously impaired for GAAP and reflected in net income but not Adjusted Income.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of June 30, 2017, we had unrestricted cash of $954.3 million. During the three months ended June 30, 2017, we invested $200.6 million associated with new investments, prior financing commitments as well as ongoing development during the quarter. Total investments included $82.1 million in lending and other investments, $29.2 million to develop our land and development assets and $89.3 million of capital to reposition or redevelop our operating properties and invest in net lease assets. Also during the three months ended June 30, 2017, we generated $440.6 million of proceeds from loan repayments and asset sales within our portfolio, comprised of $219.1 million from real estate finance, $9.3 million from operating properties, $66.7 million from net lease assets, $139.2 million from land and development assets and $6.3 million from other investments. These amounts are inclusive of fundings and proceeds from both consolidated investments and our pro rata share from equity method investments.</w:t>
      </w:r>
    </w:p>
    <w:p>
      <w:pPr>
        <w:spacing w:after="0" w:line="14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outlines our capital expenditures on real estate and land and development assets as reflected in our consolidated statements of cash flows, by segment ($ in thousands):</w:t>
      </w:r>
    </w:p>
    <w:p>
      <w:pPr>
        <w:spacing w:after="0" w:line="212"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3640" w:type="dxa"/>
            <w:vAlign w:val="bottom"/>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7"/>
        </w:trPr>
        <w:tc>
          <w:tcPr>
            <w:tcW w:w="56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56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Properties</w:t>
            </w: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33,367</w:t>
            </w: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Lease</w:t>
            </w:r>
          </w:p>
        </w:tc>
        <w:tc>
          <w:tcPr>
            <w:tcW w:w="1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27"/>
        </w:trPr>
        <w:tc>
          <w:tcPr>
            <w:tcW w:w="56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5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capital expenditures on real estate assets</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35,674</w:t>
            </w:r>
          </w:p>
        </w:tc>
      </w:tr>
      <w:tr>
        <w:trPr>
          <w:trHeight w:val="20"/>
        </w:trPr>
        <w:tc>
          <w:tcPr>
            <w:tcW w:w="5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11"/>
        </w:trPr>
        <w:tc>
          <w:tcPr>
            <w:tcW w:w="5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Development</w:t>
            </w: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58,961</w:t>
            </w:r>
          </w:p>
        </w:tc>
      </w:tr>
      <w:tr>
        <w:trPr>
          <w:trHeight w:val="257"/>
        </w:trPr>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capital expenditures on land and development assets</w:t>
            </w: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53,894</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58,961</w:t>
            </w:r>
          </w:p>
        </w:tc>
      </w:tr>
      <w:tr>
        <w:trPr>
          <w:trHeight w:val="20"/>
        </w:trPr>
        <w:tc>
          <w:tcPr>
            <w:tcW w:w="5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Our primary cash uses over the next 12 months are expected to be repayments of debt, funding of investments, capital expenditures and funding ongoing business operations. Over the next 12 months, we currently expect to fund in the range of</w:t>
      </w:r>
    </w:p>
    <w:p>
      <w:pPr>
        <w:sectPr>
          <w:pgSz w:w="11900" w:h="16838" w:orient="portrait"/>
          <w:cols w:equalWidth="0" w:num="1">
            <w:col w:w="11420"/>
          </w:cols>
          <w:pgMar w:left="240" w:top="118"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18" w:right="239" w:bottom="1440" w:gutter="0" w:footer="0" w:header="0"/>
          <w:type w:val="continuous"/>
        </w:sectPr>
      </w:pPr>
    </w:p>
    <w:bookmarkStart w:id="57" w:name="page58"/>
    <w:bookmarkEnd w:id="5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approximately $175.0 million to $225.0 million of capital expenditures within our portfolio. The majority of these amounts relate to our land and development and operating properties business segments and include multifamily and residential development activities which are expected to include approximately $50.0 million in vertical construction. The amount spent will depend on the pace of our development activities as well as the extent to which we strategically partner with others to complete these projects. As of June 30, 2017, we also had approximately $388.6 million of maximum unfunded commitments associated with our investments of which we expect to fund the majority of over the next two years, assuming borrowers and tenants meet all milestones, performance hurdles and all other conditions to fundings (see "Unfunded Commitments" below). Our capital sources to meet cash uses through the next 12 months and beyond will primarily be expected to include capital raised through debt and/or equity capital raising transactions, cash on hand, income from our portfolio, loan repayments from borrowers and proceeds from asset sales.</w:t>
      </w:r>
    </w:p>
    <w:p>
      <w:pPr>
        <w:spacing w:after="0" w:line="14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cannot predict with certainty the specific transactions we will undertake to generate sufficient liquidity to meet our obligations as they come due. We will adjust our plans as appropriate in response to changes in our expectations and changes in market conditions. While economic trends have stabilized, it is not possible for us to predict whether these trends will continue or to quantify the impact of these or other trends on our financial results.</w:t>
      </w:r>
    </w:p>
    <w:p>
      <w:pPr>
        <w:spacing w:after="0" w:line="132"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Obligations</w:t>
      </w:r>
      <w:r>
        <w:rPr>
          <w:rFonts w:ascii="Times New Roman" w:cs="Times New Roman" w:eastAsia="Times New Roman" w:hAnsi="Times New Roman"/>
          <w:sz w:val="18"/>
          <w:szCs w:val="18"/>
          <w:color w:val="auto"/>
        </w:rPr>
        <w:t>—The following table outlines the contractual obligations related to our long-term debt obligations, loan participations payable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operating lease obligations as of June 30, 2017 (refer to Note 10 to the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Amounts Due By Period</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220" w:type="dxa"/>
            <w:vAlign w:val="bottom"/>
          </w:tcPr>
          <w:p>
            <w:pPr>
              <w:spacing w:after="0"/>
              <w:rPr>
                <w:sz w:val="12"/>
                <w:szCs w:val="12"/>
                <w:color w:val="auto"/>
              </w:rPr>
            </w:pPr>
          </w:p>
        </w:tc>
        <w:tc>
          <w:tcPr>
            <w:tcW w:w="920" w:type="dxa"/>
            <w:vAlign w:val="bottom"/>
          </w:tcPr>
          <w:p>
            <w:pPr>
              <w:jc w:val="right"/>
              <w:ind w:right="356"/>
              <w:spacing w:after="0" w:line="149" w:lineRule="exact"/>
              <w:rPr>
                <w:sz w:val="20"/>
                <w:szCs w:val="20"/>
                <w:color w:val="auto"/>
              </w:rPr>
            </w:pPr>
            <w:r>
              <w:rPr>
                <w:rFonts w:ascii="Times New Roman" w:cs="Times New Roman" w:eastAsia="Times New Roman" w:hAnsi="Times New Roman"/>
                <w:sz w:val="14"/>
                <w:szCs w:val="14"/>
                <w:b w:val="1"/>
                <w:bCs w:val="1"/>
                <w:color w:val="auto"/>
              </w:rPr>
              <w:t>1 - 3</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jc w:val="right"/>
              <w:ind w:right="473"/>
              <w:spacing w:after="0" w:line="149" w:lineRule="exact"/>
              <w:rPr>
                <w:sz w:val="20"/>
                <w:szCs w:val="20"/>
                <w:color w:val="auto"/>
              </w:rPr>
            </w:pPr>
            <w:r>
              <w:rPr>
                <w:rFonts w:ascii="Times New Roman" w:cs="Times New Roman" w:eastAsia="Times New Roman" w:hAnsi="Times New Roman"/>
                <w:sz w:val="14"/>
                <w:szCs w:val="14"/>
                <w:b w:val="1"/>
                <w:bCs w:val="1"/>
                <w:color w:val="auto"/>
              </w:rPr>
              <w:t>3 - 5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5 - 10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After 10</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Debt Obligations</w:t>
            </w: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Unsecured notes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2,570,000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1,370,000</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Secured credit facilities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498,750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483,750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Mortgages</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225,624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17,916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39,703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118,190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49,815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Trust preferred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principal maturities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3,394,374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572,916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1,419,703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1,251,940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49,815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Interest Payable</w:t>
            </w:r>
            <w:r>
              <w:rPr>
                <w:rFonts w:ascii="Times New Roman" w:cs="Times New Roman" w:eastAsia="Times New Roman" w:hAnsi="Times New Roman"/>
                <w:sz w:val="25"/>
                <w:szCs w:val="25"/>
                <w:b w:val="1"/>
                <w:bCs w:val="1"/>
                <w:color w:val="auto"/>
                <w:vertAlign w:val="superscript"/>
              </w:rPr>
              <w:t>(1)</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522,435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172,191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221,258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89,214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15,634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24,138</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Loan Participations Payable</w:t>
            </w:r>
            <w:r>
              <w:rPr>
                <w:rFonts w:ascii="Times New Roman" w:cs="Times New Roman" w:eastAsia="Times New Roman" w:hAnsi="Times New Roman"/>
                <w:sz w:val="25"/>
                <w:szCs w:val="25"/>
                <w:b w:val="1"/>
                <w:bCs w:val="1"/>
                <w:color w:val="auto"/>
                <w:vertAlign w:val="superscript"/>
              </w:rPr>
              <w:t>(2)</w:t>
            </w:r>
          </w:p>
        </w:tc>
        <w:tc>
          <w:tcPr>
            <w:tcW w:w="34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107,842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102,461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5,381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 Obligations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20,414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7,973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4,045,065</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853,334</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1,654,315</w:t>
            </w:r>
          </w:p>
        </w:tc>
        <w:tc>
          <w:tcPr>
            <w:tcW w:w="120" w:type="dxa"/>
            <w:vAlign w:val="bottom"/>
          </w:tcPr>
          <w:p>
            <w:pPr>
              <w:spacing w:after="0"/>
              <w:rPr>
                <w:sz w:val="21"/>
                <w:szCs w:val="21"/>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1,344,915</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68,363</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124,138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8890</wp:posOffset>
            </wp:positionV>
            <wp:extent cx="49999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-95885</wp:posOffset>
            </wp:positionV>
            <wp:extent cx="49999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ind w:left="500" w:hanging="492"/>
        <w:spacing w:after="0"/>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Variable-rate debt assumes 1-month LIBOR of 1.22% and 3-month LIBOR of 1.30% that were in effect as of June 30, 2017.</w:t>
      </w:r>
    </w:p>
    <w:p>
      <w:pPr>
        <w:spacing w:after="0" w:line="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9 to the consolidated financial statements.</w:t>
      </w:r>
    </w:p>
    <w:p>
      <w:pPr>
        <w:spacing w:after="0" w:line="148"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color w:val="auto"/>
        </w:rPr>
        <w:t>2017 Secured Financing</w:t>
      </w:r>
      <w:r>
        <w:rPr>
          <w:rFonts w:ascii="Times New Roman" w:cs="Times New Roman" w:eastAsia="Times New Roman" w:hAnsi="Times New Roman"/>
          <w:sz w:val="18"/>
          <w:szCs w:val="18"/>
          <w:color w:val="auto"/>
        </w:rPr>
        <w:t>—In March 2017, we (through wholly-owned subsidiaries conducting our GL business) entered into a $227.0 million secured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transaction (the "2017 Secured Financing") that accrued interest at 3.795% and matures in April 2027. The 2017 Secured Financing was collateralized by the 12 properties comprising our GL business, including seven GLs and one master lease (covering the accounts of five properties). In connection with the 2017 Secured Financing, we incurred $7.3 million of lender and third-party fees, substantially all of which was capitalized in "Debt obligations, net" on our consolidated balance sheets. In April 2017, we derecognized the 2017 Secured Financing when third parties acquired a controlling interest in the Company's GL business (refer to Note 4).</w:t>
      </w:r>
    </w:p>
    <w:p>
      <w:pPr>
        <w:spacing w:after="0" w:line="142"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2016 Secured Term Loan</w:t>
      </w:r>
      <w:r>
        <w:rPr>
          <w:rFonts w:ascii="Times New Roman" w:cs="Times New Roman" w:eastAsia="Times New Roman" w:hAnsi="Times New Roman"/>
          <w:sz w:val="18"/>
          <w:szCs w:val="18"/>
          <w:color w:val="auto"/>
        </w:rPr>
        <w:t>—In December 2016, we arranged a $170.0 million delayed draw secured term loan (the "2016 Secured Term Loan").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allowed the 2016 Secured Term Loan to expire and replaced the 2016 Secured Term Loan with the 2017 Secured Financing. The 2016 Secured Term Loan was collateralized by the 12 properties that served as collateral for the 2017 Secured Financing.</w:t>
      </w:r>
    </w:p>
    <w:p>
      <w:pPr>
        <w:spacing w:after="0" w:line="13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b w:val="1"/>
          <w:bCs w:val="1"/>
          <w:color w:val="auto"/>
        </w:rPr>
        <w:t>2016 Senior Secured Credit Facility</w:t>
      </w:r>
      <w:r>
        <w:rPr>
          <w:rFonts w:ascii="Times New Roman" w:cs="Times New Roman" w:eastAsia="Times New Roman" w:hAnsi="Times New Roman"/>
          <w:sz w:val="18"/>
          <w:szCs w:val="18"/>
          <w:color w:val="auto"/>
        </w:rPr>
        <w:t>—In June 2016, we entered into a senior secured credit facility of $450.0 million (the "2016 Senior Secured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 In August 2016, we upsized the facility to $500.0 million. The initial $450.0 million of the 2016 Senior Secured Credit Facility was issued at 99% of par and the upsize was issued at par. The 2016 Senior Secured Credit Facility initially accrued interest at a floating rate of LIBOR plus 4.50% with a 1.00% LIBOR floor. In January 2017, we repriced the 2016 Senior Secured Credit Facility to LIBOR plus 3.75% with a 1.00% LIBOR floor. The 2016 Senior Secured Credit Facility is collateralized 1.25x by a first lien on a fixed pool of assets. Proceeds from principal repayments and sales of collateral are applied to amortize the 2016 Senior Secured Credit Facility. Proceeds received for interest, rent, lease payments and fee income are retained by us. We may also make optional prepayments, subject to prepayment fees, and are required to repay 0.25% of the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principal amount on the first business day of each quarter beginning on October 3, 2016. Proceeds from the 2016 Senior Secured Credit Facility, together with cash on hand, were primarily used to repay other secured debt.</w:t>
      </w:r>
    </w:p>
    <w:p>
      <w:pPr>
        <w:spacing w:after="0" w:line="117"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color w:val="auto"/>
        </w:rPr>
        <w:t>2015 Secured Revolving Credit Facility</w:t>
      </w:r>
      <w:r>
        <w:rPr>
          <w:rFonts w:ascii="Times New Roman" w:cs="Times New Roman" w:eastAsia="Times New Roman" w:hAnsi="Times New Roman"/>
          <w:sz w:val="18"/>
          <w:szCs w:val="18"/>
          <w:color w:val="auto"/>
        </w:rPr>
        <w:t>—In March 2015, we entered into a secured revolving credit facility with a maximum capacity of $250.0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(the "2015 Secured Revolving Credit Facility"). Borrowings under this credit facility bear interest at a floating rate indexed to one of several base rates plus a margin which adjusts upward or downward based upon our corporate credit rating. An undrawn credit facility commitment fee ranges from 0.375% to 0.50%, based on average utilization each quarter. Commitments under the revolving facility mature in March 2018. At maturity, we may convert outstanding borrowings to a one-year term loan which matures in quarterly installments through March 2019. As of June 30, 2017, based on our borrowing base of assets, we had $234.6 million of borrowing capacity available under the 2015 Secured Revolving Credit Facility.</w:t>
      </w:r>
    </w:p>
    <w:p>
      <w:pPr>
        <w:spacing w:after="0" w:line="14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Unsecured Notes</w:t>
      </w:r>
      <w:r>
        <w:rPr>
          <w:rFonts w:ascii="Times New Roman" w:cs="Times New Roman" w:eastAsia="Times New Roman" w:hAnsi="Times New Roman"/>
          <w:sz w:val="18"/>
          <w:szCs w:val="18"/>
          <w:color w:val="auto"/>
        </w:rPr>
        <w:t>—In March 2017, we issued $375.0 million principal amount of 6.00% senior unsecured notes due April 2022. Proceeds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were primarily used to repay in full the $99.7 million principal amount of 5.85% senior unsecured notes due March 2017 and repay in full the $275.0 million principal amount of 9.00% senior unsecured notes due June 2017. In March 2016, we repaid our $261.4 million principal amount of 5.875% senior unsecured notes at maturity using available cash. In addition, we issued $275.0 million principal amount of 6.50% senior unsecured notes due July 2021. Proceeds from the offering were primarily used to repay $5.0 million of the 2015 Secured Revolving Credit Facility, pay related financing costs, and repay in full the $265.0 million principal amount of senior unsecured notes due July 2016.</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Encumbered/Unencumbered Assets</w:t>
      </w:r>
      <w:r>
        <w:rPr>
          <w:rFonts w:ascii="Times New Roman" w:cs="Times New Roman" w:eastAsia="Times New Roman" w:hAnsi="Times New Roman"/>
          <w:sz w:val="18"/>
          <w:szCs w:val="18"/>
          <w:color w:val="auto"/>
        </w:rPr>
        <w:t>—The carrying value of our encumbered and unencumbered assets by asset type are as follows ($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3"/>
          </w:tcPr>
          <w:p>
            <w:pPr>
              <w:ind w:left="900"/>
              <w:spacing w:after="0"/>
              <w:rPr>
                <w:sz w:val="20"/>
                <w:szCs w:val="20"/>
                <w:color w:val="auto"/>
              </w:rPr>
            </w:pPr>
            <w:r>
              <w:rPr>
                <w:rFonts w:ascii="Times New Roman" w:cs="Times New Roman" w:eastAsia="Times New Roman" w:hAnsi="Times New Roman"/>
                <w:sz w:val="16"/>
                <w:szCs w:val="16"/>
                <w:b w:val="1"/>
                <w:bCs w:val="1"/>
                <w:color w:val="auto"/>
              </w:rPr>
              <w:t>June 30, 2017</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84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7"/>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Encumbered</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Encumbered</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Unencumbered Assets</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Unencumbered Assets</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871,613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471,369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881,212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506,062</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available and held for sale</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68,045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237,531</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development,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25,100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830,397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35,165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910,400</w:t>
            </w:r>
          </w:p>
        </w:tc>
      </w:tr>
      <w:tr>
        <w:trPr>
          <w:trHeight w:val="270"/>
        </w:trPr>
        <w:tc>
          <w:tcPr>
            <w:tcW w:w="51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Loans receivable and other lending investments, net</w:t>
            </w:r>
            <w:r>
              <w:rPr>
                <w:rFonts w:ascii="Times New Roman" w:cs="Times New Roman" w:eastAsia="Times New Roman" w:hAnsi="Times New Roman"/>
                <w:sz w:val="25"/>
                <w:szCs w:val="25"/>
                <w:color w:val="auto"/>
                <w:vertAlign w:val="superscript"/>
              </w:rPr>
              <w:t>(1)(2)</w:t>
            </w:r>
          </w:p>
        </w:tc>
        <w:tc>
          <w:tcPr>
            <w:tcW w:w="18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137,722</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943,592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172,581</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1,142,050</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276,821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214,406</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other assets</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1,200,845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590,299</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1,034,435</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3,791,069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1,088,958</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3,600,748</w:t>
            </w: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-95885</wp:posOffset>
            </wp:positionV>
            <wp:extent cx="39789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ind w:left="500" w:right="2620" w:hanging="492"/>
        <w:spacing w:after="0" w:line="241" w:lineRule="auto"/>
        <w:tabs>
          <w:tab w:leader="none" w:pos="5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2017 and December 31, 2016, the amounts presented exclude general reserves for loan losses of $17.8 million and $23.3 million, respectively.</w:t>
      </w:r>
    </w:p>
    <w:p>
      <w:pPr>
        <w:ind w:left="500" w:hanging="492"/>
        <w:spacing w:after="0"/>
        <w:tabs>
          <w:tab w:leader="none" w:pos="5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2017 and December 31, 2016, the amounts presented exclude loan participations of $107.1 million and $159.1 million, respectively.</w:t>
      </w:r>
    </w:p>
    <w:p>
      <w:pPr>
        <w:spacing w:after="0" w:line="14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b w:val="1"/>
          <w:bCs w:val="1"/>
          <w:color w:val="auto"/>
        </w:rPr>
        <w:t>Debt Covenants</w:t>
      </w:r>
      <w:r>
        <w:rPr>
          <w:rFonts w:ascii="Times New Roman" w:cs="Times New Roman" w:eastAsia="Times New Roman" w:hAnsi="Times New Roman"/>
          <w:sz w:val="18"/>
          <w:szCs w:val="18"/>
          <w:color w:val="auto"/>
        </w:rPr>
        <w:t>—Our outstanding unsecured debt securities contain corporate level covenants that include a covenant to maintain a ratio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unencumbered assets to unsecured indebtedness of at least 1.2x and a covenant not to incur additional indebtedness (except for incurrences of permitted debt), if on a pro forma basis, our consolidated fixed charge coverage ratio, determined in accordance with the indentures governing our debt securities, is 1.5x or lower. If any of our covenants are breached and not cured within applicable cure periods, the breach could result in acceleration of our debt securities unless a waiver or modification is agreed upon with the requisite percentage of the bondholders. If our ability to incur additional indebtedness under the fixed charge coverage ratio is limited, we are permitted to incur indebtedness for the purpose of refinancing existing indebtedness and for other permitted purposes under the indentures.</w:t>
      </w:r>
    </w:p>
    <w:p>
      <w:pPr>
        <w:spacing w:after="0" w:line="14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2016 Senior Secured Credit Facility and the 2015 Secured Revolving Credit Facility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2016 Senior Secured Credit Facility requires us to maintain collateral coverage of at least 1.25x outstanding borrowings on the facility. The 2015 Secured Revolving Credit Facility is secured by a borrowing base of assets and requires us to maintain both collateral coverage of at least 1.5x outstanding borrowings on the facility and a consolidated ratio of cash flow to fixed charges of at least 1.5x. The 2015 Secured Revolving Credit Facility does not require that proceeds from the borrowing base be used to pay down outstanding borrowings provided the collateral coverage remains at least 1.5x outstanding borrowings on the facility. To satisfy this covenant, we have the option to pay down outstanding borrowings or substitute assets in the borrowing base. In addition, for so long as we maintain our qualification as a REIT, the 2016 Senior Secured Credit Facility and the 2015 Secured Revolving Credit Facility permit us to distribute 100% of our REIT taxable income on an annual basis (prior to deducting certain cumulative NOL carryforwards).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Derivatives</w:t>
      </w:r>
      <w:r>
        <w:rPr>
          <w:rFonts w:ascii="Times New Roman" w:cs="Times New Roman" w:eastAsia="Times New Roman" w:hAnsi="Times New Roman"/>
          <w:sz w:val="18"/>
          <w:szCs w:val="18"/>
          <w:color w:val="auto"/>
        </w:rPr>
        <w:t>—Our use of derivative financial instruments is primarily limited to the utilization of interest rate swaps, interest rate caps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instruments to manage interest rate risk exposure and foreign exchange contracts to manage our risk to changes in foreign currencies. Refer to Note 12 to the consolidated financial statements.</w:t>
      </w:r>
    </w:p>
    <w:p>
      <w:pPr>
        <w:spacing w:after="0" w:line="17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Off-Balance Sheet Arrangements</w:t>
      </w:r>
      <w:r>
        <w:rPr>
          <w:rFonts w:ascii="Times New Roman" w:cs="Times New Roman" w:eastAsia="Times New Roman" w:hAnsi="Times New Roman"/>
          <w:sz w:val="18"/>
          <w:szCs w:val="18"/>
          <w:color w:val="auto"/>
        </w:rPr>
        <w:t>—We are not dependent on the use of any off-balance sheet financing arrangements for liquidity. We have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in various unconsolidated ventures. Refer to Note 7 to the consolidated financial statements for further details of our unconsolidated investments. Our maximum exposure to loss from these investments is limited to the carrying value of our investments and any unfunded commitments (see below).</w:t>
      </w:r>
    </w:p>
    <w:p>
      <w:pPr>
        <w:spacing w:after="0" w:line="17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Unfunded Commitments</w:t>
      </w:r>
      <w:r>
        <w:rPr>
          <w:rFonts w:ascii="Times New Roman" w:cs="Times New Roman" w:eastAsia="Times New Roman" w:hAnsi="Times New Roman"/>
          <w:sz w:val="18"/>
          <w:szCs w:val="18"/>
          <w:color w:val="auto"/>
        </w:rPr>
        <w:t>—We generally fund construction and development loans and build-outs of space in net lease assets over a period of time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when the borrowers and tenants meet established milestones and other performance criteria. We refer to these arrangements as Performance-Based Commitments. In addition, we sometimes establish a maximum amount of additional funding which we will make available to a borrower or tenant for an expansion or addition to a project if we approve of the expansion or addition in our sole discretion. We refer to these arrangements as Discretionary Fundings. Finally, we have committed to invest capital in several real estate funds and other ventures. These arrangements are referred to as Strategic Investments. As of June 30, 2017, the maximum amounts of the fundings we may make under each category, assuming all performance hurdles and milestones are met under the Performance-Based Commitments, that we approve all Discretionary Fundings and that 100% of our capital committed to Strategic Investments is drawn down, are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Loans and Other</w:t>
            </w: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65"/>
        </w:trPr>
        <w:tc>
          <w:tcPr>
            <w:tcW w:w="3300" w:type="dxa"/>
            <w:vAlign w:val="bottom"/>
          </w:tcPr>
          <w:p>
            <w:pPr>
              <w:spacing w:after="0"/>
              <w:rPr>
                <w:sz w:val="23"/>
                <w:szCs w:val="23"/>
                <w:color w:val="auto"/>
              </w:rPr>
            </w:pPr>
          </w:p>
        </w:tc>
        <w:tc>
          <w:tcPr>
            <w:tcW w:w="2060" w:type="dxa"/>
            <w:vAlign w:val="bottom"/>
            <w:gridSpan w:val="3"/>
          </w:tcPr>
          <w:p>
            <w:pPr>
              <w:jc w:val="center"/>
              <w:ind w:right="100"/>
              <w:spacing w:after="0" w:line="265" w:lineRule="exact"/>
              <w:rPr>
                <w:sz w:val="20"/>
                <w:szCs w:val="20"/>
                <w:color w:val="auto"/>
              </w:rPr>
            </w:pPr>
            <w:r>
              <w:rPr>
                <w:rFonts w:ascii="Times New Roman" w:cs="Times New Roman" w:eastAsia="Times New Roman" w:hAnsi="Times New Roman"/>
                <w:sz w:val="18"/>
                <w:szCs w:val="18"/>
                <w:b w:val="1"/>
                <w:bCs w:val="1"/>
                <w:color w:val="auto"/>
                <w:w w:val="97"/>
              </w:rPr>
              <w:t>Lending Investments</w:t>
            </w:r>
            <w:r>
              <w:rPr>
                <w:rFonts w:ascii="Times New Roman" w:cs="Times New Roman" w:eastAsia="Times New Roman" w:hAnsi="Times New Roman"/>
                <w:sz w:val="25"/>
                <w:szCs w:val="25"/>
                <w:b w:val="1"/>
                <w:bCs w:val="1"/>
                <w:color w:val="auto"/>
                <w:w w:val="97"/>
                <w:vertAlign w:val="superscript"/>
              </w:rPr>
              <w:t>(1)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440" w:type="dxa"/>
            <w:vAlign w:val="bottom"/>
          </w:tcPr>
          <w:p>
            <w:pPr>
              <w:spacing w:after="0"/>
              <w:rPr>
                <w:sz w:val="23"/>
                <w:szCs w:val="23"/>
                <w:color w:val="auto"/>
              </w:rPr>
            </w:pPr>
          </w:p>
        </w:tc>
        <w:tc>
          <w:tcPr>
            <w:tcW w:w="14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4"/>
        </w:trPr>
        <w:tc>
          <w:tcPr>
            <w:tcW w:w="3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Performance-Based Commitments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313,615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7,886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342,921</w:t>
            </w:r>
          </w:p>
        </w:tc>
      </w:tr>
      <w:tr>
        <w:trPr>
          <w:trHeight w:val="243"/>
        </w:trPr>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Strategic Investments</w:t>
            </w:r>
          </w:p>
        </w:tc>
        <w:tc>
          <w:tcPr>
            <w:tcW w:w="22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45,634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45,634</w:t>
            </w:r>
          </w:p>
        </w:tc>
      </w:tr>
      <w:tr>
        <w:trPr>
          <w:trHeight w:val="27"/>
        </w:trPr>
        <w:tc>
          <w:tcPr>
            <w:tcW w:w="3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3300" w:type="dxa"/>
            <w:vAlign w:val="bottom"/>
            <w:tcBorders>
              <w:bottom w:val="single" w:sz="8" w:color="CCEEFF"/>
            </w:tcBorders>
            <w:shd w:val="clear" w:color="auto" w:fill="CCEEFF"/>
          </w:tcPr>
          <w:p>
            <w:pPr>
              <w:ind w:left="180"/>
              <w:spacing w:after="0" w:line="264"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5"/>
                <w:szCs w:val="25"/>
                <w:color w:val="auto"/>
                <w:vertAlign w:val="superscript"/>
              </w:rPr>
              <w:t>(2)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313,615</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7,886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67,054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388,555</w:t>
            </w: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-95885</wp:posOffset>
            </wp:positionV>
            <wp:extent cx="51200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20005" cy="8890"/>
                    </a:xfrm>
                    <a:prstGeom prst="rect">
                      <a:avLst/>
                    </a:prstGeom>
                    <a:noFill/>
                  </pic:spPr>
                </pic:pic>
              </a:graphicData>
            </a:graphic>
          </wp:anchor>
        </w:drawing>
      </w:r>
    </w:p>
    <w:p>
      <w:pPr>
        <w:ind w:left="500" w:hanging="492"/>
        <w:spacing w:after="0"/>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$130.3 million of commitments on loan participations sold that are not our obligation.</w:t>
      </w:r>
    </w:p>
    <w:p>
      <w:pPr>
        <w:spacing w:after="0" w:line="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have any Discretionary Fundings as of June 30, 2017.</w:t>
      </w:r>
    </w:p>
    <w:p>
      <w:pPr>
        <w:spacing w:after="0" w:line="20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Stock Repurchase Program</w:t>
      </w:r>
      <w:r>
        <w:rPr>
          <w:rFonts w:ascii="Times New Roman" w:cs="Times New Roman" w:eastAsia="Times New Roman" w:hAnsi="Times New Roman"/>
          <w:sz w:val="18"/>
          <w:szCs w:val="18"/>
          <w:color w:val="auto"/>
        </w:rPr>
        <w:t>—In February 2016, after having substantially utilized the remaining availability previously authorized, our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authorized a new $50.0 million stock repurchase program. After having substantially utilized the availability authorized in February 2016, our Board of Directors authorized an increase to the stock repurchase program to $50.0 million, effective August 4, 2016. The program authorizes the repurchase of common stock from time to time in open market and privately negotiated purchases, including pursuant to one or more trading plans. We did not repurchase any shares of common stock during the six months ended June 30, 2017. During the six months ended June 30, 2016, we repurchased 9.5 million shares of our common stock for $91.8 million, at an average cost of $9.71 per share. As of June 30, 2017, we had remaining authorization to repurchase up to $50.0 million of common stock under our stock repurchase program.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8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10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On January 1, 2017, we adopted Accounting Standards Update ("ASU") 2016-09, </w:t>
      </w:r>
      <w:r>
        <w:rPr>
          <w:rFonts w:ascii="Times New Roman" w:cs="Times New Roman" w:eastAsia="Times New Roman" w:hAnsi="Times New Roman"/>
          <w:sz w:val="18"/>
          <w:szCs w:val="18"/>
          <w:i w:val="1"/>
          <w:iCs w:val="1"/>
          <w:color w:val="auto"/>
        </w:rPr>
        <w:t>Compensation - Stock Compensation, Improvements to 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Share-Based Payment Accounting, </w:t>
      </w:r>
      <w:r>
        <w:rPr>
          <w:rFonts w:ascii="Times New Roman" w:cs="Times New Roman" w:eastAsia="Times New Roman" w:hAnsi="Times New Roman"/>
          <w:sz w:val="18"/>
          <w:szCs w:val="18"/>
          <w:color w:val="auto"/>
        </w:rPr>
        <w:t>which simplified several aspects of the accounting for share-based payment transactions, including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classification of awards as either equity or liabilities and classification on the statement of cash flows. The adoption did not have a material impact on our consolidated financial statements.</w:t>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2017, the remainder of our significant accounting policies, which are detailed in our 2016 Annual Report, have not changed materially.</w:t>
      </w:r>
    </w:p>
    <w:p>
      <w:pPr>
        <w:spacing w:after="0" w:line="181"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r>
        <w:rPr>
          <w:rFonts w:ascii="Times New Roman" w:cs="Times New Roman" w:eastAsia="Times New Roman" w:hAnsi="Times New Roman"/>
          <w:sz w:val="18"/>
          <w:szCs w:val="18"/>
          <w:color w:val="auto"/>
        </w:rPr>
        <w:t>—For a discussion of the impact of new accounting pronouncements on our financial condition or results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refer to Note 3 to the consolidated financial statements.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Risks</w:t>
      </w:r>
    </w:p>
    <w:p>
      <w:pPr>
        <w:spacing w:after="0" w:line="28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interest rates, foreign currency exchange rates, commodity prices and equity prices. In pursuing our business plan, the primary market risk to which we are exposed is interest rate risk. Our operating results will depend in part on the difference between the interest and related income earned on our assets and the interest expense incurred in connection with our interest-bearing liabilities. Changes in the general level of interest rates prevailing in the financial markets will affect the spread between our floating rate assets and liabilities subject to the net amount of floating rate assets/liabilities and the impact of interest rate floors and caps. Any significant compression of the spreads between interest-earning assets and interest-bearing liabilities could have a material adverse effect on us.</w:t>
      </w:r>
    </w:p>
    <w:p>
      <w:pPr>
        <w:spacing w:after="0" w:line="24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the event of a significant rising interest rate environment or economic downturn, defaults could increase and cause us to incur additional credit losses which would adversely affect our liquidity and operating results. Such delinquencies or defaults would likely have a material adverse effect on the spreads between interest-earning assets and interest-bearing liabilities. In addition, an increase in interest rates could, among other things, reduce the value of our fixed-rate interest-bearing assets and our ability to realize gains from the sale of such assets.</w:t>
      </w:r>
    </w:p>
    <w:p>
      <w:pPr>
        <w:spacing w:after="0" w:line="23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governmental monetary and tax policies, domestic and international economic and political conditions, and other factors beyond our control. We monitor the spreads between our interest-earning assets and interest-bearing liabilities and may implement hedging strategies to limit the effects of changes in interest rates on our operations, including engaging in interest rate swaps, interest rate caps and other interest rate-related derivative contracts. Such strategies are designed to reduce our exposure, on specific transactions or on a portfolio basis, to changes in cash flows as a result of interest rate movements in the market. We do not enter into derivative contracts for speculative purposes or as a hedge against changes in our credit risk or the credit risk of our borrowers.</w:t>
      </w:r>
    </w:p>
    <w:p>
      <w:pPr>
        <w:spacing w:after="0" w:line="24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While a REIT may utilize derivative instruments to hedge interest rate risk on its liabilities incurred to acquire or carry real estate assets without generating non-qualifying income, use of derivatives for other purposes will generate non-qualified income for REIT income test purposes. This includes hedging asset related risks such as credit and interest rate exposure on our loan assets. As a result our ability to hedge these types of risks is limited. There can be no assurance that our profitability will not be materially adversely affected during any period as a result of changing interest rates.</w:t>
      </w:r>
    </w:p>
    <w:p>
      <w:pPr>
        <w:spacing w:after="0" w:line="23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quantifies the potential changes in annual net income, assuming no change in our interest earning assets or interest bearing liabilities, should interest rates increase by 10, 50 or 100 basis points or decrease by 10 basis points, assuming no change in the shape of the yield curve (i.e., relative interest rates). The base interest rate scenario assumes the one-month LIBOR rate of 1.22% as of June 30, 2017. Actual results could differ significantly from those estimated in the table.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Change In Net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Interest Rates</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Net Income</w:t>
            </w:r>
            <w:r>
              <w:rPr>
                <w:rFonts w:ascii="Times New Roman" w:cs="Times New Roman" w:eastAsia="Times New Roman" w:hAnsi="Times New Roman"/>
                <w:sz w:val="25"/>
                <w:szCs w:val="25"/>
                <w:b w:val="1"/>
                <w:bCs w:val="1"/>
                <w:color w:val="auto"/>
                <w:vertAlign w:val="superscript"/>
              </w:rPr>
              <w:t>(1)</w:t>
            </w:r>
          </w:p>
        </w:tc>
      </w:tr>
      <w:tr>
        <w:trPr>
          <w:trHeight w:val="244"/>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 Basis Points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43"/>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Base Interest Rate</w:t>
            </w:r>
          </w:p>
        </w:tc>
        <w:tc>
          <w:tcPr>
            <w:tcW w:w="3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 Basis Points</w:t>
            </w:r>
          </w:p>
        </w:tc>
        <w:tc>
          <w:tcPr>
            <w:tcW w:w="3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1,003</w:t>
            </w:r>
          </w:p>
        </w:tc>
      </w:tr>
      <w:tr>
        <w:trPr>
          <w:trHeight w:val="243"/>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+50 Basis Points</w:t>
            </w:r>
          </w:p>
        </w:tc>
        <w:tc>
          <w:tcPr>
            <w:tcW w:w="3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5,015</w:t>
            </w:r>
          </w:p>
        </w:tc>
      </w:tr>
      <w:tr>
        <w:trPr>
          <w:trHeight w:val="270"/>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+100 Basis Points</w:t>
            </w:r>
          </w:p>
        </w:tc>
        <w:tc>
          <w:tcPr>
            <w:tcW w:w="340" w:type="dxa"/>
            <w:vAlign w:val="bottom"/>
          </w:tcPr>
          <w:p>
            <w:pPr>
              <w:spacing w:after="0"/>
              <w:rPr>
                <w:sz w:val="23"/>
                <w:szCs w:val="23"/>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353314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3314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w:t>
      </w:r>
    </w:p>
    <w:p>
      <w:pPr>
        <w:spacing w:after="0" w:line="17" w:lineRule="exact"/>
        <w:rPr>
          <w:sz w:val="20"/>
          <w:szCs w:val="20"/>
          <w:color w:val="auto"/>
        </w:rPr>
      </w:pPr>
    </w:p>
    <w:p>
      <w:pPr>
        <w:jc w:val="both"/>
        <w:ind w:left="420" w:hanging="412"/>
        <w:spacing w:after="0" w:line="250" w:lineRule="auto"/>
        <w:tabs>
          <w:tab w:leader="none" w:pos="4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an overall net variable-rate asset position, which results in an increase in net income when rates increase and a decrease in net income when rates decrease. As of June 30, 2017, $459.9 million of our floating rate loans have a cumulative weighted average interest rate floor of 0.3% and $606.6 million of our floating rate debt has a cumulative weighted average interest rate floor of 0.9%.</w:t>
      </w:r>
    </w:p>
    <w:p>
      <w:pPr>
        <w:spacing w:after="0" w:line="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the Company's Exchange Act reports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the disclosure committee and other members of management, including its Chief Executive Officer and Chief Financial Officer, of the effectiveness of the Company's disclosure controls and procedures pursuant to Exchange Act Rule 13a-15(b) or Rule 15d-15. Based upon that evaluation, the Chief Executive Officer and Chief Financial Officer concluded that the Company's disclosure controls and procedures are effective to provide reasonable assurance that the information required to be disclosed by the Company in the reports that it files or submits under the Exchange Act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spacing w:after="0" w:line="14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There have been no changes during the last fiscal quarter in the Company's internal control over financial reporting that has materially affected, or is reasonably likely to materially affect, the Company's internal control over financial reporting.</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and/or one or more of its subsidiaries is party to various pending litigation matters that are considered ordinary routine litigation incidental to its real estate and real estate related business activities, including loan foreclosure and foreclosure-related proceedings. In addition to such matters, the Company is a party to the following legal proceedings:</w:t>
      </w:r>
    </w:p>
    <w:p>
      <w:pPr>
        <w:spacing w:after="0" w:line="13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U.S. Home Corporation ("Lennar") v. Settlers Crossing, LLC, et al. (United States District Court for the District of Maryland, Civil Action No. DKC 08-1863)</w:t>
      </w:r>
    </w:p>
    <w:p>
      <w:pPr>
        <w:spacing w:after="0" w:line="12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This litigation involved a dispute over the purchase and sale of approximately 1,250 acres of land in Prince George’s County, Maryland. Following a trial, in January 2015, the United States District Court for the District of Maryland (the District Court) entered judgment in favor of the Company, finding that the Company was entitled to specific performance of the purchase and sale agreement and awarding the Company the aggregate amount of: (i) the remaining unpaid purchase price; plus (ii) simple interest on the unpaid amount at a rate of 12% annually from 2008; plus (iii) real estate taxes paid by the Company; plus (iv) actual and reasonable attorneys' fees and costs incurred by the Company in connection with the litigation. Lennar appealed the District Court's judgment. On April 12, 2017, the United States Court of Appeals for the Fourth Circuit affirmed the judgment of the District Court in its entirety. Lennar’s petition for rehearing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was summarily denied.</w:t>
      </w:r>
    </w:p>
    <w:p>
      <w:pPr>
        <w:spacing w:after="0" w:line="14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On April 21, 2017, we and Lennar completed the transfer of the land, pursuant to which we conveyed the land to Lennar and received net proceeds of $234.1 million after payment of $3.3 million in documentary transfer taxes, consisting of $114.0 million of sales proceeds, $121.8 million of interest and $1.6 million of real estate tax reimbursements. The amount of attorneys’ fees and costs to be recovered by us will be determined through further proceedings before the District Court. We have applied for attorney’s fees in excess of $17.0 million. A portion of the net proceeds received by us has been paid to the third party which holds a 4.3% participation interest in all proceeds received by us.</w:t>
      </w:r>
    </w:p>
    <w:p>
      <w:pPr>
        <w:spacing w:after="0" w:line="18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material changes from the risk factors previously disclosed in the Company's 2016 Annual Report.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information with respect to purchases made by or on behalf of the Company of its common stock during the three months ended June 30, 2017.</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160" w:type="dxa"/>
            <w:vAlign w:val="bottom"/>
          </w:tcPr>
          <w:p>
            <w:pPr>
              <w:spacing w:after="0"/>
              <w:rPr>
                <w:sz w:val="18"/>
                <w:szCs w:val="18"/>
                <w:color w:val="auto"/>
              </w:rPr>
            </w:pPr>
          </w:p>
        </w:tc>
        <w:tc>
          <w:tcPr>
            <w:tcW w:w="2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Maximum Dollar Value of</w:t>
            </w:r>
          </w:p>
        </w:tc>
      </w:tr>
      <w:tr>
        <w:trPr>
          <w:trHeight w:val="216"/>
        </w:trPr>
        <w:tc>
          <w:tcPr>
            <w:tcW w:w="34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Average Price Paid</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Purchased as Part of a</w:t>
            </w:r>
          </w:p>
        </w:tc>
        <w:tc>
          <w:tcPr>
            <w:tcW w:w="160" w:type="dxa"/>
            <w:vAlign w:val="bottom"/>
          </w:tcPr>
          <w:p>
            <w:pPr>
              <w:spacing w:after="0"/>
              <w:rPr>
                <w:sz w:val="18"/>
                <w:szCs w:val="18"/>
                <w:color w:val="auto"/>
              </w:rPr>
            </w:pPr>
          </w:p>
        </w:tc>
        <w:tc>
          <w:tcPr>
            <w:tcW w:w="2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Shares that May Yet be</w:t>
            </w:r>
          </w:p>
        </w:tc>
      </w:tr>
      <w:tr>
        <w:trPr>
          <w:trHeight w:val="261"/>
        </w:trPr>
        <w:tc>
          <w:tcPr>
            <w:tcW w:w="342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 Share</w:t>
            </w: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Publicly Announced Plan</w:t>
            </w:r>
          </w:p>
        </w:tc>
        <w:tc>
          <w:tcPr>
            <w:tcW w:w="2240" w:type="dxa"/>
            <w:vAlign w:val="bottom"/>
            <w:tcBorders>
              <w:bottom w:val="single" w:sz="8" w:color="auto"/>
            </w:tcBorders>
            <w:gridSpan w:val="2"/>
          </w:tcPr>
          <w:p>
            <w:pPr>
              <w:jc w:val="center"/>
              <w:spacing w:after="0" w:line="262" w:lineRule="exact"/>
              <w:rPr>
                <w:sz w:val="20"/>
                <w:szCs w:val="20"/>
                <w:color w:val="auto"/>
              </w:rPr>
            </w:pPr>
            <w:r>
              <w:rPr>
                <w:rFonts w:ascii="Times New Roman" w:cs="Times New Roman" w:eastAsia="Times New Roman" w:hAnsi="Times New Roman"/>
                <w:sz w:val="18"/>
                <w:szCs w:val="18"/>
                <w:color w:val="auto"/>
                <w:w w:val="97"/>
              </w:rPr>
              <w:t>Purchased Under the Plans</w:t>
            </w:r>
            <w:r>
              <w:rPr>
                <w:rFonts w:ascii="Times New Roman" w:cs="Times New Roman" w:eastAsia="Times New Roman" w:hAnsi="Times New Roman"/>
                <w:sz w:val="25"/>
                <w:szCs w:val="25"/>
                <w:color w:val="auto"/>
                <w:w w:val="97"/>
                <w:vertAlign w:val="superscript"/>
              </w:rPr>
              <w:t>(1)</w:t>
            </w: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1 to April 30</w:t>
            </w:r>
          </w:p>
        </w:tc>
        <w:tc>
          <w:tcPr>
            <w:tcW w:w="1740" w:type="dxa"/>
            <w:vAlign w:val="bottom"/>
            <w:tcBorders>
              <w:bottom w:val="single" w:sz="8" w:color="CCEEFF"/>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50,000,000</w:t>
            </w:r>
          </w:p>
        </w:tc>
      </w:tr>
      <w:tr>
        <w:trPr>
          <w:trHeight w:val="243"/>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1 to May 31</w:t>
            </w:r>
          </w:p>
        </w:tc>
        <w:tc>
          <w:tcPr>
            <w:tcW w:w="17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50,000,000</w:t>
            </w:r>
          </w:p>
        </w:tc>
      </w:tr>
      <w:tr>
        <w:trPr>
          <w:trHeight w:val="270"/>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1 to June 30</w:t>
            </w:r>
          </w:p>
        </w:tc>
        <w:tc>
          <w:tcPr>
            <w:tcW w:w="17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98944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7" w:lineRule="exact"/>
        <w:rPr>
          <w:sz w:val="20"/>
          <w:szCs w:val="20"/>
          <w:color w:val="auto"/>
        </w:rPr>
      </w:pPr>
    </w:p>
    <w:p>
      <w:pPr>
        <w:ind w:left="500" w:hanging="492"/>
        <w:spacing w:after="0" w:line="258" w:lineRule="auto"/>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2016, the Company's Board of Directors authorized an increase to $50.0 million in the stock repurchase program. The program authorizes the repurchase of common stock from time to time in open market and privately negotiated purchases, including pursuant to one or more trading plans. There is no fixed expiration date to this stock repurchase program.</w:t>
      </w:r>
    </w:p>
    <w:p>
      <w:pPr>
        <w:spacing w:after="0" w:line="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970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572"/>
        </w:trPr>
        <w:tc>
          <w:tcPr>
            <w:tcW w:w="11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700" w:type="dxa"/>
            <w:vAlign w:val="bottom"/>
          </w:tcPr>
          <w:p>
            <w:pPr>
              <w:spacing w:after="0"/>
              <w:rPr>
                <w:sz w:val="24"/>
                <w:szCs w:val="24"/>
                <w:color w:val="auto"/>
              </w:rPr>
            </w:pPr>
          </w:p>
        </w:tc>
      </w:tr>
      <w:tr>
        <w:trPr>
          <w:trHeight w:val="238"/>
        </w:trPr>
        <w:tc>
          <w:tcPr>
            <w:tcW w:w="11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70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r>
      <w:tr>
        <w:trPr>
          <w:trHeight w:val="27"/>
        </w:trPr>
        <w:tc>
          <w:tcPr>
            <w:tcW w:w="1160" w:type="dxa"/>
            <w:vAlign w:val="bottom"/>
          </w:tcPr>
          <w:p>
            <w:pPr>
              <w:spacing w:after="0"/>
              <w:rPr>
                <w:sz w:val="2"/>
                <w:szCs w:val="2"/>
                <w:color w:val="auto"/>
              </w:rPr>
            </w:pPr>
          </w:p>
        </w:tc>
        <w:tc>
          <w:tcPr>
            <w:tcW w:w="9700" w:type="dxa"/>
            <w:vAlign w:val="bottom"/>
          </w:tcPr>
          <w:p>
            <w:pPr>
              <w:spacing w:after="0"/>
              <w:rPr>
                <w:sz w:val="2"/>
                <w:szCs w:val="2"/>
                <w:color w:val="auto"/>
              </w:rPr>
            </w:pPr>
          </w:p>
        </w:tc>
      </w:tr>
      <w:tr>
        <w:trPr>
          <w:trHeight w:val="225"/>
        </w:trPr>
        <w:tc>
          <w:tcPr>
            <w:tcW w:w="11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10.1**</w:t>
            </w:r>
          </w:p>
        </w:tc>
        <w:tc>
          <w:tcPr>
            <w:tcW w:w="9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 Agreement, dated as of June 27, 2017, among SFTY Manager LLC, Safety, Income and Growth, Inc. and Safety</w:t>
            </w:r>
          </w:p>
        </w:tc>
      </w:tr>
      <w:tr>
        <w:trPr>
          <w:trHeight w:val="241"/>
        </w:trPr>
        <w:tc>
          <w:tcPr>
            <w:tcW w:w="1160" w:type="dxa"/>
            <w:vAlign w:val="bottom"/>
            <w:tcBorders>
              <w:bottom w:val="single" w:sz="8" w:color="CCEEFF"/>
            </w:tcBorders>
            <w:shd w:val="clear" w:color="auto" w:fill="CCEEFF"/>
          </w:tcPr>
          <w:p>
            <w:pPr>
              <w:spacing w:after="0"/>
              <w:rPr>
                <w:sz w:val="20"/>
                <w:szCs w:val="20"/>
                <w:color w:val="auto"/>
              </w:rPr>
            </w:pPr>
          </w:p>
        </w:tc>
        <w:tc>
          <w:tcPr>
            <w:tcW w:w="9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and Growth Operating Partnership LP.</w:t>
            </w:r>
          </w:p>
        </w:tc>
      </w:tr>
      <w:tr>
        <w:trPr>
          <w:trHeight w:val="225"/>
        </w:trPr>
        <w:tc>
          <w:tcPr>
            <w:tcW w:w="11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10.2**</w:t>
            </w:r>
          </w:p>
        </w:tc>
        <w:tc>
          <w:tcPr>
            <w:tcW w:w="9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Exclusivity and Expense Reimbursement Agreement, dated as of June 27, 2017, among iStar Inc. and Safety, Income and Growth,</w:t>
            </w:r>
          </w:p>
        </w:tc>
      </w:tr>
      <w:tr>
        <w:trPr>
          <w:trHeight w:val="234"/>
        </w:trPr>
        <w:tc>
          <w:tcPr>
            <w:tcW w:w="1160" w:type="dxa"/>
            <w:vAlign w:val="bottom"/>
          </w:tcPr>
          <w:p>
            <w:pPr>
              <w:spacing w:after="0"/>
              <w:rPr>
                <w:sz w:val="20"/>
                <w:szCs w:val="20"/>
                <w:color w:val="auto"/>
              </w:rPr>
            </w:pPr>
          </w:p>
        </w:tc>
        <w:tc>
          <w:tcPr>
            <w:tcW w:w="9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w:t>
            </w:r>
          </w:p>
        </w:tc>
      </w:tr>
      <w:tr>
        <w:trPr>
          <w:trHeight w:val="27"/>
        </w:trPr>
        <w:tc>
          <w:tcPr>
            <w:tcW w:w="1160" w:type="dxa"/>
            <w:vAlign w:val="bottom"/>
          </w:tcPr>
          <w:p>
            <w:pPr>
              <w:spacing w:after="0"/>
              <w:rPr>
                <w:sz w:val="2"/>
                <w:szCs w:val="2"/>
                <w:color w:val="auto"/>
              </w:rPr>
            </w:pPr>
          </w:p>
        </w:tc>
        <w:tc>
          <w:tcPr>
            <w:tcW w:w="970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10.3**</w:t>
            </w:r>
          </w:p>
        </w:tc>
        <w:tc>
          <w:tcPr>
            <w:tcW w:w="9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Registration Rights Agreement, dated as of June 27, 2017, between iStar Inc. and Safety, Income and Growth, Inc.</w:t>
            </w:r>
          </w:p>
        </w:tc>
      </w:tr>
      <w:tr>
        <w:trPr>
          <w:trHeight w:val="225"/>
        </w:trPr>
        <w:tc>
          <w:tcPr>
            <w:tcW w:w="11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10.4**</w:t>
            </w:r>
          </w:p>
        </w:tc>
        <w:tc>
          <w:tcPr>
            <w:tcW w:w="9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 Purchase Agreement, dated as of June 27, 2017, between iStar Inc. and Safety Income and Growth Operating Partnership</w:t>
            </w:r>
          </w:p>
        </w:tc>
      </w:tr>
      <w:tr>
        <w:trPr>
          <w:trHeight w:val="234"/>
        </w:trPr>
        <w:tc>
          <w:tcPr>
            <w:tcW w:w="1160" w:type="dxa"/>
            <w:vAlign w:val="bottom"/>
          </w:tcPr>
          <w:p>
            <w:pPr>
              <w:spacing w:after="0"/>
              <w:rPr>
                <w:sz w:val="20"/>
                <w:szCs w:val="20"/>
                <w:color w:val="auto"/>
              </w:rPr>
            </w:pPr>
          </w:p>
        </w:tc>
        <w:tc>
          <w:tcPr>
            <w:tcW w:w="9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LP.</w:t>
            </w:r>
          </w:p>
        </w:tc>
      </w:tr>
      <w:tr>
        <w:trPr>
          <w:trHeight w:val="27"/>
        </w:trPr>
        <w:tc>
          <w:tcPr>
            <w:tcW w:w="1160" w:type="dxa"/>
            <w:vAlign w:val="bottom"/>
          </w:tcPr>
          <w:p>
            <w:pPr>
              <w:spacing w:after="0"/>
              <w:rPr>
                <w:sz w:val="2"/>
                <w:szCs w:val="2"/>
                <w:color w:val="auto"/>
              </w:rPr>
            </w:pPr>
          </w:p>
        </w:tc>
        <w:tc>
          <w:tcPr>
            <w:tcW w:w="970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31.0</w:t>
            </w:r>
          </w:p>
        </w:tc>
        <w:tc>
          <w:tcPr>
            <w:tcW w:w="9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Certifications pursuant to Section 302 of the Sarbanes-Oxley Act.</w:t>
            </w:r>
          </w:p>
        </w:tc>
      </w:tr>
      <w:tr>
        <w:trPr>
          <w:trHeight w:val="243"/>
        </w:trPr>
        <w:tc>
          <w:tcPr>
            <w:tcW w:w="11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32.0</w:t>
            </w:r>
          </w:p>
        </w:tc>
        <w:tc>
          <w:tcPr>
            <w:tcW w:w="9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Certifications pursuant to Section 906 of the Sarbanes-Oxley Act.</w:t>
            </w:r>
          </w:p>
        </w:tc>
      </w:tr>
      <w:tr>
        <w:trPr>
          <w:trHeight w:val="252"/>
        </w:trPr>
        <w:tc>
          <w:tcPr>
            <w:tcW w:w="11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101*</w:t>
            </w:r>
          </w:p>
        </w:tc>
        <w:tc>
          <w:tcPr>
            <w:tcW w:w="9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following financial information from the Company's Quarterly Report on Form 10-Q for the period ended June 30, 2017 is</w:t>
            </w:r>
          </w:p>
        </w:tc>
      </w:tr>
      <w:tr>
        <w:trPr>
          <w:trHeight w:val="216"/>
        </w:trPr>
        <w:tc>
          <w:tcPr>
            <w:tcW w:w="1160" w:type="dxa"/>
            <w:vAlign w:val="bottom"/>
          </w:tcPr>
          <w:p>
            <w:pPr>
              <w:spacing w:after="0"/>
              <w:rPr>
                <w:sz w:val="18"/>
                <w:szCs w:val="18"/>
                <w:color w:val="auto"/>
              </w:rPr>
            </w:pPr>
          </w:p>
        </w:tc>
        <w:tc>
          <w:tcPr>
            <w:tcW w:w="9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formatted in XBRL ("eXtensible Business Reporting Language"): (i) the Consolidated Balance Sheets as of June 30, 2017</w:t>
            </w:r>
          </w:p>
        </w:tc>
      </w:tr>
      <w:tr>
        <w:trPr>
          <w:trHeight w:val="216"/>
        </w:trPr>
        <w:tc>
          <w:tcPr>
            <w:tcW w:w="1160" w:type="dxa"/>
            <w:vAlign w:val="bottom"/>
          </w:tcPr>
          <w:p>
            <w:pPr>
              <w:spacing w:after="0"/>
              <w:rPr>
                <w:sz w:val="18"/>
                <w:szCs w:val="18"/>
                <w:color w:val="auto"/>
              </w:rPr>
            </w:pPr>
          </w:p>
        </w:tc>
        <w:tc>
          <w:tcPr>
            <w:tcW w:w="9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(unaudited) and December 31, 2016, (ii) the Consolidated Statements of Operations (unaudited) for the three and six months ended</w:t>
            </w:r>
          </w:p>
        </w:tc>
      </w:tr>
      <w:tr>
        <w:trPr>
          <w:trHeight w:val="234"/>
        </w:trPr>
        <w:tc>
          <w:tcPr>
            <w:tcW w:w="1160" w:type="dxa"/>
            <w:vAlign w:val="bottom"/>
          </w:tcPr>
          <w:p>
            <w:pPr>
              <w:spacing w:after="0"/>
              <w:rPr>
                <w:sz w:val="20"/>
                <w:szCs w:val="20"/>
                <w:color w:val="auto"/>
              </w:rPr>
            </w:pPr>
          </w:p>
        </w:tc>
        <w:tc>
          <w:tcPr>
            <w:tcW w:w="9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30, 2017 and 2016, (iii) the Consolidated Statements of Comprehensive Income (Loss) (unaudited) for the three and six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6886575" cy="9950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86575" cy="995045"/>
                    </a:xfrm>
                    <a:prstGeom prst="rect">
                      <a:avLst/>
                    </a:prstGeom>
                    <a:noFill/>
                  </pic:spPr>
                </pic:pic>
              </a:graphicData>
            </a:graphic>
          </wp:anchor>
        </w:drawing>
      </w:r>
    </w:p>
    <w:p>
      <w:pPr>
        <w:ind w:left="1340" w:right="600"/>
        <w:spacing w:after="0" w:line="255" w:lineRule="auto"/>
        <w:rPr>
          <w:sz w:val="20"/>
          <w:szCs w:val="20"/>
          <w:color w:val="auto"/>
        </w:rPr>
      </w:pPr>
      <w:r>
        <w:rPr>
          <w:rFonts w:ascii="Times New Roman" w:cs="Times New Roman" w:eastAsia="Times New Roman" w:hAnsi="Times New Roman"/>
          <w:sz w:val="18"/>
          <w:szCs w:val="18"/>
          <w:color w:val="auto"/>
        </w:rPr>
        <w:t>months ended June 30, 2017 and 2016, (iv) the Consolidated Statements of Changes in Equity (unaudited) for the six months ended June 30, 2017 and 2016, (v) the Consolidated Statements of Cash Flows (unaudited) for the six months ended June 30, 2017 and 2016 and (vi) the Notes to the Consolidated Financial Statements (unaudited).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8" w:lineRule="exact"/>
        <w:rPr>
          <w:sz w:val="20"/>
          <w:szCs w:val="20"/>
          <w:color w:val="auto"/>
        </w:rPr>
      </w:pPr>
    </w:p>
    <w:p>
      <w:pPr>
        <w:ind w:left="660" w:hanging="652"/>
        <w:spacing w:after="0" w:line="282" w:lineRule="auto"/>
        <w:tabs>
          <w:tab w:leader="none" w:pos="6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121" w:lineRule="exact"/>
        <w:rPr>
          <w:sz w:val="20"/>
          <w:szCs w:val="20"/>
          <w:color w:val="auto"/>
        </w:rPr>
      </w:pPr>
    </w:p>
    <w:p>
      <w:pPr>
        <w:ind w:left="660" w:right="20" w:hanging="652"/>
        <w:spacing w:after="0" w:line="261" w:lineRule="auto"/>
        <w:tabs>
          <w:tab w:leader="none" w:pos="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 the Current Report on Form 8-K filed by Safety, Income and Growth, Inc. on July 3, 2017 with the Securities and Exchange Commission. (File No. 001-38122)</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4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iStar Inc.</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45" w:lineRule="exact"/>
        <w:rPr>
          <w:sz w:val="20"/>
          <w:szCs w:val="20"/>
          <w:color w:val="auto"/>
        </w:rPr>
      </w:pPr>
    </w:p>
    <w:p>
      <w:pPr>
        <w:ind w:left="280"/>
        <w:spacing w:after="0"/>
        <w:tabs>
          <w:tab w:leader="none" w:pos="7860" w:val="left"/>
        </w:tabs>
        <w:rPr>
          <w:sz w:val="20"/>
          <w:szCs w:val="20"/>
          <w:color w:val="auto"/>
        </w:rPr>
      </w:pPr>
      <w:r>
        <w:rPr>
          <w:rFonts w:ascii="Times New Roman" w:cs="Times New Roman" w:eastAsia="Times New Roman" w:hAnsi="Times New Roman"/>
          <w:sz w:val="18"/>
          <w:szCs w:val="18"/>
          <w:color w:val="auto"/>
        </w:rPr>
        <w:t>Date: August 4, 2017</w:t>
      </w:r>
      <w:r>
        <w:rPr>
          <w:sz w:val="20"/>
          <w:szCs w:val="20"/>
          <w:color w:val="auto"/>
        </w:rPr>
        <w:tab/>
      </w:r>
      <w:r>
        <w:rPr>
          <w:rFonts w:ascii="Times New Roman" w:cs="Times New Roman" w:eastAsia="Times New Roman" w:hAnsi="Times New Roman"/>
          <w:sz w:val="17"/>
          <w:szCs w:val="17"/>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Jay Sugarman</w:t>
      </w:r>
    </w:p>
    <w:p>
      <w:pPr>
        <w:spacing w:after="0" w:line="27"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i w:val="1"/>
          <w:iCs w:val="1"/>
          <w:color w:val="auto"/>
        </w:rPr>
        <w:t>Chairman of the Board of Directors and Chief</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i w:val="1"/>
          <w:iCs w:val="1"/>
          <w:color w:val="auto"/>
        </w:rPr>
        <w:t>Executive Officer (principal executive officer)</w:t>
      </w:r>
    </w:p>
    <w:p>
      <w:pPr>
        <w:spacing w:after="0" w:line="200" w:lineRule="exact"/>
        <w:rPr>
          <w:sz w:val="20"/>
          <w:szCs w:val="20"/>
          <w:color w:val="auto"/>
        </w:rPr>
      </w:pPr>
    </w:p>
    <w:p>
      <w:pPr>
        <w:spacing w:after="0" w:line="34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iStar Inc.</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45" w:lineRule="exact"/>
        <w:rPr>
          <w:sz w:val="20"/>
          <w:szCs w:val="20"/>
          <w:color w:val="auto"/>
        </w:rPr>
      </w:pPr>
    </w:p>
    <w:p>
      <w:pPr>
        <w:ind w:left="280"/>
        <w:spacing w:after="0"/>
        <w:tabs>
          <w:tab w:leader="none" w:pos="7680" w:val="left"/>
        </w:tabs>
        <w:rPr>
          <w:sz w:val="20"/>
          <w:szCs w:val="20"/>
          <w:color w:val="auto"/>
        </w:rPr>
      </w:pPr>
      <w:r>
        <w:rPr>
          <w:rFonts w:ascii="Times New Roman" w:cs="Times New Roman" w:eastAsia="Times New Roman" w:hAnsi="Times New Roman"/>
          <w:sz w:val="18"/>
          <w:szCs w:val="18"/>
          <w:color w:val="auto"/>
        </w:rPr>
        <w:t>Date: August 4, 2017</w:t>
      </w:r>
      <w:r>
        <w:rPr>
          <w:sz w:val="20"/>
          <w:szCs w:val="20"/>
          <w:color w:val="auto"/>
        </w:rPr>
        <w:tab/>
      </w:r>
      <w:r>
        <w:rPr>
          <w:rFonts w:ascii="Times New Roman" w:cs="Times New Roman" w:eastAsia="Times New Roman" w:hAnsi="Times New Roman"/>
          <w:sz w:val="17"/>
          <w:szCs w:val="17"/>
          <w:color w:val="auto"/>
        </w:rPr>
        <w:t>/s/ GEOFFREY G. JERVIS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Geoffrey G. Jervis</w:t>
      </w:r>
    </w:p>
    <w:p>
      <w:pPr>
        <w:spacing w:after="0" w:line="27"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i w:val="1"/>
          <w:iCs w:val="1"/>
          <w:color w:val="auto"/>
        </w:rPr>
        <w:t>Chief Operating Officer and Chief Financial Officer (principal financial</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i w:val="1"/>
          <w:iCs w:val="1"/>
          <w:color w:val="auto"/>
        </w:rPr>
        <w:t>and accounting officer)</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118" w:right="25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Sugarman, certify that:</w:t>
      </w:r>
    </w:p>
    <w:p>
      <w:pPr>
        <w:spacing w:after="0" w:line="171" w:lineRule="exact"/>
        <w:rPr>
          <w:sz w:val="20"/>
          <w:szCs w:val="20"/>
          <w:color w:val="auto"/>
        </w:rPr>
      </w:pPr>
    </w:p>
    <w:p>
      <w:pPr>
        <w:ind w:left="520" w:hanging="188"/>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iStar Inc.;</w:t>
      </w:r>
    </w:p>
    <w:p>
      <w:pPr>
        <w:spacing w:after="0" w:line="171" w:lineRule="exact"/>
        <w:rPr>
          <w:rFonts w:ascii="Times New Roman" w:cs="Times New Roman" w:eastAsia="Times New Roman" w:hAnsi="Times New Roman"/>
          <w:sz w:val="18"/>
          <w:szCs w:val="18"/>
          <w:color w:val="auto"/>
        </w:rPr>
      </w:pPr>
    </w:p>
    <w:p>
      <w:pPr>
        <w:ind w:firstLine="33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332"/>
        <w:spacing w:after="0" w:line="282" w:lineRule="auto"/>
        <w:tabs>
          <w:tab w:leader="none" w:pos="52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332"/>
        <w:spacing w:after="0" w:line="266" w:lineRule="auto"/>
        <w:tabs>
          <w:tab w:leader="none" w:pos="5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2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5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340" w:firstLine="316"/>
        <w:spacing w:after="0" w:line="282" w:lineRule="auto"/>
        <w:tabs>
          <w:tab w:leader="none" w:pos="95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3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firstLine="332"/>
        <w:spacing w:after="0" w:line="282" w:lineRule="auto"/>
        <w:tabs>
          <w:tab w:leader="none" w:pos="51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340" w:firstLine="316"/>
        <w:spacing w:after="0" w:line="282" w:lineRule="auto"/>
        <w:tabs>
          <w:tab w:leader="none" w:pos="91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340" w:right="20" w:firstLine="316"/>
        <w:spacing w:after="0" w:line="282" w:lineRule="auto"/>
        <w:tabs>
          <w:tab w:leader="none" w:pos="92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2017</w:t>
            </w:r>
          </w:p>
        </w:tc>
        <w:tc>
          <w:tcPr>
            <w:tcW w:w="768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By:    /s/ JAY SUGARMAN</w:t>
            </w: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Jay Sugarman</w:t>
            </w:r>
          </w:p>
        </w:tc>
      </w:tr>
      <w:tr>
        <w:trPr>
          <w:trHeight w:val="270"/>
        </w:trPr>
        <w:tc>
          <w:tcPr>
            <w:tcW w:w="37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ectPr>
          <w:pgSz w:w="11900" w:h="16838" w:orient="portrait"/>
          <w:cols w:equalWidth="0" w:num="1">
            <w:col w:w="11420"/>
          </w:cols>
          <w:pgMar w:left="240" w:top="333" w:right="2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Geoffrey G. Jervis, certify that:</w:t>
      </w:r>
    </w:p>
    <w:p>
      <w:pPr>
        <w:spacing w:after="0" w:line="171" w:lineRule="exact"/>
        <w:rPr>
          <w:sz w:val="20"/>
          <w:szCs w:val="20"/>
          <w:color w:val="auto"/>
        </w:rPr>
      </w:pPr>
    </w:p>
    <w:p>
      <w:pPr>
        <w:ind w:left="520" w:hanging="188"/>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iStar Inc.;</w:t>
      </w:r>
    </w:p>
    <w:p>
      <w:pPr>
        <w:spacing w:after="0" w:line="171" w:lineRule="exact"/>
        <w:rPr>
          <w:rFonts w:ascii="Times New Roman" w:cs="Times New Roman" w:eastAsia="Times New Roman" w:hAnsi="Times New Roman"/>
          <w:sz w:val="18"/>
          <w:szCs w:val="18"/>
          <w:color w:val="auto"/>
        </w:rPr>
      </w:pPr>
    </w:p>
    <w:p>
      <w:pPr>
        <w:ind w:firstLine="33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332"/>
        <w:spacing w:after="0" w:line="282" w:lineRule="auto"/>
        <w:tabs>
          <w:tab w:leader="none" w:pos="52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332"/>
        <w:spacing w:after="0" w:line="266" w:lineRule="auto"/>
        <w:tabs>
          <w:tab w:leader="none" w:pos="5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2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5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340" w:firstLine="316"/>
        <w:spacing w:after="0" w:line="282" w:lineRule="auto"/>
        <w:tabs>
          <w:tab w:leader="none" w:pos="95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3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firstLine="332"/>
        <w:spacing w:after="0" w:line="282" w:lineRule="auto"/>
        <w:tabs>
          <w:tab w:leader="none" w:pos="5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340" w:firstLine="316"/>
        <w:spacing w:after="0" w:line="282" w:lineRule="auto"/>
        <w:tabs>
          <w:tab w:leader="none" w:pos="91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340" w:right="20" w:firstLine="316"/>
        <w:spacing w:after="0" w:line="282" w:lineRule="auto"/>
        <w:tabs>
          <w:tab w:leader="none" w:pos="92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GEOFFREY G. JERVIS</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2017</w:t>
            </w:r>
          </w:p>
        </w:tc>
        <w:tc>
          <w:tcPr>
            <w:tcW w:w="32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Geoffrey G. Jervis</w:t>
            </w:r>
          </w:p>
        </w:tc>
        <w:tc>
          <w:tcPr>
            <w:tcW w:w="0" w:type="dxa"/>
            <w:vAlign w:val="bottom"/>
          </w:tcPr>
          <w:p>
            <w:pPr>
              <w:spacing w:after="0"/>
              <w:rPr>
                <w:sz w:val="1"/>
                <w:szCs w:val="1"/>
                <w:color w:val="auto"/>
              </w:rPr>
            </w:pPr>
          </w:p>
        </w:tc>
      </w:tr>
      <w:tr>
        <w:trPr>
          <w:trHeight w:val="250"/>
        </w:trPr>
        <w:tc>
          <w:tcPr>
            <w:tcW w:w="37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and</w:t>
            </w:r>
          </w:p>
        </w:tc>
        <w:tc>
          <w:tcPr>
            <w:tcW w:w="0" w:type="dxa"/>
            <w:vAlign w:val="bottom"/>
          </w:tcPr>
          <w:p>
            <w:pPr>
              <w:spacing w:after="0"/>
              <w:rPr>
                <w:sz w:val="1"/>
                <w:szCs w:val="1"/>
                <w:color w:val="auto"/>
              </w:rPr>
            </w:pPr>
          </w:p>
        </w:tc>
      </w:tr>
      <w:tr>
        <w:trPr>
          <w:trHeight w:val="128"/>
        </w:trPr>
        <w:tc>
          <w:tcPr>
            <w:tcW w:w="37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4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98" w:right="2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undersigned, the Chief Executive Officer of iStar Inc. (the "Company"), hereby certifies on the date hereof, pursuant to 18 U.S.C. 1350, as adopted pursuant to Section 906 of The Sarbanes-Oxley Act of 2002, that the Quarterly Report on Form 10-Q for the quarter ended June 30, 2017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2017</w:t>
            </w:r>
          </w:p>
        </w:tc>
        <w:tc>
          <w:tcPr>
            <w:tcW w:w="768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By:    /s/ JAY SUGARMAN</w:t>
            </w: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Jay Sugarman</w:t>
            </w:r>
          </w:p>
        </w:tc>
      </w:tr>
      <w:tr>
        <w:trPr>
          <w:trHeight w:val="270"/>
        </w:trPr>
        <w:tc>
          <w:tcPr>
            <w:tcW w:w="37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ectPr>
          <w:pgSz w:w="11900" w:h="16838" w:orient="portrait"/>
          <w:cols w:equalWidth="0" w:num="1">
            <w:col w:w="11420"/>
          </w:cols>
          <w:pgMar w:left="240" w:top="333" w:right="2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undersigned, the Chief Financial Officer of iStar Inc. (the "Company"), hereby certifies on the date hereof, pursuant to 18 U.S.C. 1350, as adopted pursuant to Section 906 of The Sarbanes-Oxley Act of 2002, that the Quarterly Report on Form 10-Q for the quarter ended June 30, 2017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32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August 4, 2017</w:t>
            </w:r>
          </w:p>
        </w:tc>
        <w:tc>
          <w:tcPr>
            <w:tcW w:w="2560" w:type="dxa"/>
            <w:vAlign w:val="bottom"/>
            <w:vMerge w:val="restart"/>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GEOFFREY G. JERVIS</w:t>
            </w:r>
          </w:p>
        </w:tc>
        <w:tc>
          <w:tcPr>
            <w:tcW w:w="0" w:type="dxa"/>
            <w:vAlign w:val="bottom"/>
          </w:tcPr>
          <w:p>
            <w:pPr>
              <w:spacing w:after="0"/>
              <w:rPr>
                <w:sz w:val="1"/>
                <w:szCs w:val="1"/>
                <w:color w:val="auto"/>
              </w:rPr>
            </w:pPr>
          </w:p>
        </w:tc>
      </w:tr>
      <w:tr>
        <w:trPr>
          <w:trHeight w:val="108"/>
        </w:trPr>
        <w:tc>
          <w:tcPr>
            <w:tcW w:w="480" w:type="dxa"/>
            <w:vAlign w:val="bottom"/>
            <w:vMerge w:val="continue"/>
          </w:tcPr>
          <w:p>
            <w:pPr>
              <w:spacing w:after="0"/>
              <w:rPr>
                <w:sz w:val="9"/>
                <w:szCs w:val="9"/>
                <w:color w:val="auto"/>
              </w:rPr>
            </w:pPr>
          </w:p>
        </w:tc>
        <w:tc>
          <w:tcPr>
            <w:tcW w:w="3220" w:type="dxa"/>
            <w:vAlign w:val="bottom"/>
            <w:vMerge w:val="continue"/>
          </w:tcPr>
          <w:p>
            <w:pPr>
              <w:spacing w:after="0"/>
              <w:rPr>
                <w:sz w:val="9"/>
                <w:szCs w:val="9"/>
                <w:color w:val="auto"/>
              </w:rPr>
            </w:pPr>
          </w:p>
        </w:tc>
        <w:tc>
          <w:tcPr>
            <w:tcW w:w="256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3220" w:type="dxa"/>
            <w:vAlign w:val="bottom"/>
            <w:vMerge w:val="continue"/>
          </w:tcPr>
          <w:p>
            <w:pPr>
              <w:spacing w:after="0"/>
              <w:rPr>
                <w:sz w:val="9"/>
                <w:szCs w:val="9"/>
                <w:color w:val="auto"/>
              </w:rPr>
            </w:pPr>
          </w:p>
        </w:tc>
        <w:tc>
          <w:tcPr>
            <w:tcW w:w="2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Geoffrey G. Jervis</w:t>
            </w: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and</w:t>
            </w:r>
          </w:p>
        </w:tc>
        <w:tc>
          <w:tcPr>
            <w:tcW w:w="0" w:type="dxa"/>
            <w:vAlign w:val="bottom"/>
          </w:tcPr>
          <w:p>
            <w:pPr>
              <w:spacing w:after="0"/>
              <w:rPr>
                <w:sz w:val="1"/>
                <w:szCs w:val="1"/>
                <w:color w:val="auto"/>
              </w:rPr>
            </w:pPr>
          </w:p>
        </w:tc>
      </w:tr>
      <w:tr>
        <w:trPr>
          <w:trHeight w:val="128"/>
        </w:trPr>
        <w:tc>
          <w:tcPr>
            <w:tcW w:w="48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4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2019-12-29T04:51:07Z</dcterms:created>
  <dcterms:modified xsi:type="dcterms:W3CDTF">2019-12-29T04:51:07Z</dcterms:modified>
</cp:coreProperties>
</file>