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1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1880" w:right="2580" w:hanging="1048"/>
        <w:spacing w:after="0" w:line="256" w:lineRule="auto"/>
        <w:tabs>
          <w:tab w:leader="none" w:pos="18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1880" w:right="2580" w:hanging="1008"/>
        <w:spacing w:after="0" w:line="256" w:lineRule="auto"/>
        <w:tabs>
          <w:tab w:leader="none" w:pos="18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25" w:right="239" w:bottom="1440" w:gutter="0" w:footer="0" w:header="0"/>
        </w:sectPr>
      </w:pPr>
    </w:p>
    <w:p>
      <w:pPr>
        <w:spacing w:after="0" w:line="10"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220" w:space="620"/>
            <w:col w:w="4580"/>
          </w:cols>
          <w:pgMar w:left="240" w:top="225"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Commission File No. 1-15371</w:t>
      </w:r>
    </w:p>
    <w:p>
      <w:pPr>
        <w:spacing w:after="0" w:line="144" w:lineRule="exact"/>
        <w:rPr>
          <w:sz w:val="24"/>
          <w:szCs w:val="24"/>
          <w:color w:val="auto"/>
        </w:rPr>
      </w:pPr>
    </w:p>
    <w:p>
      <w:pPr>
        <w:ind w:left="2880"/>
        <w:spacing w:after="0"/>
        <w:rPr>
          <w:sz w:val="20"/>
          <w:szCs w:val="20"/>
          <w:color w:val="auto"/>
        </w:rPr>
      </w:pPr>
      <w:r>
        <w:rPr>
          <w:rFonts w:ascii="Arial" w:cs="Arial" w:eastAsia="Arial" w:hAnsi="Arial"/>
          <w:sz w:val="12"/>
          <w:szCs w:val="12"/>
          <w:color w:val="auto"/>
        </w:rPr>
        <w:t>_______________________________________________________________________________</w:t>
      </w:r>
    </w:p>
    <w:p>
      <w:pPr>
        <w:sectPr>
          <w:pgSz w:w="11900" w:h="16838" w:orient="portrait"/>
          <w:cols w:equalWidth="0" w:num="1">
            <w:col w:w="11420"/>
          </w:cols>
          <w:pgMar w:left="240" w:top="225" w:right="239" w:bottom="1440" w:gutter="0" w:footer="0" w:header="0"/>
          <w:type w:val="continuous"/>
        </w:sectPr>
      </w:pPr>
    </w:p>
    <w:p>
      <w:pPr>
        <w:spacing w:after="0" w:line="150" w:lineRule="exact"/>
        <w:rPr>
          <w:sz w:val="24"/>
          <w:szCs w:val="24"/>
          <w:color w:val="auto"/>
        </w:rPr>
      </w:pPr>
    </w:p>
    <w:tbl>
      <w:tblPr>
        <w:tblLayout w:type="fixed"/>
        <w:tblInd w:w="1220" w:type="dxa"/>
        <w:tblCellMar>
          <w:top w:w="0" w:type="dxa"/>
          <w:left w:w="0" w:type="dxa"/>
          <w:bottom w:w="0" w:type="dxa"/>
          <w:right w:w="0" w:type="dxa"/>
        </w:tblCellMar>
      </w:tblPr>
      <w:tr>
        <w:trPr>
          <w:trHeight w:val="391"/>
        </w:trPr>
        <w:tc>
          <w:tcPr>
            <w:tcW w:w="6500" w:type="dxa"/>
            <w:vAlign w:val="bottom"/>
          </w:tcPr>
          <w:p>
            <w:pPr>
              <w:jc w:val="center"/>
              <w:ind w:left="2381"/>
              <w:spacing w:after="0"/>
              <w:rPr>
                <w:sz w:val="20"/>
                <w:szCs w:val="20"/>
                <w:color w:val="auto"/>
              </w:rPr>
            </w:pPr>
            <w:r>
              <w:rPr>
                <w:rFonts w:ascii="Arial" w:cs="Arial" w:eastAsia="Arial" w:hAnsi="Arial"/>
                <w:sz w:val="32"/>
                <w:szCs w:val="32"/>
                <w:b w:val="1"/>
                <w:bCs w:val="1"/>
                <w:color w:val="auto"/>
              </w:rPr>
              <w:t>iSTAR FINANCIAL INC.</w:t>
            </w:r>
          </w:p>
        </w:tc>
        <w:tc>
          <w:tcPr>
            <w:tcW w:w="1800" w:type="dxa"/>
            <w:vAlign w:val="bottom"/>
          </w:tcPr>
          <w:p>
            <w:pPr>
              <w:spacing w:after="0"/>
              <w:rPr>
                <w:sz w:val="24"/>
                <w:szCs w:val="24"/>
                <w:color w:val="auto"/>
              </w:rPr>
            </w:pPr>
          </w:p>
        </w:tc>
      </w:tr>
      <w:tr>
        <w:trPr>
          <w:trHeight w:val="230"/>
        </w:trPr>
        <w:tc>
          <w:tcPr>
            <w:tcW w:w="6500" w:type="dxa"/>
            <w:vAlign w:val="bottom"/>
          </w:tcPr>
          <w:p>
            <w:pPr>
              <w:jc w:val="center"/>
              <w:ind w:left="2401"/>
              <w:spacing w:after="0"/>
              <w:rPr>
                <w:sz w:val="20"/>
                <w:szCs w:val="20"/>
                <w:color w:val="auto"/>
              </w:rPr>
            </w:pPr>
            <w:r>
              <w:rPr>
                <w:rFonts w:ascii="Arial" w:cs="Arial" w:eastAsia="Arial" w:hAnsi="Arial"/>
                <w:sz w:val="18"/>
                <w:szCs w:val="18"/>
                <w:color w:val="auto"/>
                <w:w w:val="90"/>
              </w:rPr>
              <w:t>(Exact name of registrant as specified in its charter)</w:t>
            </w:r>
          </w:p>
        </w:tc>
        <w:tc>
          <w:tcPr>
            <w:tcW w:w="1800" w:type="dxa"/>
            <w:vAlign w:val="bottom"/>
          </w:tcPr>
          <w:p>
            <w:pPr>
              <w:spacing w:after="0"/>
              <w:rPr>
                <w:sz w:val="20"/>
                <w:szCs w:val="20"/>
                <w:color w:val="auto"/>
              </w:rPr>
            </w:pPr>
          </w:p>
        </w:tc>
      </w:tr>
      <w:tr>
        <w:trPr>
          <w:trHeight w:val="499"/>
        </w:trPr>
        <w:tc>
          <w:tcPr>
            <w:tcW w:w="6500" w:type="dxa"/>
            <w:vAlign w:val="bottom"/>
          </w:tcPr>
          <w:p>
            <w:pPr>
              <w:jc w:val="center"/>
              <w:ind w:right="3341"/>
              <w:spacing w:after="0"/>
              <w:rPr>
                <w:sz w:val="20"/>
                <w:szCs w:val="20"/>
                <w:color w:val="auto"/>
              </w:rPr>
            </w:pPr>
            <w:r>
              <w:rPr>
                <w:rFonts w:ascii="Arial" w:cs="Arial" w:eastAsia="Arial" w:hAnsi="Arial"/>
                <w:sz w:val="18"/>
                <w:szCs w:val="18"/>
                <w:b w:val="1"/>
                <w:bCs w:val="1"/>
                <w:color w:val="auto"/>
                <w:w w:val="98"/>
              </w:rPr>
              <w:t>Maryland</w:t>
            </w:r>
          </w:p>
        </w:tc>
        <w:tc>
          <w:tcPr>
            <w:tcW w:w="1800" w:type="dxa"/>
            <w:vAlign w:val="bottom"/>
          </w:tcPr>
          <w:p>
            <w:pPr>
              <w:jc w:val="right"/>
              <w:ind w:right="310"/>
              <w:spacing w:after="0"/>
              <w:rPr>
                <w:sz w:val="20"/>
                <w:szCs w:val="20"/>
                <w:color w:val="auto"/>
              </w:rPr>
            </w:pPr>
            <w:r>
              <w:rPr>
                <w:rFonts w:ascii="Arial" w:cs="Arial" w:eastAsia="Arial" w:hAnsi="Arial"/>
                <w:sz w:val="18"/>
                <w:szCs w:val="18"/>
                <w:b w:val="1"/>
                <w:bCs w:val="1"/>
                <w:color w:val="auto"/>
              </w:rPr>
              <w:t>95-6881527</w:t>
            </w:r>
          </w:p>
        </w:tc>
      </w:tr>
      <w:tr>
        <w:trPr>
          <w:trHeight w:val="216"/>
        </w:trPr>
        <w:tc>
          <w:tcPr>
            <w:tcW w:w="6500" w:type="dxa"/>
            <w:vAlign w:val="bottom"/>
          </w:tcPr>
          <w:p>
            <w:pPr>
              <w:jc w:val="center"/>
              <w:ind w:right="3341"/>
              <w:spacing w:after="0"/>
              <w:rPr>
                <w:sz w:val="20"/>
                <w:szCs w:val="20"/>
                <w:color w:val="auto"/>
              </w:rPr>
            </w:pPr>
            <w:r>
              <w:rPr>
                <w:rFonts w:ascii="Arial" w:cs="Arial" w:eastAsia="Arial" w:hAnsi="Arial"/>
                <w:sz w:val="18"/>
                <w:szCs w:val="18"/>
                <w:color w:val="auto"/>
                <w:w w:val="93"/>
              </w:rPr>
              <w:t>(State or other jurisdiction of</w:t>
            </w:r>
          </w:p>
        </w:tc>
        <w:tc>
          <w:tcPr>
            <w:tcW w:w="1800" w:type="dxa"/>
            <w:vAlign w:val="bottom"/>
          </w:tcPr>
          <w:p>
            <w:pPr>
              <w:jc w:val="center"/>
              <w:ind w:left="50"/>
              <w:spacing w:after="0"/>
              <w:rPr>
                <w:sz w:val="20"/>
                <w:szCs w:val="20"/>
                <w:color w:val="auto"/>
              </w:rPr>
            </w:pPr>
            <w:r>
              <w:rPr>
                <w:rFonts w:ascii="Arial" w:cs="Arial" w:eastAsia="Arial" w:hAnsi="Arial"/>
                <w:sz w:val="18"/>
                <w:szCs w:val="18"/>
                <w:color w:val="auto"/>
                <w:w w:val="92"/>
              </w:rPr>
              <w:t>(I.R.S. Employer</w:t>
            </w:r>
          </w:p>
        </w:tc>
      </w:tr>
      <w:tr>
        <w:trPr>
          <w:trHeight w:val="230"/>
        </w:trPr>
        <w:tc>
          <w:tcPr>
            <w:tcW w:w="6500" w:type="dxa"/>
            <w:vAlign w:val="bottom"/>
          </w:tcPr>
          <w:p>
            <w:pPr>
              <w:jc w:val="center"/>
              <w:ind w:right="3341"/>
              <w:spacing w:after="0"/>
              <w:rPr>
                <w:sz w:val="20"/>
                <w:szCs w:val="20"/>
                <w:color w:val="auto"/>
              </w:rPr>
            </w:pPr>
            <w:r>
              <w:rPr>
                <w:rFonts w:ascii="Arial" w:cs="Arial" w:eastAsia="Arial" w:hAnsi="Arial"/>
                <w:sz w:val="18"/>
                <w:szCs w:val="18"/>
                <w:color w:val="auto"/>
                <w:w w:val="93"/>
              </w:rPr>
              <w:t>incorporation or organization)</w:t>
            </w:r>
          </w:p>
        </w:tc>
        <w:tc>
          <w:tcPr>
            <w:tcW w:w="1800" w:type="dxa"/>
            <w:vAlign w:val="bottom"/>
          </w:tcPr>
          <w:p>
            <w:pPr>
              <w:jc w:val="center"/>
              <w:ind w:left="50"/>
              <w:spacing w:after="0"/>
              <w:rPr>
                <w:sz w:val="20"/>
                <w:szCs w:val="20"/>
                <w:color w:val="auto"/>
              </w:rPr>
            </w:pPr>
            <w:r>
              <w:rPr>
                <w:rFonts w:ascii="Arial" w:cs="Arial" w:eastAsia="Arial" w:hAnsi="Arial"/>
                <w:sz w:val="18"/>
                <w:szCs w:val="18"/>
                <w:color w:val="auto"/>
                <w:w w:val="94"/>
              </w:rPr>
              <w:t>Identification Number)</w:t>
            </w:r>
          </w:p>
        </w:tc>
      </w:tr>
      <w:tr>
        <w:trPr>
          <w:trHeight w:val="270"/>
        </w:trPr>
        <w:tc>
          <w:tcPr>
            <w:tcW w:w="6500" w:type="dxa"/>
            <w:vAlign w:val="bottom"/>
          </w:tcPr>
          <w:p>
            <w:pPr>
              <w:jc w:val="center"/>
              <w:ind w:right="3341"/>
              <w:spacing w:after="0"/>
              <w:rPr>
                <w:sz w:val="20"/>
                <w:szCs w:val="20"/>
                <w:color w:val="auto"/>
              </w:rPr>
            </w:pPr>
            <w:r>
              <w:rPr>
                <w:rFonts w:ascii="Arial" w:cs="Arial" w:eastAsia="Arial" w:hAnsi="Arial"/>
                <w:sz w:val="18"/>
                <w:szCs w:val="18"/>
                <w:b w:val="1"/>
                <w:bCs w:val="1"/>
                <w:color w:val="auto"/>
                <w:w w:val="89"/>
              </w:rPr>
              <w:t>1114 Avenue of the Americas, 39</w:t>
            </w:r>
            <w:r>
              <w:rPr>
                <w:rFonts w:ascii="Arial" w:cs="Arial" w:eastAsia="Arial" w:hAnsi="Arial"/>
                <w:sz w:val="14"/>
                <w:szCs w:val="14"/>
                <w:b w:val="1"/>
                <w:bCs w:val="1"/>
                <w:color w:val="auto"/>
                <w:w w:val="89"/>
              </w:rPr>
              <w:t>th</w:t>
            </w:r>
            <w:r>
              <w:rPr>
                <w:rFonts w:ascii="Arial" w:cs="Arial" w:eastAsia="Arial" w:hAnsi="Arial"/>
                <w:sz w:val="18"/>
                <w:szCs w:val="18"/>
                <w:b w:val="1"/>
                <w:bCs w:val="1"/>
                <w:color w:val="auto"/>
                <w:w w:val="89"/>
              </w:rPr>
              <w:t xml:space="preserve"> Floor</w:t>
            </w:r>
          </w:p>
        </w:tc>
        <w:tc>
          <w:tcPr>
            <w:tcW w:w="1800" w:type="dxa"/>
            <w:vAlign w:val="bottom"/>
          </w:tcPr>
          <w:p>
            <w:pPr>
              <w:spacing w:after="0"/>
              <w:rPr>
                <w:sz w:val="23"/>
                <w:szCs w:val="23"/>
                <w:color w:val="auto"/>
              </w:rPr>
            </w:pPr>
          </w:p>
        </w:tc>
      </w:tr>
      <w:tr>
        <w:trPr>
          <w:trHeight w:val="256"/>
        </w:trPr>
        <w:tc>
          <w:tcPr>
            <w:tcW w:w="6500" w:type="dxa"/>
            <w:vAlign w:val="bottom"/>
          </w:tcPr>
          <w:p>
            <w:pPr>
              <w:jc w:val="center"/>
              <w:ind w:right="3341"/>
              <w:spacing w:after="0"/>
              <w:rPr>
                <w:sz w:val="20"/>
                <w:szCs w:val="20"/>
                <w:color w:val="auto"/>
              </w:rPr>
            </w:pPr>
            <w:r>
              <w:rPr>
                <w:rFonts w:ascii="Arial" w:cs="Arial" w:eastAsia="Arial" w:hAnsi="Arial"/>
                <w:sz w:val="18"/>
                <w:szCs w:val="18"/>
                <w:b w:val="1"/>
                <w:bCs w:val="1"/>
                <w:color w:val="auto"/>
                <w:w w:val="93"/>
              </w:rPr>
              <w:t>New York, NY</w:t>
            </w:r>
          </w:p>
        </w:tc>
        <w:tc>
          <w:tcPr>
            <w:tcW w:w="1800" w:type="dxa"/>
            <w:vAlign w:val="bottom"/>
          </w:tcPr>
          <w:p>
            <w:pPr>
              <w:jc w:val="right"/>
              <w:ind w:right="510"/>
              <w:spacing w:after="0"/>
              <w:rPr>
                <w:sz w:val="20"/>
                <w:szCs w:val="20"/>
                <w:color w:val="auto"/>
              </w:rPr>
            </w:pPr>
            <w:r>
              <w:rPr>
                <w:rFonts w:ascii="Arial" w:cs="Arial" w:eastAsia="Arial" w:hAnsi="Arial"/>
                <w:sz w:val="18"/>
                <w:szCs w:val="18"/>
                <w:b w:val="1"/>
                <w:bCs w:val="1"/>
                <w:color w:val="auto"/>
              </w:rPr>
              <w:t>10036</w:t>
            </w:r>
          </w:p>
        </w:tc>
      </w:tr>
      <w:tr>
        <w:trPr>
          <w:trHeight w:val="230"/>
        </w:trPr>
        <w:tc>
          <w:tcPr>
            <w:tcW w:w="6500" w:type="dxa"/>
            <w:vAlign w:val="bottom"/>
          </w:tcPr>
          <w:p>
            <w:pPr>
              <w:jc w:val="center"/>
              <w:ind w:right="3341"/>
              <w:spacing w:after="0"/>
              <w:rPr>
                <w:sz w:val="20"/>
                <w:szCs w:val="20"/>
                <w:color w:val="auto"/>
              </w:rPr>
            </w:pPr>
            <w:r>
              <w:rPr>
                <w:rFonts w:ascii="Arial" w:cs="Arial" w:eastAsia="Arial" w:hAnsi="Arial"/>
                <w:sz w:val="18"/>
                <w:szCs w:val="18"/>
                <w:color w:val="auto"/>
                <w:w w:val="92"/>
              </w:rPr>
              <w:t>(Address of principal executive offices)</w:t>
            </w: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93"/>
              </w:rPr>
              <w:t>(Zip code)</w:t>
            </w: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63"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22"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type w:val="continuous"/>
        </w:sectPr>
      </w:pPr>
    </w:p>
    <w:p>
      <w:pPr>
        <w:spacing w:after="0" w:line="259"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68" w:lineRule="exact"/>
        <w:rPr>
          <w:sz w:val="24"/>
          <w:szCs w:val="24"/>
          <w:color w:val="auto"/>
        </w:rPr>
      </w:pPr>
    </w:p>
    <w:p>
      <w:pPr>
        <w:sectPr>
          <w:pgSz w:w="11900" w:h="16838" w:orient="portrait"/>
          <w:cols w:equalWidth="0" w:num="4">
            <w:col w:w="2680" w:space="720"/>
            <w:col w:w="1820" w:space="720"/>
            <w:col w:w="2120" w:space="720"/>
            <w:col w:w="2640"/>
          </w:cols>
          <w:pgMar w:left="240" w:top="225" w:right="239" w:bottom="1440" w:gutter="0" w:footer="0" w:header="0"/>
          <w:type w:val="continuous"/>
        </w:sectPr>
      </w:pPr>
    </w:p>
    <w:p>
      <w:pPr>
        <w:ind w:left="6260"/>
        <w:spacing w:after="0"/>
        <w:rPr>
          <w:sz w:val="20"/>
          <w:szCs w:val="20"/>
          <w:color w:val="auto"/>
        </w:rPr>
      </w:pPr>
      <w:r>
        <w:rPr>
          <w:rFonts w:ascii="Arial" w:cs="Arial" w:eastAsia="Arial" w:hAnsi="Arial"/>
          <w:sz w:val="14"/>
          <w:szCs w:val="14"/>
          <w:color w:val="auto"/>
        </w:rPr>
        <w:t>(Do not check if a</w:t>
      </w:r>
    </w:p>
    <w:p>
      <w:pPr>
        <w:spacing w:after="0" w:line="21" w:lineRule="exact"/>
        <w:rPr>
          <w:sz w:val="24"/>
          <w:szCs w:val="24"/>
          <w:color w:val="auto"/>
        </w:rPr>
      </w:pPr>
    </w:p>
    <w:p>
      <w:pPr>
        <w:ind w:left="5960"/>
        <w:spacing w:after="0"/>
        <w:rPr>
          <w:sz w:val="20"/>
          <w:szCs w:val="20"/>
          <w:color w:val="auto"/>
        </w:rPr>
      </w:pPr>
      <w:r>
        <w:rPr>
          <w:rFonts w:ascii="Arial" w:cs="Arial" w:eastAsia="Arial" w:hAnsi="Arial"/>
          <w:sz w:val="13"/>
          <w:szCs w:val="13"/>
          <w:color w:val="auto"/>
        </w:rPr>
        <w:t>smaller reporting company)</w:t>
      </w:r>
    </w:p>
    <w:p>
      <w:pPr>
        <w:sectPr>
          <w:pgSz w:w="11900" w:h="16838" w:orient="portrait"/>
          <w:cols w:equalWidth="0" w:num="1">
            <w:col w:w="11420"/>
          </w:cols>
          <w:pgMar w:left="240" w:top="225" w:right="239" w:bottom="1440" w:gutter="0" w:footer="0" w:header="0"/>
          <w:type w:val="continuous"/>
        </w:sectPr>
      </w:pPr>
    </w:p>
    <w:p>
      <w:pPr>
        <w:spacing w:after="0" w:line="15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sectPr>
          <w:pgSz w:w="11900" w:h="16838" w:orient="portrait"/>
          <w:cols w:equalWidth="0" w:num="2">
            <w:col w:w="8300" w:space="180"/>
            <w:col w:w="2940"/>
          </w:cols>
          <w:pgMar w:left="240" w:top="225" w:right="239" w:bottom="1440" w:gutter="0" w:footer="0" w:header="0"/>
          <w:type w:val="continuous"/>
        </w:sectPr>
      </w:pPr>
    </w:p>
    <w:p>
      <w:pPr>
        <w:spacing w:after="0" w:line="102"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As of November 2, 2012, there were 83,647,510 shares of common stock, $0.001 par value per share, of iStar Financial Inc.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77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38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iStar Financial Inc.</w:t>
      </w:r>
    </w:p>
    <w:p>
      <w:pPr>
        <w:spacing w:after="0" w:line="279"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Index to Form 10-Q</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196"/>
        </w:trPr>
        <w:tc>
          <w:tcPr>
            <w:tcW w:w="500" w:type="dxa"/>
            <w:vAlign w:val="bottom"/>
            <w:tcBorders>
              <w:bottom w:val="single" w:sz="8" w:color="0000FF"/>
            </w:tcBorders>
          </w:tcPr>
          <w:p>
            <w:pPr>
              <w:spacing w:after="0" w:line="170" w:lineRule="exact"/>
              <w:rPr>
                <w:rFonts w:ascii="Arial" w:cs="Arial" w:eastAsia="Arial" w:hAnsi="Arial"/>
                <w:sz w:val="18"/>
                <w:szCs w:val="18"/>
                <w:b w:val="1"/>
                <w:bCs w:val="1"/>
                <w:color w:val="0000FF"/>
                <w:w w:val="95"/>
              </w:rPr>
            </w:pPr>
            <w:hyperlink w:anchor="page2">
              <w:r>
                <w:rPr>
                  <w:rFonts w:ascii="Arial" w:cs="Arial" w:eastAsia="Arial" w:hAnsi="Arial"/>
                  <w:sz w:val="18"/>
                  <w:szCs w:val="18"/>
                  <w:b w:val="1"/>
                  <w:bCs w:val="1"/>
                  <w:color w:val="0000FF"/>
                  <w:w w:val="95"/>
                </w:rPr>
                <w:t>Part I.</w:t>
              </w:r>
            </w:hyperlink>
          </w:p>
        </w:tc>
        <w:tc>
          <w:tcPr>
            <w:tcW w:w="660" w:type="dxa"/>
            <w:vAlign w:val="bottom"/>
            <w:gridSpan w:val="3"/>
          </w:tcPr>
          <w:p>
            <w:pPr>
              <w:spacing w:after="0"/>
              <w:rPr>
                <w:sz w:val="17"/>
                <w:szCs w:val="17"/>
                <w:color w:val="auto"/>
              </w:rPr>
            </w:pPr>
          </w:p>
        </w:tc>
        <w:tc>
          <w:tcPr>
            <w:tcW w:w="4000" w:type="dxa"/>
            <w:vAlign w:val="bottom"/>
            <w:tcBorders>
              <w:bottom w:val="single" w:sz="8" w:color="0000FF"/>
            </w:tcBorders>
            <w:gridSpan w:val="10"/>
          </w:tcPr>
          <w:p>
            <w:pPr>
              <w:spacing w:after="0" w:line="170" w:lineRule="exact"/>
              <w:rPr>
                <w:rFonts w:ascii="Arial" w:cs="Arial" w:eastAsia="Arial" w:hAnsi="Arial"/>
                <w:sz w:val="18"/>
                <w:szCs w:val="18"/>
                <w:color w:val="0000FF"/>
              </w:rPr>
            </w:pPr>
            <w:hyperlink w:anchor="page2">
              <w:r>
                <w:rPr>
                  <w:rFonts w:ascii="Arial" w:cs="Arial" w:eastAsia="Arial" w:hAnsi="Arial"/>
                  <w:sz w:val="18"/>
                  <w:szCs w:val="18"/>
                  <w:color w:val="0000FF"/>
                </w:rPr>
                <w:t>Consolidated Financial Information</w:t>
              </w:r>
            </w:hyperlink>
          </w:p>
        </w:tc>
        <w:tc>
          <w:tcPr>
            <w:tcW w:w="5540" w:type="dxa"/>
            <w:vAlign w:val="bottom"/>
            <w:gridSpan w:val="8"/>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2</w:t>
              </w:r>
            </w:hyperlink>
          </w:p>
        </w:tc>
        <w:tc>
          <w:tcPr>
            <w:tcW w:w="20" w:type="dxa"/>
            <w:vAlign w:val="bottom"/>
          </w:tcPr>
          <w:p>
            <w:pPr>
              <w:spacing w:after="0"/>
              <w:rPr>
                <w:sz w:val="17"/>
                <w:szCs w:val="17"/>
                <w:color w:val="auto"/>
              </w:rPr>
            </w:pPr>
          </w:p>
        </w:tc>
      </w:tr>
      <w:tr>
        <w:trPr>
          <w:trHeight w:val="257"/>
        </w:trPr>
        <w:tc>
          <w:tcPr>
            <w:tcW w:w="116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54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Balance Sheets (unaudited) as of September 30, 2012 and December 31, 2011</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8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Consolidated Statements of Operations (unaudited)—For the three and nine months ended September 30, 2012 and 2011</w:t>
              </w:r>
            </w:hyperlink>
          </w:p>
        </w:tc>
        <w:tc>
          <w:tcPr>
            <w:tcW w:w="86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Consolidated Statements of Comprehensive Income (Loss) (unaudited)—For the three and nine months ended September 30, 2012</w:t>
              </w:r>
            </w:hyperlink>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and 2011</w:t>
              </w:r>
            </w:hyperlink>
          </w:p>
        </w:tc>
        <w:tc>
          <w:tcPr>
            <w:tcW w:w="140" w:type="dxa"/>
            <w:vAlign w:val="bottom"/>
          </w:tcPr>
          <w:p>
            <w:pPr>
              <w:spacing w:after="0"/>
              <w:rPr>
                <w:sz w:val="17"/>
                <w:szCs w:val="17"/>
                <w:color w:val="auto"/>
              </w:rPr>
            </w:pPr>
          </w:p>
        </w:tc>
        <w:tc>
          <w:tcPr>
            <w:tcW w:w="680" w:type="dxa"/>
            <w:vAlign w:val="bottom"/>
            <w:gridSpan w:val="4"/>
          </w:tcPr>
          <w:p>
            <w:pPr>
              <w:jc w:val="right"/>
              <w:ind w:right="20"/>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74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Consolidated Statement of Changes in Equity (unaudited)—For the nine months ended September 30, 2012</w:t>
              </w:r>
            </w:hyperlink>
          </w:p>
        </w:tc>
        <w:tc>
          <w:tcPr>
            <w:tcW w:w="1800" w:type="dxa"/>
            <w:vAlign w:val="bottom"/>
            <w:gridSpan w:val="4"/>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Consolidated Statements of Cash Flows (unaudited)—For the nine months ended September 30, 2012 and 2011</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20" w:type="dxa"/>
            <w:vAlign w:val="bottom"/>
            <w:tcBorders>
              <w:top w:val="single" w:sz="8" w:color="0000FF"/>
            </w:tcBorders>
            <w:gridSpan w:val="15"/>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Consolidated Financial Statements (unaudited)</w:t>
              </w:r>
            </w:hyperlink>
          </w:p>
        </w:tc>
        <w:tc>
          <w:tcPr>
            <w:tcW w:w="152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2.</w:t>
              </w:r>
            </w:hyperlink>
          </w:p>
        </w:tc>
        <w:tc>
          <w:tcPr>
            <w:tcW w:w="9540" w:type="dxa"/>
            <w:vAlign w:val="bottom"/>
            <w:gridSpan w:val="1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39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080" w:type="dxa"/>
            <w:vAlign w:val="bottom"/>
            <w:tcBorders>
              <w:left w:val="single" w:sz="8" w:color="0000FF"/>
            </w:tcBorders>
            <w:shd w:val="clear" w:color="auto" w:fill="0000FF"/>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Item 3.</w:t>
              </w:r>
            </w:hyperlink>
          </w:p>
        </w:tc>
        <w:tc>
          <w:tcPr>
            <w:tcW w:w="9540" w:type="dxa"/>
            <w:vAlign w:val="bottom"/>
            <w:gridSpan w:val="18"/>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Quantitative and Qualitative Disclosures About Market Risk</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200" w:type="dxa"/>
            <w:vAlign w:val="bottom"/>
            <w:tcBorders>
              <w:left w:val="single" w:sz="8" w:color="0000FF"/>
            </w:tcBorders>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Item 4.</w:t>
              </w:r>
            </w:hyperlink>
          </w:p>
        </w:tc>
        <w:tc>
          <w:tcPr>
            <w:tcW w:w="9540" w:type="dxa"/>
            <w:vAlign w:val="bottom"/>
            <w:gridSpan w:val="18"/>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Controls and Procedures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Part II.</w:t>
              </w:r>
            </w:hyperlink>
          </w:p>
        </w:tc>
        <w:tc>
          <w:tcPr>
            <w:tcW w:w="9540" w:type="dxa"/>
            <w:vAlign w:val="bottom"/>
            <w:gridSpan w:val="18"/>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Other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60" w:type="dxa"/>
            <w:vAlign w:val="bottom"/>
            <w:gridSpan w:val="2"/>
          </w:tcPr>
          <w:p>
            <w:pPr>
              <w:spacing w:after="0"/>
              <w:rPr>
                <w:rFonts w:ascii="Arial" w:cs="Arial" w:eastAsia="Arial" w:hAnsi="Arial"/>
                <w:sz w:val="18"/>
                <w:szCs w:val="18"/>
                <w:color w:val="0000FF"/>
                <w:w w:val="98"/>
              </w:rPr>
            </w:pPr>
            <w:hyperlink w:anchor="page58">
              <w:r>
                <w:rPr>
                  <w:rFonts w:ascii="Arial" w:cs="Arial" w:eastAsia="Arial" w:hAnsi="Arial"/>
                  <w:sz w:val="18"/>
                  <w:szCs w:val="18"/>
                  <w:color w:val="0000FF"/>
                  <w:w w:val="98"/>
                </w:rPr>
                <w:t>Item 1.</w:t>
              </w:r>
            </w:hyperlink>
          </w:p>
        </w:tc>
        <w:tc>
          <w:tcPr>
            <w:tcW w:w="600" w:type="dxa"/>
            <w:vAlign w:val="bottom"/>
            <w:gridSpan w:val="2"/>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Legal Proceedings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w w:val="92"/>
              </w:rPr>
            </w:pPr>
            <w:hyperlink w:anchor="page58">
              <w:r>
                <w:rPr>
                  <w:rFonts w:ascii="Arial" w:cs="Arial" w:eastAsia="Arial" w:hAnsi="Arial"/>
                  <w:sz w:val="18"/>
                  <w:szCs w:val="18"/>
                  <w:color w:val="0000FF"/>
                  <w:w w:val="92"/>
                </w:rPr>
                <w:t>Item 1A.</w:t>
              </w:r>
            </w:hyperlink>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Risk Factors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55</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Item 2.</w:t>
              </w:r>
            </w:hyperlink>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gridSpan w:val="6"/>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Item 3.</w:t>
              </w:r>
            </w:hyperlink>
          </w:p>
        </w:tc>
        <w:tc>
          <w:tcPr>
            <w:tcW w:w="9540" w:type="dxa"/>
            <w:vAlign w:val="bottom"/>
            <w:gridSpan w:val="18"/>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Defaults Upon Senior Securities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gridSpan w:val="6"/>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Item 4.</w:t>
              </w:r>
            </w:hyperlink>
          </w:p>
        </w:tc>
        <w:tc>
          <w:tcPr>
            <w:tcW w:w="9540" w:type="dxa"/>
            <w:vAlign w:val="bottom"/>
            <w:gridSpan w:val="18"/>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(Removed and Reserved)</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gridSpan w:val="6"/>
            <w:shd w:val="clear" w:color="auto" w:fill="0000FF"/>
          </w:tcPr>
          <w:p>
            <w:pPr>
              <w:spacing w:after="0" w:line="20" w:lineRule="exact"/>
              <w:rPr>
                <w:sz w:val="1"/>
                <w:szCs w:val="1"/>
                <w:color w:val="auto"/>
              </w:rPr>
            </w:pPr>
          </w:p>
        </w:tc>
        <w:tc>
          <w:tcPr>
            <w:tcW w:w="772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Item 5.</w:t>
              </w:r>
            </w:hyperlink>
          </w:p>
        </w:tc>
        <w:tc>
          <w:tcPr>
            <w:tcW w:w="9540" w:type="dxa"/>
            <w:vAlign w:val="bottom"/>
            <w:gridSpan w:val="18"/>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Other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824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Item 6.</w:t>
              </w:r>
            </w:hyperlink>
          </w:p>
        </w:tc>
        <w:tc>
          <w:tcPr>
            <w:tcW w:w="9540" w:type="dxa"/>
            <w:vAlign w:val="bottom"/>
            <w:gridSpan w:val="18"/>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Exhibits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9">
              <w:r>
                <w:rPr>
                  <w:rFonts w:ascii="Arial" w:cs="Arial" w:eastAsia="Arial" w:hAnsi="Arial"/>
                  <w:sz w:val="18"/>
                  <w:szCs w:val="18"/>
                  <w:color w:val="0000FF"/>
                </w:rPr>
                <w:t>56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96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b w:val="1"/>
                <w:bCs w:val="1"/>
                <w:color w:val="0000FF"/>
                <w:w w:val="94"/>
              </w:rPr>
            </w:pPr>
            <w:hyperlink w:anchor="page59">
              <w:r>
                <w:rPr>
                  <w:rFonts w:ascii="Arial" w:cs="Arial" w:eastAsia="Arial" w:hAnsi="Arial"/>
                  <w:sz w:val="18"/>
                  <w:szCs w:val="18"/>
                  <w:b w:val="1"/>
                  <w:bCs w:val="1"/>
                  <w:color w:val="0000FF"/>
                  <w:w w:val="94"/>
                </w:rPr>
                <w:t>SIGNATURES</w:t>
              </w:r>
            </w:hyperlink>
          </w:p>
        </w:tc>
        <w:tc>
          <w:tcPr>
            <w:tcW w:w="9540" w:type="dxa"/>
            <w:vAlign w:val="bottom"/>
            <w:gridSpan w:val="18"/>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9">
              <w:r>
                <w:rPr>
                  <w:rFonts w:ascii="Arial" w:cs="Arial" w:eastAsia="Arial" w:hAnsi="Arial"/>
                  <w:sz w:val="18"/>
                  <w:szCs w:val="18"/>
                  <w:color w:val="0000FF"/>
                </w:rPr>
                <w:t>57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4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6"/>
                <w:szCs w:val="16"/>
                <w:color w:val="auto"/>
              </w:rPr>
            </w:pP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8340" w:type="dxa"/>
            <w:vAlign w:val="bottom"/>
            <w:tcBorders>
              <w:bottom w:val="single" w:sz="8" w:color="CCEEFF"/>
            </w:tcBorders>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Loans and other lending investments,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2,118,723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2,860,762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1,540,464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1,702,764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Real estate held for investment, net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1,174,955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1,228,134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real estate owned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706,715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677,458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419,648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457,835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284,659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356,826</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Restricted cash (see Note 10)</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493,386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32,630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and operating lease income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operating lease income receivable</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81,416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73,368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expenses and other assets, net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107,471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107,852</w:t>
            </w:r>
          </w:p>
        </w:tc>
      </w:tr>
      <w:tr>
        <w:trPr>
          <w:trHeight w:val="297"/>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6,940,419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7,517,837</w:t>
            </w:r>
          </w:p>
        </w:tc>
      </w:tr>
      <w:tr>
        <w:trPr>
          <w:trHeight w:val="237"/>
        </w:trPr>
        <w:tc>
          <w:tcPr>
            <w:tcW w:w="8340" w:type="dxa"/>
            <w:vAlign w:val="bottom"/>
            <w:tcBorders>
              <w:bottom w:val="single" w:sz="8" w:color="CCEEFF"/>
            </w:tcBorders>
            <w:shd w:val="clear" w:color="auto" w:fill="CCEEFF"/>
          </w:tcPr>
          <w:p>
            <w:pPr>
              <w:ind w:left="302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136,658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105,357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Debt obligations, net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5,388,860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5,837,540</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5,525,518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5,942,897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Financial Inc. 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Preferred Stock Series D, E, F, G and I, liquidation preference $25.00 per share (see Note 12)</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 Performance Units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9,800</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9"/>
              </w:rPr>
              <w:t>Common Stock, $0.001 par value, 200,000 shares authorized, 142,556 issued and 83,639 outstanding at</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September 30, 2012 and 140,028 issued and 81,920 outstanding at December 31, 2011</w:t>
            </w:r>
          </w:p>
        </w:tc>
        <w:tc>
          <w:tcPr>
            <w:tcW w:w="20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3,829,925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3,834,460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Retained earnings (deficit)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(2,270,258)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(2,078,397)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 (see Note 12)</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89"/>
              </w:rPr>
              <w:t>Treasury stock, at cost, $0.001 par value, 58,917 shares at September 30, 2012 and 58,108 shares at December 31,</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(241,969)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(237,341)</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iStar Financial Inc. shareholders'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1,325,650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1,528,356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75,043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45,248</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1,400,693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1,573,604</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6,940,419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7,517,837</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18"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gridSpan w:val="3"/>
          </w:tcPr>
          <w:p>
            <w:pPr>
              <w:jc w:val="center"/>
              <w:ind w:right="248"/>
              <w:spacing w:after="0"/>
              <w:rPr>
                <w:sz w:val="20"/>
                <w:szCs w:val="20"/>
                <w:color w:val="auto"/>
              </w:rPr>
            </w:pPr>
            <w:r>
              <w:rPr>
                <w:rFonts w:ascii="Arial" w:cs="Arial" w:eastAsia="Arial" w:hAnsi="Arial"/>
                <w:sz w:val="14"/>
                <w:szCs w:val="14"/>
                <w:b w:val="1"/>
                <w:bCs w:val="1"/>
                <w:color w:val="auto"/>
                <w:w w:val="96"/>
              </w:rPr>
              <w:t>For the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3"/>
          </w:tcPr>
          <w:p>
            <w:pPr>
              <w:jc w:val="center"/>
              <w:ind w:left="528"/>
              <w:spacing w:after="0"/>
              <w:rPr>
                <w:sz w:val="20"/>
                <w:szCs w:val="20"/>
                <w:color w:val="auto"/>
              </w:rPr>
            </w:pPr>
            <w:r>
              <w:rPr>
                <w:rFonts w:ascii="Arial" w:cs="Arial" w:eastAsia="Arial" w:hAnsi="Arial"/>
                <w:sz w:val="14"/>
                <w:szCs w:val="14"/>
                <w:b w:val="1"/>
                <w:bCs w:val="1"/>
                <w:color w:val="auto"/>
                <w:w w:val="92"/>
              </w:rPr>
              <w:t>For the</w:t>
            </w:r>
          </w:p>
        </w:tc>
        <w:tc>
          <w:tcPr>
            <w:tcW w:w="900" w:type="dxa"/>
            <w:vAlign w:val="bottom"/>
          </w:tcPr>
          <w:p>
            <w:pPr>
              <w:spacing w:after="0"/>
              <w:rPr>
                <w:sz w:val="14"/>
                <w:szCs w:val="14"/>
                <w:color w:val="auto"/>
              </w:rPr>
            </w:pPr>
          </w:p>
        </w:tc>
      </w:tr>
      <w:tr>
        <w:trPr>
          <w:trHeight w:val="149"/>
        </w:trPr>
        <w:tc>
          <w:tcPr>
            <w:tcW w:w="5600" w:type="dxa"/>
            <w:vAlign w:val="bottom"/>
          </w:tcPr>
          <w:p>
            <w:pPr>
              <w:spacing w:after="0"/>
              <w:rPr>
                <w:sz w:val="12"/>
                <w:szCs w:val="12"/>
                <w:color w:val="auto"/>
              </w:rPr>
            </w:pPr>
          </w:p>
        </w:tc>
        <w:tc>
          <w:tcPr>
            <w:tcW w:w="2360" w:type="dxa"/>
            <w:vAlign w:val="bottom"/>
            <w:gridSpan w:val="4"/>
          </w:tcPr>
          <w:p>
            <w:pPr>
              <w:jc w:val="center"/>
              <w:ind w:left="468"/>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00" w:type="dxa"/>
            <w:vAlign w:val="bottom"/>
            <w:gridSpan w:val="4"/>
          </w:tcPr>
          <w:p>
            <w:pPr>
              <w:jc w:val="center"/>
              <w:ind w:right="228"/>
              <w:spacing w:after="0" w:line="149" w:lineRule="exact"/>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56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228"/>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6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2011</w:t>
            </w:r>
          </w:p>
        </w:tc>
      </w:tr>
      <w:tr>
        <w:trPr>
          <w:trHeight w:val="25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8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64"/>
        </w:trPr>
        <w:tc>
          <w:tcPr>
            <w:tcW w:w="5600" w:type="dxa"/>
            <w:vAlign w:val="bottom"/>
          </w:tcPr>
          <w:p>
            <w:pPr>
              <w:ind w:left="180"/>
              <w:spacing w:after="0"/>
              <w:rPr>
                <w:sz w:val="20"/>
                <w:szCs w:val="20"/>
                <w:color w:val="auto"/>
              </w:rPr>
            </w:pPr>
            <w:r>
              <w:rPr>
                <w:rFonts w:ascii="Arial" w:cs="Arial" w:eastAsia="Arial" w:hAnsi="Arial"/>
                <w:sz w:val="14"/>
                <w:szCs w:val="14"/>
                <w:color w:val="auto"/>
              </w:rPr>
              <w:t>Interest income</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w w:val="88"/>
              </w:rPr>
              <w:t>31,171</w:t>
            </w:r>
          </w:p>
        </w:tc>
        <w:tc>
          <w:tcPr>
            <w:tcW w:w="120" w:type="dxa"/>
            <w:vAlign w:val="bottom"/>
          </w:tcPr>
          <w:p>
            <w:pPr>
              <w:spacing w:after="0"/>
              <w:rPr>
                <w:sz w:val="22"/>
                <w:szCs w:val="22"/>
                <w:color w:val="auto"/>
              </w:rPr>
            </w:pP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45,851</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104,822</w:t>
            </w:r>
          </w:p>
        </w:tc>
        <w:tc>
          <w:tcPr>
            <w:tcW w:w="10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186,805</w:t>
            </w:r>
          </w:p>
        </w:tc>
      </w:tr>
      <w:tr>
        <w:trPr>
          <w:trHeight w:val="276"/>
        </w:trPr>
        <w:tc>
          <w:tcPr>
            <w:tcW w:w="5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lease income</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8"/>
              </w:rPr>
              <w:t>38,582</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8"/>
              </w:rPr>
              <w:t>38,322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114,990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114,076</w:t>
            </w:r>
          </w:p>
        </w:tc>
      </w:tr>
      <w:tr>
        <w:trPr>
          <w:trHeight w:val="264"/>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income</w:t>
            </w:r>
          </w:p>
        </w:tc>
        <w:tc>
          <w:tcPr>
            <w:tcW w:w="8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88"/>
              </w:rPr>
              <w:t>16,494</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8"/>
              </w:rPr>
              <w:t>10,140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55,125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26,412</w:t>
            </w:r>
          </w:p>
        </w:tc>
      </w:tr>
      <w:tr>
        <w:trPr>
          <w:trHeight w:val="256"/>
        </w:trPr>
        <w:tc>
          <w:tcPr>
            <w:tcW w:w="5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revenues</w:t>
            </w: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88"/>
              </w:rPr>
              <w:t>86,247</w:t>
            </w:r>
          </w:p>
        </w:tc>
        <w:tc>
          <w:tcPr>
            <w:tcW w:w="120" w:type="dxa"/>
            <w:vAlign w:val="bottom"/>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8"/>
              </w:rPr>
              <w:t>94,313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274,937</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327,293</w:t>
            </w:r>
          </w:p>
        </w:tc>
      </w:tr>
      <w:tr>
        <w:trPr>
          <w:trHeight w:val="238"/>
        </w:trPr>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Costs and expenses:</w:t>
            </w: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00"/>
          </w:cols>
          <w:pgMar w:left="240" w:top="118" w:right="259" w:bottom="0" w:gutter="0" w:footer="0" w:header="0"/>
        </w:sectPr>
      </w:pPr>
    </w:p>
    <w:p>
      <w:pPr>
        <w:spacing w:after="0" w:line="88" w:lineRule="exact"/>
        <w:rPr>
          <w:sz w:val="20"/>
          <w:szCs w:val="20"/>
          <w:color w:val="auto"/>
        </w:rPr>
      </w:pPr>
    </w:p>
    <w:p>
      <w:pPr>
        <w:ind w:left="180"/>
        <w:spacing w:after="0"/>
        <w:tabs>
          <w:tab w:leader="none" w:pos="5600" w:val="left"/>
        </w:tabs>
        <w:rPr>
          <w:sz w:val="20"/>
          <w:szCs w:val="20"/>
          <w:color w:val="auto"/>
        </w:rPr>
      </w:pPr>
      <w:r>
        <w:rPr>
          <w:rFonts w:ascii="Arial" w:cs="Arial" w:eastAsia="Arial" w:hAnsi="Arial"/>
          <w:sz w:val="14"/>
          <w:szCs w:val="14"/>
          <w:color w:val="auto"/>
        </w:rPr>
        <w:t>Interest expense</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Operating costs—net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Operating costs—REHI and OREO</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General and administrative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Provision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Impairment of assets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280"/>
        <w:spacing w:after="0"/>
        <w:tabs>
          <w:tab w:leader="none" w:pos="5600" w:val="left"/>
        </w:tabs>
        <w:rPr>
          <w:sz w:val="20"/>
          <w:szCs w:val="20"/>
          <w:color w:val="auto"/>
        </w:rPr>
      </w:pPr>
      <w:r>
        <w:rPr>
          <w:rFonts w:ascii="Arial" w:cs="Arial" w:eastAsia="Arial" w:hAnsi="Arial"/>
          <w:sz w:val="14"/>
          <w:szCs w:val="14"/>
          <w:color w:val="auto"/>
        </w:rPr>
        <w:t>Total costs and expenses</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40"/>
        <w:spacing w:after="0"/>
        <w:tabs>
          <w:tab w:leader="none" w:pos="5600" w:val="left"/>
        </w:tabs>
        <w:rPr>
          <w:sz w:val="20"/>
          <w:szCs w:val="20"/>
          <w:color w:val="auto"/>
        </w:rPr>
      </w:pPr>
      <w:r>
        <w:rPr>
          <w:rFonts w:ascii="Arial" w:cs="Arial" w:eastAsia="Arial" w:hAnsi="Arial"/>
          <w:sz w:val="14"/>
          <w:szCs w:val="14"/>
          <w:color w:val="auto"/>
        </w:rPr>
        <w:t>Income (loss) before earnings from equity method investments and other items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Gain (loss) on early extinguishment of debt, net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Earnings from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tabs>
          <w:tab w:leader="none" w:pos="5600" w:val="left"/>
        </w:tabs>
        <w:rPr>
          <w:sz w:val="20"/>
          <w:szCs w:val="20"/>
          <w:color w:val="auto"/>
        </w:rPr>
      </w:pPr>
      <w:r>
        <w:rPr>
          <w:rFonts w:ascii="Arial" w:cs="Arial" w:eastAsia="Arial" w:hAnsi="Arial"/>
          <w:sz w:val="14"/>
          <w:szCs w:val="14"/>
          <w:color w:val="auto"/>
        </w:rPr>
        <w:t>Income (loss) from continuing operations before income taxes</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tabs>
          <w:tab w:leader="none" w:pos="5600" w:val="left"/>
        </w:tabs>
        <w:rPr>
          <w:sz w:val="20"/>
          <w:szCs w:val="20"/>
          <w:color w:val="auto"/>
        </w:rPr>
      </w:pPr>
      <w:r>
        <w:rPr>
          <w:rFonts w:ascii="Arial" w:cs="Arial" w:eastAsia="Arial" w:hAnsi="Arial"/>
          <w:sz w:val="14"/>
          <w:szCs w:val="14"/>
          <w:color w:val="auto"/>
        </w:rPr>
        <w:t>Income (loss) from continuing operations(1)</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Income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Gain from discontinued operations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Income from sales of residential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tabs>
          <w:tab w:leader="none" w:pos="5600" w:val="left"/>
        </w:tabs>
        <w:rPr>
          <w:sz w:val="20"/>
          <w:szCs w:val="20"/>
          <w:color w:val="auto"/>
        </w:rPr>
      </w:pPr>
      <w:r>
        <w:rPr>
          <w:rFonts w:ascii="Arial" w:cs="Arial" w:eastAsia="Arial" w:hAnsi="Arial"/>
          <w:sz w:val="14"/>
          <w:szCs w:val="14"/>
          <w:color w:val="auto"/>
        </w:rPr>
        <w:t>Net income (loss)</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(income)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tabs>
          <w:tab w:leader="none" w:pos="5600" w:val="left"/>
        </w:tabs>
        <w:rPr>
          <w:sz w:val="20"/>
          <w:szCs w:val="20"/>
          <w:color w:val="auto"/>
        </w:rPr>
      </w:pPr>
      <w:r>
        <w:rPr>
          <w:rFonts w:ascii="Arial" w:cs="Arial" w:eastAsia="Arial" w:hAnsi="Arial"/>
          <w:sz w:val="14"/>
          <w:szCs w:val="14"/>
          <w:color w:val="auto"/>
        </w:rPr>
        <w:t>Net income (loss) attributable to iStar Financial Inc.</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Preferred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(income) loss allocable to HPU holders and Participating Security holders(2)(3)</w:t>
      </w:r>
    </w:p>
    <w:p>
      <w:pPr>
        <w:spacing w:after="0" w:line="96" w:lineRule="exact"/>
        <w:rPr>
          <w:sz w:val="20"/>
          <w:szCs w:val="20"/>
          <w:color w:val="auto"/>
        </w:rPr>
      </w:pPr>
    </w:p>
    <w:p>
      <w:pPr>
        <w:ind w:left="40"/>
        <w:spacing w:after="0"/>
        <w:tabs>
          <w:tab w:leader="none" w:pos="5600" w:val="left"/>
        </w:tabs>
        <w:rPr>
          <w:sz w:val="20"/>
          <w:szCs w:val="20"/>
          <w:color w:val="auto"/>
        </w:rPr>
      </w:pPr>
      <w:r>
        <w:rPr>
          <w:rFonts w:ascii="Arial" w:cs="Arial" w:eastAsia="Arial" w:hAnsi="Arial"/>
          <w:sz w:val="14"/>
          <w:szCs w:val="14"/>
          <w:color w:val="auto"/>
        </w:rPr>
        <w:t>Net income (loss) allocable to common shareholders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9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Per common share data(1):</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Income (loss) attributable to iStar Financial Inc.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280"/>
        <w:spacing w:after="0"/>
        <w:tabs>
          <w:tab w:leader="none" w:pos="5600" w:val="left"/>
        </w:tabs>
        <w:rPr>
          <w:sz w:val="20"/>
          <w:szCs w:val="20"/>
          <w:color w:val="auto"/>
        </w:rPr>
      </w:pPr>
      <w:r>
        <w:rPr>
          <w:rFonts w:ascii="Arial" w:cs="Arial" w:eastAsia="Arial" w:hAnsi="Arial"/>
          <w:sz w:val="14"/>
          <w:szCs w:val="14"/>
          <w:color w:val="auto"/>
        </w:rPr>
        <w:t>Basic</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280"/>
        <w:spacing w:after="0"/>
        <w:tabs>
          <w:tab w:leader="none" w:pos="5600" w:val="left"/>
        </w:tabs>
        <w:rPr>
          <w:sz w:val="20"/>
          <w:szCs w:val="20"/>
          <w:color w:val="auto"/>
        </w:rPr>
      </w:pPr>
      <w:r>
        <w:rPr>
          <w:rFonts w:ascii="Arial" w:cs="Arial" w:eastAsia="Arial" w:hAnsi="Arial"/>
          <w:sz w:val="14"/>
          <w:szCs w:val="14"/>
          <w:color w:val="auto"/>
        </w:rPr>
        <w:t>Diluted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income (loss) attributable to iStar Financial Inc.:</w:t>
      </w:r>
    </w:p>
    <w:p>
      <w:pPr>
        <w:spacing w:after="0" w:line="109" w:lineRule="exact"/>
        <w:rPr>
          <w:sz w:val="20"/>
          <w:szCs w:val="20"/>
          <w:color w:val="auto"/>
        </w:rPr>
      </w:pPr>
    </w:p>
    <w:p>
      <w:pPr>
        <w:ind w:left="280"/>
        <w:spacing w:after="0"/>
        <w:tabs>
          <w:tab w:leader="none" w:pos="5600" w:val="left"/>
        </w:tabs>
        <w:rPr>
          <w:sz w:val="20"/>
          <w:szCs w:val="20"/>
          <w:color w:val="auto"/>
        </w:rPr>
      </w:pPr>
      <w:r>
        <w:rPr>
          <w:rFonts w:ascii="Arial" w:cs="Arial" w:eastAsia="Arial" w:hAnsi="Arial"/>
          <w:sz w:val="14"/>
          <w:szCs w:val="14"/>
          <w:color w:val="auto"/>
        </w:rPr>
        <w:t>Basic</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280"/>
        <w:spacing w:after="0"/>
        <w:tabs>
          <w:tab w:leader="none" w:pos="5600" w:val="left"/>
        </w:tabs>
        <w:rPr>
          <w:sz w:val="20"/>
          <w:szCs w:val="20"/>
          <w:color w:val="auto"/>
        </w:rPr>
      </w:pPr>
      <w:r>
        <w:rPr>
          <w:rFonts w:ascii="Arial" w:cs="Arial" w:eastAsia="Arial" w:hAnsi="Arial"/>
          <w:sz w:val="14"/>
          <w:szCs w:val="14"/>
          <w:color w:val="auto"/>
        </w:rPr>
        <w:t>Diluted</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Weighted average number of common shares—basic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Weighted average number of common shares—diluted</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Per HPU share data(1)(2):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Income (loss) attributable to iStar Financial Inc. from continuing operations:</w:t>
      </w:r>
    </w:p>
    <w:p>
      <w:pPr>
        <w:spacing w:after="0" w:line="109" w:lineRule="exact"/>
        <w:rPr>
          <w:sz w:val="20"/>
          <w:szCs w:val="20"/>
          <w:color w:val="auto"/>
        </w:rPr>
      </w:pPr>
    </w:p>
    <w:p>
      <w:pPr>
        <w:ind w:left="280"/>
        <w:spacing w:after="0"/>
        <w:tabs>
          <w:tab w:leader="none" w:pos="5600" w:val="left"/>
        </w:tabs>
        <w:rPr>
          <w:sz w:val="20"/>
          <w:szCs w:val="20"/>
          <w:color w:val="auto"/>
        </w:rPr>
      </w:pPr>
      <w:r>
        <w:rPr>
          <w:rFonts w:ascii="Arial" w:cs="Arial" w:eastAsia="Arial" w:hAnsi="Arial"/>
          <w:sz w:val="14"/>
          <w:szCs w:val="14"/>
          <w:color w:val="auto"/>
        </w:rPr>
        <w:t>Basic</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280"/>
        <w:spacing w:after="0"/>
        <w:tabs>
          <w:tab w:leader="none" w:pos="5600" w:val="left"/>
        </w:tabs>
        <w:rPr>
          <w:sz w:val="20"/>
          <w:szCs w:val="20"/>
          <w:color w:val="auto"/>
        </w:rPr>
      </w:pPr>
      <w:r>
        <w:rPr>
          <w:rFonts w:ascii="Arial" w:cs="Arial" w:eastAsia="Arial" w:hAnsi="Arial"/>
          <w:sz w:val="14"/>
          <w:szCs w:val="14"/>
          <w:color w:val="auto"/>
        </w:rPr>
        <w:t>Diluted</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income (loss) attributable to iStar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280"/>
        <w:spacing w:after="0"/>
        <w:tabs>
          <w:tab w:leader="none" w:pos="5600" w:val="left"/>
        </w:tabs>
        <w:rPr>
          <w:sz w:val="20"/>
          <w:szCs w:val="20"/>
          <w:color w:val="auto"/>
        </w:rPr>
      </w:pPr>
      <w:r>
        <w:rPr>
          <w:rFonts w:ascii="Arial" w:cs="Arial" w:eastAsia="Arial" w:hAnsi="Arial"/>
          <w:sz w:val="14"/>
          <w:szCs w:val="14"/>
          <w:color w:val="auto"/>
        </w:rPr>
        <w:t>Basic</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280"/>
        <w:spacing w:after="0"/>
        <w:tabs>
          <w:tab w:leader="none" w:pos="5600" w:val="left"/>
        </w:tabs>
        <w:rPr>
          <w:sz w:val="20"/>
          <w:szCs w:val="20"/>
          <w:color w:val="auto"/>
        </w:rPr>
      </w:pPr>
      <w:r>
        <w:rPr>
          <w:rFonts w:ascii="Arial" w:cs="Arial" w:eastAsia="Arial" w:hAnsi="Arial"/>
          <w:sz w:val="14"/>
          <w:szCs w:val="14"/>
          <w:color w:val="auto"/>
        </w:rPr>
        <w:t>Diluted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Weighted average number of HPU shares—basic and diluted</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91,777</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90,659</w:t>
            </w:r>
          </w:p>
        </w:tc>
        <w:tc>
          <w:tcPr>
            <w:tcW w:w="10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271,595</w:t>
            </w:r>
          </w:p>
        </w:tc>
        <w:tc>
          <w:tcPr>
            <w:tcW w:w="10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255,505</w:t>
            </w:r>
          </w:p>
        </w:tc>
      </w:tr>
      <w:tr>
        <w:trPr>
          <w:trHeight w:val="27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5,548</w:t>
            </w: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4,845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13,676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13,515</w:t>
            </w:r>
          </w:p>
        </w:tc>
      </w:tr>
      <w:tr>
        <w:trPr>
          <w:trHeight w:val="27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24,454</w:t>
            </w: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19,792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68,952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55,582</w:t>
            </w:r>
          </w:p>
        </w:tc>
      </w:tr>
      <w:tr>
        <w:trPr>
          <w:trHeight w:val="27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16,787</w:t>
            </w: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13,953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50,263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43,777</w:t>
            </w:r>
          </w:p>
        </w:tc>
      </w:tr>
      <w:tr>
        <w:trPr>
          <w:trHeight w:val="27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19,037</w:t>
            </w: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26,978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61,674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77,077</w:t>
            </w:r>
          </w:p>
        </w:tc>
      </w:tr>
      <w:tr>
        <w:trPr>
          <w:trHeight w:val="27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16,834</w:t>
            </w: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9,232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60,865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30,462</w:t>
            </w:r>
          </w:p>
        </w:tc>
      </w:tr>
      <w:tr>
        <w:trPr>
          <w:trHeight w:val="27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6,542</w:t>
            </w: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9,912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29,541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14,165</w:t>
            </w:r>
          </w:p>
        </w:tc>
      </w:tr>
      <w:tr>
        <w:trPr>
          <w:trHeight w:val="276"/>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2,394</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3,974</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6,754</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7,156</w:t>
            </w:r>
          </w:p>
        </w:tc>
      </w:tr>
      <w:tr>
        <w:trPr>
          <w:trHeight w:val="250"/>
        </w:trPr>
        <w:tc>
          <w:tcPr>
            <w:tcW w:w="720" w:type="dxa"/>
            <w:vAlign w:val="bottom"/>
          </w:tcPr>
          <w:p>
            <w:pPr>
              <w:jc w:val="right"/>
              <w:ind w:right="188"/>
              <w:spacing w:after="0"/>
              <w:rPr>
                <w:sz w:val="20"/>
                <w:szCs w:val="20"/>
                <w:color w:val="auto"/>
              </w:rPr>
            </w:pPr>
            <w:r>
              <w:rPr>
                <w:rFonts w:ascii="Arial" w:cs="Arial" w:eastAsia="Arial" w:hAnsi="Arial"/>
                <w:sz w:val="14"/>
                <w:szCs w:val="14"/>
                <w:color w:val="auto"/>
                <w:w w:val="86"/>
              </w:rPr>
              <w:t>183,373</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179,345</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563,320</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497,239</w:t>
            </w:r>
          </w:p>
        </w:tc>
      </w:tr>
      <w:tr>
        <w:trPr>
          <w:trHeight w:val="244"/>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(97,126)</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(85,032)</w:t>
            </w:r>
          </w:p>
        </w:tc>
        <w:tc>
          <w:tcPr>
            <w:tcW w:w="10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(288,383)</w:t>
            </w:r>
          </w:p>
        </w:tc>
        <w:tc>
          <w:tcPr>
            <w:tcW w:w="10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(169,946)</w:t>
            </w:r>
          </w:p>
        </w:tc>
      </w:tr>
      <w:tr>
        <w:trPr>
          <w:trHeight w:val="270"/>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(3,694)</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(3,207)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(6,858)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102,348</w:t>
            </w:r>
          </w:p>
        </w:tc>
      </w:tr>
      <w:tr>
        <w:trPr>
          <w:trHeight w:val="276"/>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22,719</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10,817</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75,925</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54,881</w:t>
            </w:r>
          </w:p>
        </w:tc>
      </w:tr>
      <w:tr>
        <w:trPr>
          <w:trHeight w:val="244"/>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(78,101)</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(77,422)</w:t>
            </w:r>
          </w:p>
        </w:tc>
        <w:tc>
          <w:tcPr>
            <w:tcW w:w="10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(219,316)</w:t>
            </w:r>
          </w:p>
        </w:tc>
        <w:tc>
          <w:tcPr>
            <w:tcW w:w="10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(12,717)</w:t>
            </w:r>
          </w:p>
        </w:tc>
      </w:tr>
      <w:tr>
        <w:trPr>
          <w:trHeight w:val="276"/>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(1,791)</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(1,354)</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(6,540)</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(9,731)</w:t>
            </w:r>
          </w:p>
        </w:tc>
      </w:tr>
      <w:tr>
        <w:trPr>
          <w:trHeight w:val="244"/>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(79,892)</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(78,776)</w:t>
            </w:r>
          </w:p>
        </w:tc>
        <w:tc>
          <w:tcPr>
            <w:tcW w:w="10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(225,856)</w:t>
            </w:r>
          </w:p>
        </w:tc>
        <w:tc>
          <w:tcPr>
            <w:tcW w:w="10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(22,448)</w:t>
            </w:r>
          </w:p>
        </w:tc>
      </w:tr>
      <w:tr>
        <w:trPr>
          <w:trHeight w:val="27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2</w:t>
            </w: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1,917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1,532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3,470</w:t>
            </w:r>
          </w:p>
        </w:tc>
      </w:tr>
      <w:tr>
        <w:trPr>
          <w:trHeight w:val="27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22,198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27,257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22,198</w:t>
            </w:r>
          </w:p>
        </w:tc>
      </w:tr>
      <w:tr>
        <w:trPr>
          <w:trHeight w:val="276"/>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15,584</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35,583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44"/>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(64,306)</w:t>
            </w:r>
          </w:p>
        </w:tc>
        <w:tc>
          <w:tcPr>
            <w:tcW w:w="44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(54,661)</w:t>
            </w:r>
          </w:p>
        </w:tc>
        <w:tc>
          <w:tcPr>
            <w:tcW w:w="100" w:type="dxa"/>
            <w:vAlign w:val="bottom"/>
          </w:tcPr>
          <w:p>
            <w:pPr>
              <w:spacing w:after="0"/>
              <w:rPr>
                <w:sz w:val="21"/>
                <w:szCs w:val="21"/>
                <w:color w:val="auto"/>
              </w:rPr>
            </w:pPr>
          </w:p>
        </w:tc>
        <w:tc>
          <w:tcPr>
            <w:tcW w:w="4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(161,484)</w:t>
            </w:r>
          </w:p>
        </w:tc>
        <w:tc>
          <w:tcPr>
            <w:tcW w:w="100" w:type="dxa"/>
            <w:vAlign w:val="bottom"/>
          </w:tcPr>
          <w:p>
            <w:pPr>
              <w:spacing w:after="0"/>
              <w:rPr>
                <w:sz w:val="21"/>
                <w:szCs w:val="21"/>
                <w:color w:val="auto"/>
              </w:rPr>
            </w:pPr>
          </w:p>
        </w:tc>
        <w:tc>
          <w:tcPr>
            <w:tcW w:w="4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3,220</w:t>
            </w:r>
          </w:p>
        </w:tc>
      </w:tr>
      <w:tr>
        <w:trPr>
          <w:trHeight w:val="276"/>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666</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1,002</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1,363</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558</w:t>
            </w:r>
          </w:p>
        </w:tc>
      </w:tr>
      <w:tr>
        <w:trPr>
          <w:trHeight w:val="244"/>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(63,640)</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(53,659)</w:t>
            </w:r>
          </w:p>
        </w:tc>
        <w:tc>
          <w:tcPr>
            <w:tcW w:w="10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(160,121)</w:t>
            </w:r>
          </w:p>
        </w:tc>
        <w:tc>
          <w:tcPr>
            <w:tcW w:w="10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3,778</w:t>
            </w:r>
          </w:p>
        </w:tc>
      </w:tr>
      <w:tr>
        <w:trPr>
          <w:trHeight w:val="270"/>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(10,580)</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(10,580)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(31,740)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(31,740)</w:t>
            </w:r>
          </w:p>
        </w:tc>
      </w:tr>
      <w:tr>
        <w:trPr>
          <w:trHeight w:val="276"/>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2,436</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6,288</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845</w:t>
            </w:r>
          </w:p>
        </w:tc>
      </w:tr>
      <w:tr>
        <w:trPr>
          <w:trHeight w:val="237"/>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(71,784)</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(62,231)</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(185,573)</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(27,117)</w:t>
            </w:r>
          </w:p>
        </w:tc>
      </w:tr>
      <w:tr>
        <w:trPr>
          <w:trHeight w:val="20"/>
        </w:trPr>
        <w:tc>
          <w:tcPr>
            <w:tcW w:w="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58"/>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(0.86)</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(0.97)</w:t>
            </w:r>
          </w:p>
        </w:tc>
        <w:tc>
          <w:tcPr>
            <w:tcW w:w="10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(0.58)</w:t>
            </w:r>
          </w:p>
        </w:tc>
      </w:tr>
      <w:tr>
        <w:trPr>
          <w:trHeight w:val="270"/>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(0.86)</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(0.97)</w:t>
            </w:r>
          </w:p>
        </w:tc>
        <w:tc>
          <w:tcPr>
            <w:tcW w:w="10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(0.58)</w:t>
            </w:r>
          </w:p>
        </w:tc>
      </w:tr>
      <w:tr>
        <w:trPr>
          <w:trHeight w:val="540"/>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(0.86)</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(0.71)</w:t>
            </w:r>
          </w:p>
        </w:tc>
        <w:tc>
          <w:tcPr>
            <w:tcW w:w="10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(0.30)</w:t>
            </w:r>
          </w:p>
        </w:tc>
      </w:tr>
      <w:tr>
        <w:trPr>
          <w:trHeight w:val="270"/>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(0.86)</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(0.71)</w:t>
            </w:r>
          </w:p>
        </w:tc>
        <w:tc>
          <w:tcPr>
            <w:tcW w:w="10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(0.30)</w:t>
            </w:r>
          </w:p>
        </w:tc>
      </w:tr>
      <w:tr>
        <w:trPr>
          <w:trHeight w:val="27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83,629</w:t>
            </w: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87,951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83,765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91,020</w:t>
            </w:r>
          </w:p>
        </w:tc>
      </w:tr>
      <w:tr>
        <w:trPr>
          <w:trHeight w:val="27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83,629</w:t>
            </w: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87,951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83,765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91,020</w:t>
            </w:r>
          </w:p>
        </w:tc>
      </w:tr>
      <w:tr>
        <w:trPr>
          <w:trHeight w:val="810"/>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(162.40)</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(184.14)</w:t>
            </w:r>
          </w:p>
        </w:tc>
        <w:tc>
          <w:tcPr>
            <w:tcW w:w="10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(482.06)</w:t>
            </w:r>
          </w:p>
        </w:tc>
        <w:tc>
          <w:tcPr>
            <w:tcW w:w="10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(108.06)</w:t>
            </w:r>
          </w:p>
        </w:tc>
      </w:tr>
      <w:tr>
        <w:trPr>
          <w:trHeight w:val="270"/>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(162.40)</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(184.14)</w:t>
            </w:r>
          </w:p>
        </w:tc>
        <w:tc>
          <w:tcPr>
            <w:tcW w:w="10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(482.06)</w:t>
            </w:r>
          </w:p>
        </w:tc>
        <w:tc>
          <w:tcPr>
            <w:tcW w:w="10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(108.06)</w:t>
            </w:r>
          </w:p>
        </w:tc>
      </w:tr>
      <w:tr>
        <w:trPr>
          <w:trHeight w:val="540"/>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(162.40)</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(133.87)</w:t>
            </w:r>
          </w:p>
        </w:tc>
        <w:tc>
          <w:tcPr>
            <w:tcW w:w="10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(419.20)</w:t>
            </w:r>
          </w:p>
        </w:tc>
        <w:tc>
          <w:tcPr>
            <w:tcW w:w="10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(56.33)</w:t>
            </w:r>
          </w:p>
        </w:tc>
      </w:tr>
      <w:tr>
        <w:trPr>
          <w:trHeight w:val="270"/>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(162.40)</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(133.87)</w:t>
            </w:r>
          </w:p>
        </w:tc>
        <w:tc>
          <w:tcPr>
            <w:tcW w:w="10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(419.20)</w:t>
            </w:r>
          </w:p>
        </w:tc>
        <w:tc>
          <w:tcPr>
            <w:tcW w:w="10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(56.33)</w:t>
            </w:r>
          </w:p>
        </w:tc>
      </w:tr>
      <w:tr>
        <w:trPr>
          <w:trHeight w:val="27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15</w:t>
            </w: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-2915920</wp:posOffset>
            </wp:positionV>
            <wp:extent cx="8832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-3079115</wp:posOffset>
            </wp:positionV>
            <wp:extent cx="8832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-5480050</wp:posOffset>
            </wp:positionV>
            <wp:extent cx="8832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667" w:lineRule="exact"/>
        <w:rPr>
          <w:sz w:val="20"/>
          <w:szCs w:val="20"/>
          <w:color w:val="auto"/>
        </w:rPr>
      </w:pPr>
    </w:p>
    <w:p>
      <w:pPr>
        <w:sectPr>
          <w:pgSz w:w="11900" w:h="16838" w:orient="portrait"/>
          <w:cols w:equalWidth="0" w:num="2">
            <w:col w:w="5700" w:space="700"/>
            <w:col w:w="5000"/>
          </w:cols>
          <w:pgMar w:left="240" w:top="118" w:right="259" w:bottom="0" w:gutter="0" w:footer="0" w:header="0"/>
          <w:type w:val="continuous"/>
        </w:sectPr>
      </w:pPr>
    </w:p>
    <w:p>
      <w:pPr>
        <w:spacing w:after="0" w:line="55" w:lineRule="exact"/>
        <w:rPr>
          <w:sz w:val="20"/>
          <w:szCs w:val="20"/>
          <w:color w:val="auto"/>
        </w:rPr>
      </w:pPr>
    </w:p>
    <w:p>
      <w:pPr>
        <w:jc w:val="both"/>
        <w:ind w:left="660" w:hanging="328"/>
        <w:spacing w:after="0" w:line="344"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3"/>
          <w:szCs w:val="13"/>
          <w:color w:val="auto"/>
        </w:rPr>
        <w:t>Income (loss) from continuing operations attributable to iStar Financial Inc. for the three months ended September 30, 2012 and 2011 was $(79.2) million and $(77.8) million, respectively, and for the nine months ended September 30, 2012 and 2011 was $(224.5) million and $(21.9) million, respectively. See Note 14 for details on the calculation of earnings per</w:t>
      </w:r>
    </w:p>
    <w:p>
      <w:pPr>
        <w:sectPr>
          <w:pgSz w:w="11900" w:h="16838" w:orient="portrait"/>
          <w:cols w:equalWidth="0" w:num="1">
            <w:col w:w="11400"/>
          </w:cols>
          <w:pgMar w:left="240" w:top="118" w:right="259" w:bottom="0" w:gutter="0" w:footer="0" w:header="0"/>
          <w:type w:val="continuous"/>
        </w:sectPr>
      </w:pPr>
    </w:p>
    <w:bookmarkStart w:id="4" w:name="page5"/>
    <w:bookmarkEnd w:id="4"/>
    <w:p>
      <w:pPr>
        <w:ind w:left="328"/>
        <w:spacing w:after="0"/>
        <w:rPr>
          <w:sz w:val="20"/>
          <w:szCs w:val="20"/>
          <w:color w:val="auto"/>
        </w:rPr>
      </w:pPr>
      <w:r>
        <w:rPr>
          <w:rFonts w:ascii="Arial" w:cs="Arial" w:eastAsia="Arial" w:hAnsi="Arial"/>
          <w:sz w:val="14"/>
          <w:szCs w:val="14"/>
          <w:color w:val="auto"/>
        </w:rPr>
        <w:t>share.</w:t>
      </w:r>
    </w:p>
    <w:p>
      <w:pPr>
        <w:spacing w:after="0" w:line="30" w:lineRule="exact"/>
        <w:rPr>
          <w:sz w:val="20"/>
          <w:szCs w:val="20"/>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4"/>
          <w:szCs w:val="14"/>
          <w:color w:val="auto"/>
        </w:rPr>
        <w:t>HPU holders are current and former Company employees who purchased high performance common stock units under the Company's High Performance Unit Program.</w:t>
      </w:r>
    </w:p>
    <w:p>
      <w:pPr>
        <w:spacing w:after="0" w:line="33" w:lineRule="exact"/>
        <w:rPr>
          <w:rFonts w:ascii="Arial" w:cs="Arial" w:eastAsia="Arial" w:hAnsi="Arial"/>
          <w:sz w:val="18"/>
          <w:szCs w:val="18"/>
          <w:color w:val="auto"/>
        </w:rPr>
      </w:pPr>
    </w:p>
    <w:p>
      <w:pPr>
        <w:ind w:left="328" w:hanging="328"/>
        <w:spacing w:after="0" w:line="285"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4"/>
          <w:szCs w:val="14"/>
          <w:color w:val="auto"/>
        </w:rPr>
        <w:t>Participating Security holders are Company employees and directors who hold unvested restricted stock units, restricted stock awards and common stock equivalents granted under the Company's Long Term Incentive Plans that are eligible to participate in dividends (see Note 13 and Note 14).</w:t>
      </w:r>
    </w:p>
    <w:p>
      <w:pPr>
        <w:spacing w:after="0" w:line="135"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8"/>
          </w:cols>
          <w:pgMar w:left="572" w:top="148" w:right="25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5"/>
          </w:tcPr>
          <w:p>
            <w:pPr>
              <w:ind w:left="520"/>
              <w:spacing w:after="0"/>
              <w:rPr>
                <w:sz w:val="20"/>
                <w:szCs w:val="20"/>
                <w:color w:val="auto"/>
              </w:rPr>
            </w:pPr>
            <w:r>
              <w:rPr>
                <w:rFonts w:ascii="Arial" w:cs="Arial" w:eastAsia="Arial" w:hAnsi="Arial"/>
                <w:sz w:val="14"/>
                <w:szCs w:val="14"/>
                <w:b w:val="1"/>
                <w:bCs w:val="1"/>
                <w:color w:val="auto"/>
              </w:rPr>
              <w:t>For the Three Months</w:t>
            </w:r>
          </w:p>
        </w:tc>
        <w:tc>
          <w:tcPr>
            <w:tcW w:w="360" w:type="dxa"/>
            <w:vAlign w:val="bottom"/>
          </w:tcPr>
          <w:p>
            <w:pPr>
              <w:spacing w:after="0"/>
              <w:rPr>
                <w:sz w:val="14"/>
                <w:szCs w:val="14"/>
                <w:color w:val="auto"/>
              </w:rPr>
            </w:pPr>
          </w:p>
        </w:tc>
        <w:tc>
          <w:tcPr>
            <w:tcW w:w="1820" w:type="dxa"/>
            <w:vAlign w:val="bottom"/>
            <w:gridSpan w:val="3"/>
          </w:tcPr>
          <w:p>
            <w:pPr>
              <w:ind w:left="520"/>
              <w:spacing w:after="0"/>
              <w:rPr>
                <w:sz w:val="20"/>
                <w:szCs w:val="20"/>
                <w:color w:val="auto"/>
              </w:rPr>
            </w:pPr>
            <w:r>
              <w:rPr>
                <w:rFonts w:ascii="Arial" w:cs="Arial" w:eastAsia="Arial" w:hAnsi="Arial"/>
                <w:sz w:val="14"/>
                <w:szCs w:val="14"/>
                <w:b w:val="1"/>
                <w:bCs w:val="1"/>
                <w:color w:val="auto"/>
                <w:w w:val="94"/>
              </w:rPr>
              <w:t>For the Nine Months</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2011</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(64,306)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(161,484)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Reclassification of (gains)/losses on cash flow hedges into earnings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upon realization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Unrealized gains/(losses) on available-for-sale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499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gains/(losses) on cash flow hedges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w w:val="99"/>
              </w:rPr>
              <w:t>Unrealized gains/(losses) on cumulative translation adjustment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808</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(65,612)</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(56,174)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(163,168)</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3,119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iStar Financial Inc.</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(64,946)</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(55,172)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(161,805)</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3,677</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38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iStar Financial Inc.</w:t>
      </w:r>
    </w:p>
    <w:p>
      <w:pPr>
        <w:spacing w:after="0" w:line="279" w:lineRule="exact"/>
        <w:rPr>
          <w:sz w:val="20"/>
          <w:szCs w:val="20"/>
          <w:color w:val="auto"/>
        </w:rPr>
      </w:pPr>
    </w:p>
    <w:p>
      <w:pPr>
        <w:jc w:val="center"/>
        <w:ind w:left="126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9" w:lineRule="exact"/>
        <w:rPr>
          <w:sz w:val="20"/>
          <w:szCs w:val="20"/>
          <w:color w:val="auto"/>
        </w:rPr>
      </w:pPr>
    </w:p>
    <w:p>
      <w:pPr>
        <w:jc w:val="center"/>
        <w:ind w:left="1260"/>
        <w:spacing w:after="0"/>
        <w:rPr>
          <w:sz w:val="20"/>
          <w:szCs w:val="20"/>
          <w:color w:val="auto"/>
        </w:rPr>
      </w:pPr>
      <w:r>
        <w:rPr>
          <w:rFonts w:ascii="Arial" w:cs="Arial" w:eastAsia="Arial" w:hAnsi="Arial"/>
          <w:sz w:val="18"/>
          <w:szCs w:val="18"/>
          <w:b w:val="1"/>
          <w:bCs w:val="1"/>
          <w:color w:val="auto"/>
        </w:rPr>
        <w:t>For the Nine Months Ended September 30, 2012</w:t>
      </w:r>
    </w:p>
    <w:p>
      <w:pPr>
        <w:spacing w:after="0" w:line="279" w:lineRule="exact"/>
        <w:rPr>
          <w:sz w:val="20"/>
          <w:szCs w:val="20"/>
          <w:color w:val="auto"/>
        </w:rPr>
      </w:pPr>
    </w:p>
    <w:p>
      <w:pPr>
        <w:jc w:val="center"/>
        <w:ind w:left="1260"/>
        <w:spacing w:after="0"/>
        <w:rPr>
          <w:sz w:val="20"/>
          <w:szCs w:val="20"/>
          <w:color w:val="auto"/>
        </w:rPr>
      </w:pPr>
      <w:r>
        <w:rPr>
          <w:rFonts w:ascii="Arial" w:cs="Arial" w:eastAsia="Arial" w:hAnsi="Arial"/>
          <w:sz w:val="18"/>
          <w:szCs w:val="18"/>
          <w:b w:val="1"/>
          <w:bCs w:val="1"/>
          <w:color w:val="auto"/>
        </w:rPr>
        <w:t>(In thousands)</w:t>
      </w:r>
    </w:p>
    <w:p>
      <w:pPr>
        <w:spacing w:after="0" w:line="27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w w:val="94"/>
              </w:rPr>
              <w:t>iStar Financial Inc. Shareholders' Equity</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3"/>
                <w:szCs w:val="13"/>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Treasury</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Preferred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HPU's</w:t>
            </w: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Stock at</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Earnings</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Stock at</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Stock(1)</w:t>
            </w: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Par</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(Deficit)</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cost</w:t>
            </w:r>
          </w:p>
        </w:tc>
        <w:tc>
          <w:tcPr>
            <w:tcW w:w="220" w:type="dxa"/>
            <w:vAlign w:val="bottom"/>
          </w:tcPr>
          <w:p>
            <w:pPr>
              <w:spacing w:after="0"/>
              <w:rPr>
                <w:sz w:val="16"/>
                <w:szCs w:val="16"/>
                <w:color w:val="auto"/>
              </w:rPr>
            </w:pPr>
          </w:p>
        </w:tc>
        <w:tc>
          <w:tcPr>
            <w:tcW w:w="920" w:type="dxa"/>
            <w:vAlign w:val="bottom"/>
          </w:tcPr>
          <w:p>
            <w:pPr>
              <w:jc w:val="right"/>
              <w:ind w:right="211"/>
              <w:spacing w:after="0"/>
              <w:rPr>
                <w:sz w:val="20"/>
                <w:szCs w:val="20"/>
                <w:color w:val="auto"/>
              </w:rPr>
            </w:pPr>
            <w:r>
              <w:rPr>
                <w:rFonts w:ascii="Arial" w:cs="Arial" w:eastAsia="Arial" w:hAnsi="Arial"/>
                <w:sz w:val="14"/>
                <w:szCs w:val="14"/>
                <w:b w:val="1"/>
                <w:bCs w:val="1"/>
                <w:color w:val="auto"/>
              </w:rPr>
              <w:t>Interests</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20"/>
                <w:szCs w:val="20"/>
                <w:color w:val="auto"/>
              </w:rPr>
            </w:pPr>
            <w:r>
              <w:rPr>
                <w:rFonts w:ascii="Arial" w:cs="Arial" w:eastAsia="Arial" w:hAnsi="Arial"/>
                <w:sz w:val="18"/>
                <w:szCs w:val="18"/>
                <w:color w:val="auto"/>
                <w:w w:val="99"/>
              </w:rPr>
              <w:t>Balance at December 31,</w:t>
            </w:r>
          </w:p>
        </w:tc>
        <w:tc>
          <w:tcPr>
            <w:tcW w:w="2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2011</w:t>
            </w: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w w:val="93"/>
              </w:rPr>
              <w:t>$ 9,800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w w:val="94"/>
              </w:rPr>
              <w:t>$ 3,834,460</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9"/>
              </w:rPr>
              <w:t>$ (2,078,397)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(237,341)</w:t>
            </w:r>
          </w:p>
        </w:tc>
        <w:tc>
          <w:tcPr>
            <w:tcW w:w="100" w:type="dxa"/>
            <w:vAlign w:val="bottom"/>
          </w:tcPr>
          <w:p>
            <w:pPr>
              <w:spacing w:after="0"/>
              <w:rPr>
                <w:sz w:val="20"/>
                <w:szCs w:val="20"/>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45,248</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8"/>
                <w:szCs w:val="18"/>
                <w:color w:val="auto"/>
              </w:rPr>
              <w:t>Dividends declared—</w:t>
            </w: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preferred</w:t>
            </w:r>
          </w:p>
        </w:tc>
        <w:tc>
          <w:tcPr>
            <w:tcW w:w="260" w:type="dxa"/>
            <w:vAlign w:val="bottom"/>
          </w:tcPr>
          <w:p>
            <w:pPr>
              <w:spacing w:after="0"/>
              <w:rPr>
                <w:sz w:val="20"/>
                <w:szCs w:val="20"/>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(31,740)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0"/>
                <w:szCs w:val="20"/>
                <w:color w:val="auto"/>
              </w:rPr>
            </w:pPr>
            <w:r>
              <w:rPr>
                <w:rFonts w:ascii="Arial" w:cs="Arial" w:eastAsia="Arial" w:hAnsi="Arial"/>
                <w:sz w:val="18"/>
                <w:szCs w:val="18"/>
                <w:color w:val="auto"/>
              </w:rPr>
              <w:t>Repurchase of stock</w:t>
            </w:r>
          </w:p>
        </w:tc>
        <w:tc>
          <w:tcPr>
            <w:tcW w:w="260" w:type="dxa"/>
            <w:vAlign w:val="bottom"/>
          </w:tcPr>
          <w:p>
            <w:pPr>
              <w:spacing w:after="0"/>
              <w:rPr>
                <w:sz w:val="23"/>
                <w:szCs w:val="2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8"/>
                <w:szCs w:val="18"/>
                <w:color w:val="auto"/>
                <w:w w:val="92"/>
              </w:rPr>
              <w:t>Issuance of stock/restricted</w:t>
            </w: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w w:val="94"/>
              </w:rPr>
              <w:t>stock unit amortization, net</w:t>
            </w:r>
          </w:p>
        </w:tc>
        <w:tc>
          <w:tcPr>
            <w:tcW w:w="260" w:type="dxa"/>
            <w:vAlign w:val="bottom"/>
          </w:tcPr>
          <w:p>
            <w:pPr>
              <w:spacing w:after="0"/>
              <w:rPr>
                <w:sz w:val="20"/>
                <w:szCs w:val="20"/>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8"/>
                <w:szCs w:val="18"/>
                <w:color w:val="auto"/>
              </w:rPr>
              <w:t>Net income (loss) for the</w:t>
            </w: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period(2)</w:t>
            </w:r>
          </w:p>
        </w:tc>
        <w:tc>
          <w:tcPr>
            <w:tcW w:w="260" w:type="dxa"/>
            <w:vAlign w:val="bottom"/>
          </w:tcPr>
          <w:p>
            <w:pPr>
              <w:spacing w:after="0"/>
              <w:rPr>
                <w:sz w:val="20"/>
                <w:szCs w:val="20"/>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(160,121)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8"/>
                <w:szCs w:val="18"/>
                <w:color w:val="auto"/>
              </w:rPr>
              <w:t>Change in accumulated</w:t>
            </w: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other comprehensive</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income (loss)</w:t>
            </w:r>
          </w:p>
        </w:tc>
        <w:tc>
          <w:tcPr>
            <w:tcW w:w="260" w:type="dxa"/>
            <w:vAlign w:val="bottom"/>
          </w:tcPr>
          <w:p>
            <w:pPr>
              <w:spacing w:after="0"/>
              <w:rPr>
                <w:sz w:val="20"/>
                <w:szCs w:val="20"/>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8"/>
                <w:szCs w:val="18"/>
                <w:color w:val="auto"/>
                <w:w w:val="96"/>
              </w:rPr>
              <w:t>Repurchase of convertible</w:t>
            </w: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notes</w:t>
            </w:r>
          </w:p>
        </w:tc>
        <w:tc>
          <w:tcPr>
            <w:tcW w:w="260" w:type="dxa"/>
            <w:vAlign w:val="bottom"/>
          </w:tcPr>
          <w:p>
            <w:pPr>
              <w:spacing w:after="0"/>
              <w:rPr>
                <w:sz w:val="20"/>
                <w:szCs w:val="20"/>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w w:val="96"/>
              </w:rPr>
              <w:t>attributable to redeemable</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0"/>
                <w:szCs w:val="20"/>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8"/>
                <w:szCs w:val="18"/>
                <w:color w:val="auto"/>
              </w:rPr>
              <w:t>Contributions from</w:t>
            </w: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w w:val="95"/>
              </w:rPr>
              <w:t>noncontrolling interests (3)</w:t>
            </w:r>
          </w:p>
        </w:tc>
        <w:tc>
          <w:tcPr>
            <w:tcW w:w="260" w:type="dxa"/>
            <w:vAlign w:val="bottom"/>
          </w:tcPr>
          <w:p>
            <w:pPr>
              <w:spacing w:after="0"/>
              <w:rPr>
                <w:sz w:val="20"/>
                <w:szCs w:val="20"/>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31,547</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Arial" w:cs="Arial" w:eastAsia="Arial" w:hAnsi="Arial"/>
                <w:sz w:val="18"/>
                <w:szCs w:val="18"/>
                <w:color w:val="auto"/>
              </w:rPr>
              <w:t>Distributions to</w:t>
            </w: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0"/>
                <w:szCs w:val="20"/>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
        </w:trPr>
        <w:tc>
          <w:tcPr>
            <w:tcW w:w="2040" w:type="dxa"/>
            <w:vAlign w:val="bottom"/>
            <w:vMerge w:val="restart"/>
          </w:tcPr>
          <w:p>
            <w:pPr>
              <w:spacing w:after="0"/>
              <w:rPr>
                <w:sz w:val="20"/>
                <w:szCs w:val="20"/>
                <w:color w:val="auto"/>
              </w:rPr>
            </w:pPr>
            <w:r>
              <w:rPr>
                <w:rFonts w:ascii="Arial" w:cs="Arial" w:eastAsia="Arial" w:hAnsi="Arial"/>
                <w:sz w:val="18"/>
                <w:szCs w:val="18"/>
                <w:color w:val="auto"/>
                <w:w w:val="97"/>
              </w:rPr>
              <w:t>Balance at September 30,</w:t>
            </w: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40" w:type="dxa"/>
            <w:vAlign w:val="bottom"/>
            <w:vMerge w:val="continue"/>
          </w:tcPr>
          <w:p>
            <w:pPr>
              <w:spacing w:after="0"/>
              <w:rPr>
                <w:sz w:val="18"/>
                <w:szCs w:val="18"/>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8"/>
                <w:szCs w:val="18"/>
                <w:color w:val="auto"/>
                <w:w w:val="99"/>
              </w:rPr>
              <w:t>$</w:t>
            </w: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680" w:type="dxa"/>
            <w:vAlign w:val="bottom"/>
            <w:vMerge w:val="restart"/>
          </w:tcPr>
          <w:p>
            <w:pPr>
              <w:jc w:val="right"/>
              <w:ind w:right="11"/>
              <w:spacing w:after="0"/>
              <w:rPr>
                <w:sz w:val="20"/>
                <w:szCs w:val="20"/>
                <w:color w:val="auto"/>
              </w:rPr>
            </w:pPr>
            <w:r>
              <w:rPr>
                <w:rFonts w:ascii="Arial" w:cs="Arial" w:eastAsia="Arial" w:hAnsi="Arial"/>
                <w:sz w:val="18"/>
                <w:szCs w:val="18"/>
                <w:color w:val="auto"/>
                <w:w w:val="93"/>
              </w:rPr>
              <w:t>$ 9,800</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vMerge w:val="restart"/>
          </w:tcPr>
          <w:p>
            <w:pPr>
              <w:jc w:val="right"/>
              <w:ind w:right="13"/>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8"/>
                <w:szCs w:val="18"/>
                <w:color w:val="auto"/>
              </w:rPr>
            </w:pPr>
          </w:p>
        </w:tc>
        <w:tc>
          <w:tcPr>
            <w:tcW w:w="1020" w:type="dxa"/>
            <w:vAlign w:val="bottom"/>
            <w:vMerge w:val="restart"/>
          </w:tcPr>
          <w:p>
            <w:pPr>
              <w:jc w:val="right"/>
              <w:ind w:right="14"/>
              <w:spacing w:after="0"/>
              <w:rPr>
                <w:sz w:val="20"/>
                <w:szCs w:val="20"/>
                <w:color w:val="auto"/>
              </w:rPr>
            </w:pPr>
            <w:r>
              <w:rPr>
                <w:rFonts w:ascii="Arial" w:cs="Arial" w:eastAsia="Arial" w:hAnsi="Arial"/>
                <w:sz w:val="18"/>
                <w:szCs w:val="18"/>
                <w:color w:val="auto"/>
                <w:w w:val="94"/>
              </w:rPr>
              <w:t>$ 3,829,925</w:t>
            </w:r>
          </w:p>
        </w:tc>
        <w:tc>
          <w:tcPr>
            <w:tcW w:w="1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w w:val="89"/>
              </w:rPr>
              <w:t>$ (2,270,258)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vMerge w:val="restart"/>
          </w:tcPr>
          <w:p>
            <w:pPr>
              <w:jc w:val="right"/>
              <w:ind w:right="21"/>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(241,969)</w:t>
            </w:r>
          </w:p>
        </w:tc>
        <w:tc>
          <w:tcPr>
            <w:tcW w:w="100" w:type="dxa"/>
            <w:vAlign w:val="bottom"/>
          </w:tcPr>
          <w:p>
            <w:pPr>
              <w:spacing w:after="0"/>
              <w:rPr>
                <w:sz w:val="18"/>
                <w:szCs w:val="18"/>
                <w:color w:val="auto"/>
              </w:rPr>
            </w:pPr>
          </w:p>
        </w:tc>
        <w:tc>
          <w:tcPr>
            <w:tcW w:w="220" w:type="dxa"/>
            <w:vAlign w:val="bottom"/>
            <w:vMerge w:val="restart"/>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11"/>
              <w:spacing w:after="0"/>
              <w:rPr>
                <w:sz w:val="20"/>
                <w:szCs w:val="20"/>
                <w:color w:val="auto"/>
              </w:rPr>
            </w:pPr>
            <w:r>
              <w:rPr>
                <w:rFonts w:ascii="Arial" w:cs="Arial" w:eastAsia="Arial" w:hAnsi="Arial"/>
                <w:sz w:val="18"/>
                <w:szCs w:val="18"/>
                <w:color w:val="auto"/>
              </w:rPr>
              <w:t>75,043</w:t>
            </w: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r>
              <w:rPr>
                <w:rFonts w:ascii="Arial" w:cs="Arial" w:eastAsia="Arial" w:hAnsi="Arial"/>
                <w:sz w:val="18"/>
                <w:szCs w:val="18"/>
                <w:color w:val="auto"/>
              </w:rPr>
              <w:t>2012</w:t>
            </w:r>
          </w:p>
        </w:tc>
        <w:tc>
          <w:tcPr>
            <w:tcW w:w="26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-3549650</wp:posOffset>
            </wp:positionV>
            <wp:extent cx="7246620" cy="35331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53314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w:t>
      </w:r>
    </w:p>
    <w:p>
      <w:pPr>
        <w:spacing w:after="0" w:line="20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Note 12 for details on the Company's Cumulative Redeemable Preferred Stock.</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nine months ended September 30, 2012, net loss shown above excludes $285 of net loss attributable to redeemable noncontrolling interests.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$27.3 million of land assets contributed by a noncontrolling partner (see Note 5).</w:t>
      </w:r>
    </w:p>
    <w:p>
      <w:pPr>
        <w:spacing w:after="0" w:line="12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7"/>
        <w:spacing w:after="0"/>
        <w:rPr>
          <w:sz w:val="20"/>
          <w:szCs w:val="20"/>
          <w:color w:val="auto"/>
        </w:rPr>
      </w:pPr>
      <w:r>
        <w:rPr>
          <w:rFonts w:ascii="Arial" w:cs="Arial" w:eastAsia="Arial" w:hAnsi="Arial"/>
          <w:sz w:val="14"/>
          <w:szCs w:val="14"/>
          <w:b w:val="1"/>
          <w:bCs w:val="1"/>
          <w:color w:val="auto"/>
        </w:rPr>
        <w:t>Total</w:t>
      </w:r>
    </w:p>
    <w:p>
      <w:pPr>
        <w:spacing w:after="0" w:line="4" w:lineRule="exact"/>
        <w:rPr>
          <w:sz w:val="20"/>
          <w:szCs w:val="20"/>
          <w:color w:val="auto"/>
        </w:rPr>
      </w:pPr>
    </w:p>
    <w:p>
      <w:pPr>
        <w:ind w:left="327"/>
        <w:spacing w:after="0"/>
        <w:rPr>
          <w:sz w:val="20"/>
          <w:szCs w:val="20"/>
          <w:color w:val="auto"/>
        </w:rPr>
      </w:pPr>
      <w:r>
        <w:rPr>
          <w:rFonts w:ascii="Arial" w:cs="Arial" w:eastAsia="Arial" w:hAnsi="Arial"/>
          <w:sz w:val="14"/>
          <w:szCs w:val="14"/>
          <w:b w:val="1"/>
          <w:bCs w:val="1"/>
          <w:color w:val="auto"/>
        </w:rPr>
        <w:t>Equity</w:t>
      </w:r>
    </w:p>
    <w:p>
      <w:pPr>
        <w:spacing w:after="0" w:line="250" w:lineRule="exact"/>
        <w:rPr>
          <w:sz w:val="20"/>
          <w:szCs w:val="20"/>
          <w:color w:val="auto"/>
        </w:rPr>
      </w:pPr>
    </w:p>
    <w:p>
      <w:pPr>
        <w:ind w:left="287" w:hanging="287"/>
        <w:spacing w:after="0"/>
        <w:tabs>
          <w:tab w:leader="none" w:pos="287" w:val="left"/>
        </w:tabs>
        <w:numPr>
          <w:ilvl w:val="0"/>
          <w:numId w:val="6"/>
        </w:numPr>
        <w:rPr>
          <w:rFonts w:ascii="Arial" w:cs="Arial" w:eastAsia="Arial" w:hAnsi="Arial"/>
          <w:sz w:val="17"/>
          <w:szCs w:val="17"/>
          <w:color w:val="auto"/>
        </w:rPr>
      </w:pPr>
      <w:r>
        <w:rPr>
          <w:rFonts w:ascii="Arial" w:cs="Arial" w:eastAsia="Arial" w:hAnsi="Arial"/>
          <w:sz w:val="17"/>
          <w:szCs w:val="17"/>
          <w:color w:val="auto"/>
        </w:rPr>
        <w:t>1,573,604</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(31,740)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(4,628)</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(148)</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(161,199)</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(1,684)</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(2,728)</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(1,657)</w:t>
      </w:r>
    </w:p>
    <w:p>
      <w:pPr>
        <w:spacing w:after="0" w:line="279" w:lineRule="exact"/>
        <w:rPr>
          <w:sz w:val="20"/>
          <w:szCs w:val="20"/>
          <w:color w:val="auto"/>
        </w:rPr>
      </w:pPr>
    </w:p>
    <w:p>
      <w:pPr>
        <w:ind w:left="507"/>
        <w:spacing w:after="0"/>
        <w:rPr>
          <w:sz w:val="20"/>
          <w:szCs w:val="20"/>
          <w:color w:val="auto"/>
        </w:rPr>
      </w:pPr>
      <w:r>
        <w:rPr>
          <w:rFonts w:ascii="Arial" w:cs="Arial" w:eastAsia="Arial" w:hAnsi="Arial"/>
          <w:sz w:val="18"/>
          <w:szCs w:val="18"/>
          <w:color w:val="auto"/>
        </w:rPr>
        <w:t>31,547</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(674)</w:t>
      </w:r>
    </w:p>
    <w:p>
      <w:pPr>
        <w:spacing w:after="0" w:line="266" w:lineRule="exact"/>
        <w:rPr>
          <w:sz w:val="20"/>
          <w:szCs w:val="20"/>
          <w:color w:val="auto"/>
        </w:rPr>
      </w:pPr>
    </w:p>
    <w:p>
      <w:pPr>
        <w:ind w:left="287" w:hanging="287"/>
        <w:spacing w:after="0"/>
        <w:tabs>
          <w:tab w:leader="none" w:pos="287" w:val="left"/>
        </w:tabs>
        <w:numPr>
          <w:ilvl w:val="0"/>
          <w:numId w:val="7"/>
        </w:numPr>
        <w:rPr>
          <w:rFonts w:ascii="Arial" w:cs="Arial" w:eastAsia="Arial" w:hAnsi="Arial"/>
          <w:sz w:val="17"/>
          <w:szCs w:val="17"/>
          <w:color w:val="auto"/>
        </w:rPr>
      </w:pPr>
      <w:r>
        <w:rPr>
          <w:rFonts w:ascii="Arial" w:cs="Arial" w:eastAsia="Arial" w:hAnsi="Arial"/>
          <w:sz w:val="17"/>
          <w:szCs w:val="17"/>
          <w:color w:val="auto"/>
        </w:rPr>
        <w:t>1,400,693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56515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2">
            <w:col w:w="10160" w:space="153"/>
            <w:col w:w="1067"/>
          </w:cols>
          <w:pgMar w:left="240" w:top="118" w:right="279" w:bottom="1440" w:gutter="0" w:footer="0" w:header="0"/>
        </w:sectPr>
      </w:pPr>
    </w:p>
    <w:bookmarkStart w:id="7" w:name="page8"/>
    <w:bookmarkEnd w:id="7"/>
    <w:p>
      <w:pPr>
        <w:spacing w:after="0" w:line="45" w:lineRule="exact"/>
        <w:rPr>
          <w:sz w:val="20"/>
          <w:szCs w:val="20"/>
          <w:color w:val="auto"/>
        </w:rPr>
      </w:pPr>
    </w:p>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For the 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469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2011</w:t>
            </w:r>
          </w:p>
        </w:tc>
      </w:tr>
      <w:tr>
        <w:trPr>
          <w:trHeight w:val="256"/>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(161,484)</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3,220</w:t>
            </w:r>
          </w:p>
        </w:tc>
      </w:tr>
      <w:tr>
        <w:trPr>
          <w:trHeight w:val="276"/>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cash flows from operating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Provision for loan losses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60,865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30,462</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Impairment of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31,844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14,140</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51,205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47,142</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Payments for withholding taxes upon vesting of stock-based compensation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(11,775)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Non-cash expense for stock-based compensation</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11,625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15,622</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Amortization of discounts/premiums and deferred financing costs on debt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26,406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23,489</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Amortization of discounts/premiums and deferred interest on lending investments</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(38,435)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(52,027)</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Earnings from equity method investments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(75,925)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(54,881)</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Distributions from operations of equity method investments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77,625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45,846</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Deferred operating lease income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(8,454)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(6,750)</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Income from sales of residential property</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(35,583)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Gain from discontinued operations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(27,257)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(22,198)</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Gain (loss) on early extinguishment of debt, net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6,384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(98,624)</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Repayments and repurchases of debt - debt discount (1)</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(20,529)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(4,651)</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Other operating activities, net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6,540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1,667</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Changes in assets and liabilities: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8320" w:type="dxa"/>
            <w:vAlign w:val="bottom"/>
          </w:tcPr>
          <w:p>
            <w:pPr>
              <w:ind w:left="280"/>
              <w:spacing w:after="0"/>
              <w:rPr>
                <w:sz w:val="20"/>
                <w:szCs w:val="20"/>
                <w:color w:val="auto"/>
              </w:rPr>
            </w:pPr>
            <w:r>
              <w:rPr>
                <w:rFonts w:ascii="Arial" w:cs="Arial" w:eastAsia="Arial" w:hAnsi="Arial"/>
                <w:sz w:val="14"/>
                <w:szCs w:val="14"/>
                <w:color w:val="auto"/>
              </w:rPr>
              <w:t>Changes in accrued interest and operating lease income receivable, net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3,581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5,747</w:t>
            </w:r>
          </w:p>
        </w:tc>
      </w:tr>
      <w:tr>
        <w:trPr>
          <w:trHeight w:val="276"/>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deferred expenses and other assets,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(2,572)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1,720</w:t>
            </w:r>
          </w:p>
        </w:tc>
      </w:tr>
      <w:tr>
        <w:trPr>
          <w:trHeight w:val="264"/>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Changes in accounts payable, accrued expenses and other liabilities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21,366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33,214</w:t>
            </w:r>
          </w:p>
        </w:tc>
      </w:tr>
      <w:tr>
        <w:trPr>
          <w:trHeight w:val="256"/>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flows from operating activities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(84,573)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(17,723)</w:t>
            </w:r>
          </w:p>
        </w:tc>
      </w:tr>
      <w:tr>
        <w:trPr>
          <w:trHeight w:val="244"/>
        </w:trPr>
        <w:tc>
          <w:tcPr>
            <w:tcW w:w="832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Fundings under existing loan commitments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(58,420)</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Repayments of and principal collections on loans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479,965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1,070,039</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proceeds from sales of loans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56,998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88,751</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Net proceeds from sales of net lease assets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142,714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672</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proceeds from sales of other real estate owned</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315,021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139,279</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Contributions to unconsolidated entities</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(8,466)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(31,462)</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Distributions from unconsolidated entities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51,506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16,434</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Capital expenditures on net lease assets</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(5,565)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(11,138)</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Capital expenditures on REHI and OREO</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(40,171)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(34,915)</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Changes in restricted cash held in connection with investing activities</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(462,217)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(25,165)</w:t>
            </w:r>
          </w:p>
        </w:tc>
      </w:tr>
      <w:tr>
        <w:trPr>
          <w:trHeight w:val="270"/>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investing activities, net</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w:t>
            </w:r>
          </w:p>
        </w:tc>
      </w:tr>
      <w:tr>
        <w:trPr>
          <w:trHeight w:val="250"/>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Cash flows from investing activities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501,432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1,153,820</w:t>
            </w:r>
          </w:p>
        </w:tc>
      </w:tr>
      <w:tr>
        <w:trPr>
          <w:trHeight w:val="256"/>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Borrowings under secured credit facilities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850,465</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2,913,250</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Repayments under secured credit facilities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(603,419)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(1,381,315)</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Repayments under unsecured credit facilities</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(244,046)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(506,600)</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Borrowings under secured term loans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54,500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124,575</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Repayments under secured term loans</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(109,541)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(1,682,009)</w:t>
            </w:r>
          </w:p>
        </w:tc>
      </w:tr>
      <w:tr>
        <w:trPr>
          <w:trHeight w:val="276"/>
        </w:trPr>
        <w:tc>
          <w:tcPr>
            <w:tcW w:w="8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Borrowings under unsecured notes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264,029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Repayments under unsecured notes</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(259,584)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(374,775)</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Repurchases and redemptions of secured and unsecured notes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(404,449)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(371,815)</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Payments for deferred financing costs</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(4,189)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(35,545)</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Preferred dividends paid</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(31,740)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(31,740)</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Purchase of treasury stock</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(4,628)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(78,849)</w:t>
            </w:r>
          </w:p>
        </w:tc>
      </w:tr>
      <w:tr>
        <w:trPr>
          <w:trHeight w:val="270"/>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financing activities, net</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3,576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876</w:t>
            </w:r>
          </w:p>
        </w:tc>
      </w:tr>
      <w:tr>
        <w:trPr>
          <w:trHeight w:val="250"/>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Cash flows from financing activities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(489,026)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(1,423,947)</w:t>
            </w:r>
          </w:p>
        </w:tc>
      </w:tr>
      <w:tr>
        <w:trPr>
          <w:trHeight w:val="25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Changes in cash and cash equivalents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(72,167)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(287,850)</w:t>
            </w:r>
          </w:p>
        </w:tc>
      </w:tr>
      <w:tr>
        <w:trPr>
          <w:trHeight w:val="264"/>
        </w:trPr>
        <w:tc>
          <w:tcPr>
            <w:tcW w:w="83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Cash and cash equivalents at beginning of period</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356,826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504,865</w:t>
            </w:r>
          </w:p>
        </w:tc>
      </w:tr>
      <w:tr>
        <w:trPr>
          <w:trHeight w:val="243"/>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Cash and cash equivalents at end of period</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284,659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217,015</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84" w:orient="portrait"/>
          <w:cols w:equalWidth="0" w:num="1">
            <w:col w:w="11400"/>
          </w:cols>
          <w:pgMar w:left="240" w:top="118" w:right="259" w:bottom="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w:t>
      </w:r>
    </w:p>
    <w:p>
      <w:pPr>
        <w:spacing w:after="0" w:line="205" w:lineRule="exact"/>
        <w:rPr>
          <w:sz w:val="20"/>
          <w:szCs w:val="20"/>
          <w:color w:val="auto"/>
        </w:rPr>
      </w:pPr>
    </w:p>
    <w:p>
      <w:pPr>
        <w:ind w:left="660" w:hanging="328"/>
        <w:spacing w:after="0" w:line="273"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the portion of debt repayments and repurchases made during the period related to the original issue discount ("OID"). Although these amounts do not reflect contractual interest payments made during the period, the OID is considered an operating cash flow in accordance with GAAP.</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3"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6"/>
          <w:szCs w:val="16"/>
          <w:b w:val="1"/>
          <w:bCs w:val="1"/>
          <w:color w:val="auto"/>
        </w:rPr>
        <w:t>Business</w:t>
      </w:r>
      <w:r>
        <w:rPr>
          <w:rFonts w:ascii="Arial" w:cs="Arial" w:eastAsia="Arial" w:hAnsi="Arial"/>
          <w:sz w:val="16"/>
          <w:szCs w:val="16"/>
          <w:color w:val="auto"/>
        </w:rPr>
        <w:t>—iStar Financial Inc., or the "Company," is a fully-integrated finance and investment company focused on the commercial real estate industry.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provides custom-tailored investment capital to high-end private and corporate owners of real estate and invests directly across a range of real estate sectors. The Company, which is taxed as a real estate investment trust, or "REIT," has invested more than $35 billion over the past two decades. The Company's three primary business segments are real estate lending, net leasing and real estate investment. See Note 10 for discussion of business risks and uncertainties, including the impact of recent economic conditions on the Company and the Company's liquidity and capital resources.</w:t>
      </w:r>
    </w:p>
    <w:p>
      <w:pPr>
        <w:spacing w:after="0" w:line="154"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Organization</w:t>
      </w:r>
      <w:r>
        <w:rPr>
          <w:rFonts w:ascii="Arial" w:cs="Arial" w:eastAsia="Arial" w:hAnsi="Arial"/>
          <w:sz w:val="18"/>
          <w:szCs w:val="18"/>
          <w:color w:val="auto"/>
        </w:rPr>
        <w:t>—The Company began its business in 1993 through private investment funds and became publicly traded in 1998. Since that time,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has grown through the origination of new lending and leasing transactions, as well as through corporate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Consolidation</w:t>
      </w:r>
    </w:p>
    <w:p>
      <w:pPr>
        <w:spacing w:after="0" w:line="225"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unaudited Consolidated Financial Statements have been prepared in conformity with the instructions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2011.</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opinion of management, the accompanying Consolidated Financial Statements contain all adjustments, consisting of normal recurring adjustments necessary for a fair statement of the results for the interim periods presented. Such operating results may not be indicative of the expected results for any other interim periods or the entire year.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Certain prior year amounts have been reclassified in the Consolidated Financial Statements and the related Notes to conform to the 2012 presentation.</w:t>
      </w:r>
    </w:p>
    <w:p>
      <w:pPr>
        <w:spacing w:after="0" w:line="244"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financial statements of the Company, its wholly 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partnerships and variable interest entities ("VIEs") for which the Company is the primary beneficiary. All significant intercompany balances and transactions have been eliminated in consolidation.</w:t>
      </w:r>
    </w:p>
    <w:p>
      <w:pPr>
        <w:spacing w:after="0" w:line="18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Consolidated VIEs</w:t>
      </w:r>
      <w:r>
        <w:rPr>
          <w:rFonts w:ascii="Arial" w:cs="Arial" w:eastAsia="Arial" w:hAnsi="Arial"/>
          <w:sz w:val="18"/>
          <w:szCs w:val="18"/>
          <w:color w:val="auto"/>
        </w:rPr>
        <w:t>—As of September 30, 2012, the Company consolidated five VIEs for which the Company is considered the primary beneficiary.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these entities had debt as of September 30, 2012 and December 31, 2011. The assets and liabilities of the Company's consolidated VIEs are included in the Company's Consolidated Balance Sheets. The Company's total unfunded commitments related to consolidated VIEs is $61.2 million as of September 30, 2012.</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Unconsolidated VIEs</w:t>
      </w:r>
      <w:r>
        <w:rPr>
          <w:rFonts w:ascii="Arial" w:cs="Arial" w:eastAsia="Arial" w:hAnsi="Arial"/>
          <w:sz w:val="18"/>
          <w:szCs w:val="18"/>
          <w:color w:val="auto"/>
        </w:rPr>
        <w:t>—As of September 30, 2012, 26 of the Company's other investments were in VIEs where it is not the primary beneficiary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accordingly the VIEs have not been consolidated in the Company's Consolidated Financial Statements. As of September 30, 2012, the Company's maximum exposure to loss from these investments does not exceed the sum of the $186.8 million carrying value of the investments and $7.7 million of related unfunded commitments.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September 30, 2012, the Company's significant accounting policies, which are detailed in the Company's Annual Report on Form 10-K for the year ended December 31, 2011, have not changed materially.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June 2011, the Financial Accounting Standards Board ("FASB") issued Accounting Standards Update ("ASU") 2011-05, "Presentation of Comprehensive Income," which requires entities to (1) present net income and other comprehensive income in either a single continuous statement or in two separate, but consecutive, statements of net income and other comprehensive income and (2) present reclassification of other comprehensive income on the face of the income statement. In December 2011, the FASB issued ASU 2011-12, "Deferral of the Effective Date for Amendments to the Presentation of Reclassifications of Items Out of Accumulated Other Comprehensive Income in Accounting Standards Update No. 2011-05," which deferred the requirements of entities to present reclassification of other comprehensive income on the face of the income statement. Both standards are effective in interim and fiscal years beginning after December 15, 2011 and applied retrospectively. The Company adopted this ASU beginning with the reporting period ended March 31, 2012, as required, and now presents Consolidated Statements of Comprehensive Income (Loss).</w:t>
      </w:r>
    </w:p>
    <w:p>
      <w:pPr>
        <w:spacing w:after="0" w:line="17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May 2011, the FASB issued ASU 2011-04, "Amendments to Achieve Common Fair Value Measurement and Disclosure Requirements in U.S. GAAP and IFRSs." This ASU is a result of joint efforts by the FASB and IASB to develop a single, converged framework on how to measure fair value and what disclosures to provide about fair value measurements. This ASU is largely consistent with existing fair value measurement principles of U.S. GAAP, however, it expands existing disclosure requirements for fair value measurements. The ASU is effective for interim and annual reporting periods beginning after December 15, 2011 and applied prospectively. The Company adopted this ASU beginning with the reporting period ended March 31, 2012, as required. Adoption of this guidance resulted in expanded disclosures on fair value measurements, included in Note 15, but did not have an impact on the Company's measurements of fair value.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loans and other lending investments by class ($ in thousands)(1):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As of</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Investment(1)</w:t>
            </w:r>
          </w:p>
        </w:tc>
        <w:tc>
          <w:tcPr>
            <w:tcW w:w="180" w:type="dxa"/>
            <w:vAlign w:val="bottom"/>
          </w:tcPr>
          <w:p>
            <w:pPr>
              <w:spacing w:after="0"/>
              <w:rPr>
                <w:sz w:val="13"/>
                <w:szCs w:val="13"/>
                <w:color w:val="auto"/>
              </w:rPr>
            </w:pPr>
          </w:p>
        </w:tc>
        <w:tc>
          <w:tcPr>
            <w:tcW w:w="114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w w:val="98"/>
              </w:rPr>
              <w:t>September 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0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47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6"/>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2,041,784</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2,801,213</w:t>
            </w:r>
          </w:p>
        </w:tc>
        <w:tc>
          <w:tcPr>
            <w:tcW w:w="0" w:type="dxa"/>
            <w:vAlign w:val="bottom"/>
          </w:tcPr>
          <w:p>
            <w:pPr>
              <w:spacing w:after="0"/>
              <w:rPr>
                <w:sz w:val="1"/>
                <w:szCs w:val="1"/>
                <w:color w:val="auto"/>
              </w:rPr>
            </w:pP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Subordinate mortgages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150,917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211,491</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Corporate/Partnership loans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469,520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478,892</w:t>
            </w:r>
          </w:p>
        </w:tc>
        <w:tc>
          <w:tcPr>
            <w:tcW w:w="0" w:type="dxa"/>
            <w:vAlign w:val="bottom"/>
          </w:tcPr>
          <w:p>
            <w:pPr>
              <w:spacing w:after="0"/>
              <w:rPr>
                <w:sz w:val="1"/>
                <w:szCs w:val="1"/>
                <w:color w:val="auto"/>
              </w:rPr>
            </w:pPr>
          </w:p>
        </w:tc>
      </w:tr>
      <w:tr>
        <w:trPr>
          <w:trHeight w:val="237"/>
        </w:trPr>
        <w:tc>
          <w:tcPr>
            <w:tcW w:w="8060" w:type="dxa"/>
            <w:vAlign w:val="bottom"/>
          </w:tcPr>
          <w:p>
            <w:pPr>
              <w:ind w:left="180"/>
              <w:spacing w:after="0"/>
              <w:rPr>
                <w:sz w:val="20"/>
                <w:szCs w:val="20"/>
                <w:color w:val="auto"/>
              </w:rPr>
            </w:pPr>
            <w:r>
              <w:rPr>
                <w:rFonts w:ascii="Arial" w:cs="Arial" w:eastAsia="Arial" w:hAnsi="Arial"/>
                <w:sz w:val="18"/>
                <w:szCs w:val="18"/>
                <w:color w:val="auto"/>
              </w:rPr>
              <w:t>Total gross carrying value of loans(1)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2,662,221</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3,491,596</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Reserves for loan losses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(543,498)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(646,624)</w:t>
            </w:r>
          </w:p>
        </w:tc>
        <w:tc>
          <w:tcPr>
            <w:tcW w:w="0" w:type="dxa"/>
            <w:vAlign w:val="bottom"/>
          </w:tcPr>
          <w:p>
            <w:pPr>
              <w:spacing w:after="0"/>
              <w:rPr>
                <w:sz w:val="1"/>
                <w:szCs w:val="1"/>
                <w:color w:val="auto"/>
              </w:rPr>
            </w:pPr>
          </w:p>
        </w:tc>
      </w:tr>
      <w:tr>
        <w:trPr>
          <w:trHeight w:val="237"/>
        </w:trPr>
        <w:tc>
          <w:tcPr>
            <w:tcW w:w="8060" w:type="dxa"/>
            <w:vAlign w:val="bottom"/>
          </w:tcPr>
          <w:p>
            <w:pPr>
              <w:ind w:left="180"/>
              <w:spacing w:after="0"/>
              <w:rPr>
                <w:sz w:val="20"/>
                <w:szCs w:val="20"/>
                <w:color w:val="auto"/>
              </w:rPr>
            </w:pPr>
            <w:r>
              <w:rPr>
                <w:rFonts w:ascii="Arial" w:cs="Arial" w:eastAsia="Arial" w:hAnsi="Arial"/>
                <w:sz w:val="18"/>
                <w:szCs w:val="18"/>
                <w:color w:val="auto"/>
              </w:rPr>
              <w:t>Total carrying value of loans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2,118,723</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2,844,972</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lending investments—securities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15,790</w:t>
            </w:r>
          </w:p>
        </w:tc>
        <w:tc>
          <w:tcPr>
            <w:tcW w:w="0" w:type="dxa"/>
            <w:vAlign w:val="bottom"/>
          </w:tcPr>
          <w:p>
            <w:pPr>
              <w:spacing w:after="0"/>
              <w:rPr>
                <w:sz w:val="1"/>
                <w:szCs w:val="1"/>
                <w:color w:val="auto"/>
              </w:rPr>
            </w:pPr>
          </w:p>
        </w:tc>
      </w:tr>
      <w:tr>
        <w:trPr>
          <w:trHeight w:val="257"/>
        </w:trPr>
        <w:tc>
          <w:tcPr>
            <w:tcW w:w="8060" w:type="dxa"/>
            <w:vAlign w:val="bottom"/>
          </w:tcPr>
          <w:p>
            <w:pPr>
              <w:ind w:left="180"/>
              <w:spacing w:after="0"/>
              <w:rPr>
                <w:sz w:val="20"/>
                <w:szCs w:val="20"/>
                <w:color w:val="auto"/>
              </w:rPr>
            </w:pPr>
            <w:r>
              <w:rPr>
                <w:rFonts w:ascii="Arial" w:cs="Arial" w:eastAsia="Arial" w:hAnsi="Arial"/>
                <w:sz w:val="18"/>
                <w:szCs w:val="18"/>
                <w:color w:val="auto"/>
              </w:rPr>
              <w:t>Total loans and other lending investments,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2,118,723</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2,860,762</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right="20" w:hanging="652"/>
        <w:spacing w:after="0" w:line="27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Company's recorded investment in loans as of September 30, 2012 and December 31, 2011, was $2.67 billion and $3.50 billion, respectively, which consists of total gross carrying value of loans plus accrued interest of $9.5 million and $13.3 million, for the same two periods, respectively.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During the nine months ended September 30, 2012, the Company funded $29.2 million under existing loan commitments and add-on fundings and received principal repayments of $480.0 million. During the same period, the Company sold loans with a total carrying value of $53.9 million, for which it recognized charge-offs of $3.3 million and also recorded income of $6.4 million in "Other income" on the Company's Consolidated Statements of Operations.</w:t>
      </w:r>
    </w:p>
    <w:p>
      <w:pPr>
        <w:spacing w:after="0" w:line="14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nine months ended September 30, 2012, the Company received title to properties in full or partial satisfaction of non-performing mortgage loans with a gross carrying value of $264.5 million, for which the properties had served as collateral, and recorded charge-offs totaling $52.5 million related to these loans. These properties were recorded as real estate held for investment ("REHI") or other real estate owned ("OREO") on the Company's Consolidated Balance Sheets (see Note 5).</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—Changes in the Company's reserve for loan losses were as follows ($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For the Three Months</w:t>
            </w:r>
          </w:p>
        </w:tc>
        <w:tc>
          <w:tcPr>
            <w:tcW w:w="340" w:type="dxa"/>
            <w:vAlign w:val="bottom"/>
          </w:tcPr>
          <w:p>
            <w:pPr>
              <w:spacing w:after="0"/>
              <w:rPr>
                <w:sz w:val="14"/>
                <w:szCs w:val="14"/>
                <w:color w:val="auto"/>
              </w:rPr>
            </w:pPr>
          </w:p>
        </w:tc>
        <w:tc>
          <w:tcPr>
            <w:tcW w:w="2620" w:type="dxa"/>
            <w:vAlign w:val="bottom"/>
            <w:gridSpan w:val="4"/>
          </w:tcPr>
          <w:p>
            <w:pPr>
              <w:ind w:left="500"/>
              <w:spacing w:after="0"/>
              <w:rPr>
                <w:sz w:val="20"/>
                <w:szCs w:val="20"/>
                <w:color w:val="auto"/>
              </w:rPr>
            </w:pPr>
            <w:r>
              <w:rPr>
                <w:rFonts w:ascii="Arial" w:cs="Arial" w:eastAsia="Arial" w:hAnsi="Arial"/>
                <w:sz w:val="14"/>
                <w:szCs w:val="14"/>
                <w:b w:val="1"/>
                <w:bCs w:val="1"/>
                <w:color w:val="auto"/>
              </w:rPr>
              <w:t>For the Nine Months</w:t>
            </w:r>
          </w:p>
        </w:tc>
      </w:tr>
      <w:tr>
        <w:trPr>
          <w:trHeight w:val="192"/>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2"/>
              </w:rPr>
              <w:t>Ended September 30,</w:t>
            </w:r>
          </w:p>
        </w:tc>
        <w:tc>
          <w:tcPr>
            <w:tcW w:w="340" w:type="dxa"/>
            <w:vAlign w:val="bottom"/>
          </w:tcPr>
          <w:p>
            <w:pPr>
              <w:spacing w:after="0"/>
              <w:rPr>
                <w:sz w:val="16"/>
                <w:szCs w:val="16"/>
                <w:color w:val="auto"/>
              </w:rPr>
            </w:pPr>
          </w:p>
        </w:tc>
        <w:tc>
          <w:tcPr>
            <w:tcW w:w="2620" w:type="dxa"/>
            <w:vAlign w:val="bottom"/>
            <w:gridSpan w:val="4"/>
          </w:tcPr>
          <w:p>
            <w:pPr>
              <w:ind w:left="500"/>
              <w:spacing w:after="0"/>
              <w:rPr>
                <w:sz w:val="20"/>
                <w:szCs w:val="20"/>
                <w:color w:val="auto"/>
              </w:rPr>
            </w:pPr>
            <w:r>
              <w:rPr>
                <w:rFonts w:ascii="Arial" w:cs="Arial" w:eastAsia="Arial" w:hAnsi="Arial"/>
                <w:sz w:val="14"/>
                <w:szCs w:val="14"/>
                <w:b w:val="1"/>
                <w:bCs w:val="1"/>
                <w:color w:val="auto"/>
              </w:rPr>
              <w:t>Ended September 30,</w:t>
            </w:r>
          </w:p>
        </w:tc>
      </w:tr>
      <w:tr>
        <w:trPr>
          <w:trHeight w:val="264"/>
        </w:trPr>
        <w:tc>
          <w:tcPr>
            <w:tcW w:w="49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2011</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Reserve for loan losses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563,786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701,228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646,624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814,625</w:t>
            </w: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340" w:type="dxa"/>
            <w:vAlign w:val="bottom"/>
          </w:tcPr>
          <w:p>
            <w:pPr>
              <w:spacing w:after="0"/>
              <w:rPr>
                <w:sz w:val="21"/>
                <w:szCs w:val="21"/>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16,834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9,232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60,865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30,462</w:t>
            </w: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Charge-offs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(163,991)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(134,970)</w:t>
            </w:r>
          </w:p>
        </w:tc>
      </w:tr>
      <w:tr>
        <w:trPr>
          <w:trHeight w:val="257"/>
        </w:trPr>
        <w:tc>
          <w:tcPr>
            <w:tcW w:w="4980" w:type="dxa"/>
            <w:vAlign w:val="bottom"/>
          </w:tcPr>
          <w:p>
            <w:pPr>
              <w:ind w:left="40"/>
              <w:spacing w:after="0"/>
              <w:rPr>
                <w:sz w:val="20"/>
                <w:szCs w:val="20"/>
                <w:color w:val="auto"/>
              </w:rPr>
            </w:pPr>
            <w:r>
              <w:rPr>
                <w:rFonts w:ascii="Arial" w:cs="Arial" w:eastAsia="Arial" w:hAnsi="Arial"/>
                <w:sz w:val="18"/>
                <w:szCs w:val="18"/>
                <w:b w:val="1"/>
                <w:bCs w:val="1"/>
                <w:color w:val="auto"/>
              </w:rPr>
              <w:t>Reserve for loan losses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543,498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710,117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543,498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710,117</w:t>
            </w:r>
          </w:p>
        </w:tc>
      </w:tr>
      <w:tr>
        <w:trPr>
          <w:trHeight w:val="20"/>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Company's recorded investment in loans (comprised of a loan's carrying value plus accrued interest) and the associated reserve for loan losses were as follows ($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Individually</w:t>
            </w:r>
          </w:p>
        </w:tc>
        <w:tc>
          <w:tcPr>
            <w:tcW w:w="20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Collectively</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Loans Acquired</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Evaluated for</w:t>
            </w:r>
          </w:p>
        </w:tc>
        <w:tc>
          <w:tcPr>
            <w:tcW w:w="20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18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with Deteriorated</w:t>
            </w:r>
          </w:p>
        </w:tc>
        <w:tc>
          <w:tcPr>
            <w:tcW w:w="380" w:type="dxa"/>
            <w:vAlign w:val="bottom"/>
          </w:tcPr>
          <w:p>
            <w:pPr>
              <w:spacing w:after="0"/>
              <w:rPr>
                <w:sz w:val="12"/>
                <w:szCs w:val="12"/>
                <w:color w:val="auto"/>
              </w:rPr>
            </w:pPr>
          </w:p>
        </w:tc>
        <w:tc>
          <w:tcPr>
            <w:tcW w:w="11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Impairment(1)</w:t>
            </w:r>
          </w:p>
        </w:tc>
        <w:tc>
          <w:tcPr>
            <w:tcW w:w="20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Impairment(2)</w:t>
            </w:r>
          </w:p>
        </w:tc>
        <w:tc>
          <w:tcPr>
            <w:tcW w:w="18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Credit Quality(3)</w:t>
            </w: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2012</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Loans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1,239,197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1,374,838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57,700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2,671,735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(486,557)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(543,498)</w:t>
            </w:r>
          </w:p>
        </w:tc>
        <w:tc>
          <w:tcPr>
            <w:tcW w:w="0" w:type="dxa"/>
            <w:vAlign w:val="bottom"/>
          </w:tcPr>
          <w:p>
            <w:pPr>
              <w:spacing w:after="0"/>
              <w:rPr>
                <w:sz w:val="1"/>
                <w:szCs w:val="1"/>
                <w:color w:val="auto"/>
              </w:rPr>
            </w:pPr>
          </w:p>
        </w:tc>
      </w:tr>
      <w:tr>
        <w:trPr>
          <w:trHeight w:val="297"/>
        </w:trPr>
        <w:tc>
          <w:tcPr>
            <w:tcW w:w="4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752,640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1,337,238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38,359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2,128,237</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2011</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Loans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1,525,337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1,919,876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59,648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3,504,861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(554,131)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(646,624)</w:t>
            </w:r>
          </w:p>
        </w:tc>
        <w:tc>
          <w:tcPr>
            <w:tcW w:w="0" w:type="dxa"/>
            <w:vAlign w:val="bottom"/>
          </w:tcPr>
          <w:p>
            <w:pPr>
              <w:spacing w:after="0"/>
              <w:rPr>
                <w:sz w:val="1"/>
                <w:szCs w:val="1"/>
                <w:color w:val="auto"/>
              </w:rPr>
            </w:pPr>
          </w:p>
        </w:tc>
      </w:tr>
      <w:tr>
        <w:trPr>
          <w:trHeight w:val="257"/>
        </w:trPr>
        <w:tc>
          <w:tcPr>
            <w:tcW w:w="454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971,206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1,846,376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40,655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2,858,237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4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aggregating to a net discount of $1.8 million and a net premium of $0.1 million as of September 30, 2012 and December 31, 2011, respectively. The Company's loans individually evaluated for impairment primarily represent loans on non-accrual status and therefore, the unamortized amounts associated with these loans are not currently being amortized into income.</w:t>
      </w:r>
    </w:p>
    <w:p>
      <w:pPr>
        <w:spacing w:after="0" w:line="1" w:lineRule="exact"/>
        <w:rPr>
          <w:rFonts w:ascii="Arial" w:cs="Arial" w:eastAsia="Arial" w:hAnsi="Arial"/>
          <w:sz w:val="14"/>
          <w:szCs w:val="14"/>
          <w:color w:val="auto"/>
        </w:rPr>
      </w:pPr>
    </w:p>
    <w:p>
      <w:pPr>
        <w:ind w:left="660" w:hanging="652"/>
        <w:spacing w:after="0" w:line="241"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aggregating to a net discount of $2.9 million and $0.2 million as of September 30, 2012 and December 31, 2011, respectively.</w:t>
      </w:r>
    </w:p>
    <w:p>
      <w:pPr>
        <w:jc w:val="both"/>
        <w:ind w:left="660" w:hanging="652"/>
        <w:spacing w:after="0" w:line="248"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aggregating to a net premium of $0.1 million and a net discount of $15.0 million as of September 30, 2012 and December 31, 2011. These loans had cumulative principal balances of $58.1 million and $74.5 million, as of September 30, 2012 and December 31, 2011, respectively.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Credit Characteristics</w:t>
      </w:r>
      <w:r>
        <w:rPr>
          <w:rFonts w:ascii="Arial" w:cs="Arial" w:eastAsia="Arial" w:hAnsi="Arial"/>
          <w:sz w:val="18"/>
          <w:szCs w:val="18"/>
          <w:color w:val="auto"/>
        </w:rPr>
        <w:t>—As part of the Company's process for monitoring the credit quality of its loans, it performs a quarterly loan portfolio</w:t>
      </w:r>
      <w:r>
        <w:rPr>
          <w:rFonts w:ascii="Arial" w:cs="Arial" w:eastAsia="Arial" w:hAnsi="Arial"/>
          <w:sz w:val="18"/>
          <w:szCs w:val="18"/>
          <w:b w:val="1"/>
          <w:bCs w:val="1"/>
          <w:color w:val="auto"/>
        </w:rPr>
        <w:t xml:space="preserve"> </w:t>
      </w:r>
      <w:r>
        <w:rPr>
          <w:rFonts w:ascii="Arial" w:cs="Arial" w:eastAsia="Arial" w:hAnsi="Arial"/>
          <w:sz w:val="18"/>
          <w:szCs w:val="18"/>
          <w:color w:val="auto"/>
        </w:rPr>
        <w:t>assessment and assigns risk ratings to each of its performing loans. The Company's recorded investment in performing loans, presented by class and by credit quality, as indicated by risk rating, was as follows ($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85"/>
              </w:rPr>
              <w:t>As of</w:t>
            </w: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3"/>
          </w:tcPr>
          <w:p>
            <w:pPr>
              <w:jc w:val="right"/>
              <w:ind w:right="708"/>
              <w:spacing w:after="0"/>
              <w:rPr>
                <w:sz w:val="20"/>
                <w:szCs w:val="20"/>
                <w:color w:val="auto"/>
              </w:rPr>
            </w:pPr>
            <w:r>
              <w:rPr>
                <w:rFonts w:ascii="Arial" w:cs="Arial" w:eastAsia="Arial" w:hAnsi="Arial"/>
                <w:sz w:val="14"/>
                <w:szCs w:val="14"/>
                <w:b w:val="1"/>
                <w:bCs w:val="1"/>
                <w:color w:val="auto"/>
              </w:rPr>
              <w:t>September 30, 2012</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Performing</w:t>
            </w:r>
          </w:p>
        </w:tc>
        <w:tc>
          <w:tcPr>
            <w:tcW w:w="100" w:type="dxa"/>
            <w:vAlign w:val="bottom"/>
          </w:tcPr>
          <w:p>
            <w:pPr>
              <w:spacing w:after="0"/>
              <w:rPr>
                <w:sz w:val="13"/>
                <w:szCs w:val="13"/>
                <w:color w:val="auto"/>
              </w:rPr>
            </w:pPr>
          </w:p>
        </w:tc>
        <w:tc>
          <w:tcPr>
            <w:tcW w:w="1320" w:type="dxa"/>
            <w:vAlign w:val="bottom"/>
          </w:tcPr>
          <w:p>
            <w:pPr>
              <w:jc w:val="center"/>
              <w:ind w:left="28"/>
              <w:spacing w:after="0" w:line="15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Performing</w:t>
            </w:r>
          </w:p>
        </w:tc>
        <w:tc>
          <w:tcPr>
            <w:tcW w:w="120" w:type="dxa"/>
            <w:vAlign w:val="bottom"/>
          </w:tcPr>
          <w:p>
            <w:pPr>
              <w:spacing w:after="0"/>
              <w:rPr>
                <w:sz w:val="13"/>
                <w:szCs w:val="13"/>
                <w:color w:val="auto"/>
              </w:rPr>
            </w:pP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49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Loans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1"/>
              </w:rPr>
              <w:t>Risk Ratings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Risk Ratings</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979,560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1,514,016</w:t>
            </w:r>
          </w:p>
        </w:tc>
        <w:tc>
          <w:tcPr>
            <w:tcW w:w="15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Subordinate mortgages</w:t>
            </w:r>
          </w:p>
        </w:tc>
        <w:tc>
          <w:tcPr>
            <w:tcW w:w="24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98,572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190,342</w:t>
            </w:r>
          </w:p>
        </w:tc>
        <w:tc>
          <w:tcPr>
            <w:tcW w:w="1520" w:type="dxa"/>
            <w:vAlign w:val="bottom"/>
            <w:gridSpan w:val="2"/>
          </w:tcPr>
          <w:p>
            <w:pPr>
              <w:jc w:val="right"/>
              <w:ind w:right="28"/>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Corporate/Partnership loans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463,057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472,178</w:t>
            </w:r>
          </w:p>
        </w:tc>
        <w:tc>
          <w:tcPr>
            <w:tcW w:w="15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57"/>
        </w:trPr>
        <w:tc>
          <w:tcPr>
            <w:tcW w:w="498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1,541,189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22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2,176,536</w:t>
            </w:r>
          </w:p>
        </w:tc>
        <w:tc>
          <w:tcPr>
            <w:tcW w:w="1520" w:type="dxa"/>
            <w:vAlign w:val="bottom"/>
            <w:gridSpan w:val="2"/>
          </w:tcPr>
          <w:p>
            <w:pPr>
              <w:jc w:val="right"/>
              <w:ind w:right="28"/>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September 30, 2012, the Company's recorded investment in loans, aged by payment status and presented by class, were as follows ($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left="241"/>
              <w:spacing w:after="0"/>
              <w:rPr>
                <w:sz w:val="20"/>
                <w:szCs w:val="20"/>
                <w:color w:val="auto"/>
              </w:rPr>
            </w:pPr>
            <w:r>
              <w:rPr>
                <w:rFonts w:ascii="Arial" w:cs="Arial" w:eastAsia="Arial" w:hAnsi="Arial"/>
                <w:sz w:val="14"/>
                <w:szCs w:val="14"/>
                <w:b w:val="1"/>
                <w:bCs w:val="1"/>
                <w:color w:val="auto"/>
                <w:w w:val="92"/>
              </w:rPr>
              <w:t>Less Than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Greater</w:t>
            </w:r>
          </w:p>
        </w:tc>
        <w:tc>
          <w:tcPr>
            <w:tcW w:w="280" w:type="dxa"/>
            <w:vAlign w:val="bottom"/>
          </w:tcPr>
          <w:p>
            <w:pPr>
              <w:spacing w:after="0"/>
              <w:rPr>
                <w:sz w:val="14"/>
                <w:szCs w:val="14"/>
                <w:color w:val="auto"/>
              </w:rPr>
            </w:pPr>
          </w:p>
        </w:tc>
        <w:tc>
          <w:tcPr>
            <w:tcW w:w="12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Current</w:t>
            </w:r>
          </w:p>
        </w:tc>
        <w:tc>
          <w:tcPr>
            <w:tcW w:w="120" w:type="dxa"/>
            <w:vAlign w:val="bottom"/>
            <w:vMerge w:val="restart"/>
          </w:tcPr>
          <w:p>
            <w:pPr>
              <w:spacing w:after="0"/>
              <w:rPr>
                <w:sz w:val="12"/>
                <w:szCs w:val="12"/>
                <w:color w:val="auto"/>
              </w:rPr>
            </w:pPr>
          </w:p>
        </w:tc>
        <w:tc>
          <w:tcPr>
            <w:tcW w:w="112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5"/>
              </w:rPr>
              <w:t>and Equal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Than</w:t>
            </w: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ind w:left="241"/>
              <w:spacing w:after="0"/>
              <w:rPr>
                <w:sz w:val="20"/>
                <w:szCs w:val="20"/>
                <w:color w:val="auto"/>
              </w:rPr>
            </w:pPr>
            <w:r>
              <w:rPr>
                <w:rFonts w:ascii="Arial" w:cs="Arial" w:eastAsia="Arial" w:hAnsi="Arial"/>
                <w:sz w:val="14"/>
                <w:szCs w:val="14"/>
                <w:b w:val="1"/>
                <w:bCs w:val="1"/>
                <w:color w:val="auto"/>
                <w:w w:val="91"/>
              </w:rPr>
              <w:t>to 90 Days(1)</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4"/>
              </w:rPr>
              <w:t>90 Days(1)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Past Due</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1,152,795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893,941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893,941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2,046,736</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Subordinate mortgages</w:t>
            </w:r>
          </w:p>
        </w:tc>
        <w:tc>
          <w:tcPr>
            <w:tcW w:w="3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98,572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53,260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53,260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151,832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Corporate/Partnership loans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463,057</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10,110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10,110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473,167</w:t>
            </w:r>
          </w:p>
        </w:tc>
        <w:tc>
          <w:tcPr>
            <w:tcW w:w="0" w:type="dxa"/>
            <w:vAlign w:val="bottom"/>
          </w:tcPr>
          <w:p>
            <w:pPr>
              <w:spacing w:after="0"/>
              <w:rPr>
                <w:sz w:val="1"/>
                <w:szCs w:val="1"/>
                <w:color w:val="auto"/>
              </w:rPr>
            </w:pPr>
          </w:p>
        </w:tc>
      </w:tr>
      <w:tr>
        <w:trPr>
          <w:trHeight w:val="257"/>
        </w:trPr>
        <w:tc>
          <w:tcPr>
            <w:tcW w:w="342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1,714,424</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21"/>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957,311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957,311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2,671,735</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571"/>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September 30, 2012, all loans that are not current are classified as non-performing and are on non-accrual status.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Impaired Loans</w:t>
      </w:r>
      <w:r>
        <w:rPr>
          <w:rFonts w:ascii="Arial" w:cs="Arial" w:eastAsia="Arial" w:hAnsi="Arial"/>
          <w:sz w:val="18"/>
          <w:szCs w:val="18"/>
          <w:color w:val="auto"/>
        </w:rPr>
        <w:t>—The Company's recorded investment in impaired loans, presented by class, were as follows ($ in thousands)(1):</w:t>
      </w:r>
    </w:p>
    <w:p>
      <w:pPr>
        <w:spacing w:after="0" w:line="200" w:lineRule="exact"/>
        <w:rPr>
          <w:sz w:val="20"/>
          <w:szCs w:val="20"/>
          <w:color w:val="auto"/>
        </w:rPr>
      </w:pPr>
    </w:p>
    <w:p>
      <w:pPr>
        <w:spacing w:after="0" w:line="250"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5"/>
              </w:rPr>
              <w:t>As of September 30, 2012</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6"/>
              </w:rPr>
              <w:t>As of December 31, 2011</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Recorded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Unpaid</w:t>
            </w:r>
          </w:p>
        </w:tc>
        <w:tc>
          <w:tcPr>
            <w:tcW w:w="240" w:type="dxa"/>
            <w:vAlign w:val="bottom"/>
          </w:tcPr>
          <w:p>
            <w:pPr>
              <w:spacing w:after="0"/>
              <w:rPr>
                <w:sz w:val="13"/>
                <w:szCs w:val="13"/>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Related</w:t>
            </w:r>
          </w:p>
        </w:tc>
        <w:tc>
          <w:tcPr>
            <w:tcW w:w="240" w:type="dxa"/>
            <w:vAlign w:val="bottom"/>
          </w:tcPr>
          <w:p>
            <w:pPr>
              <w:spacing w:after="0"/>
              <w:rPr>
                <w:sz w:val="13"/>
                <w:szCs w:val="13"/>
                <w:color w:val="auto"/>
              </w:rPr>
            </w:pPr>
          </w:p>
        </w:tc>
        <w:tc>
          <w:tcPr>
            <w:tcW w:w="11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Recorded</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6"/>
              </w:rPr>
              <w:t>Unpaid</w:t>
            </w:r>
          </w:p>
        </w:tc>
        <w:tc>
          <w:tcPr>
            <w:tcW w:w="220" w:type="dxa"/>
            <w:vAlign w:val="bottom"/>
          </w:tcPr>
          <w:p>
            <w:pPr>
              <w:spacing w:after="0"/>
              <w:rPr>
                <w:sz w:val="13"/>
                <w:szCs w:val="13"/>
                <w:color w:val="auto"/>
              </w:rPr>
            </w:pPr>
          </w:p>
        </w:tc>
        <w:tc>
          <w:tcPr>
            <w:tcW w:w="11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Related</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Principal</w:t>
            </w:r>
          </w:p>
        </w:tc>
        <w:tc>
          <w:tcPr>
            <w:tcW w:w="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293"/>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Allowance</w:t>
            </w:r>
          </w:p>
        </w:tc>
        <w:tc>
          <w:tcPr>
            <w:tcW w:w="240" w:type="dxa"/>
            <w:vAlign w:val="bottom"/>
          </w:tcPr>
          <w:p>
            <w:pPr>
              <w:spacing w:after="0"/>
              <w:rPr>
                <w:sz w:val="16"/>
                <w:szCs w:val="16"/>
                <w:color w:val="auto"/>
              </w:rPr>
            </w:pPr>
          </w:p>
        </w:tc>
        <w:tc>
          <w:tcPr>
            <w:tcW w:w="1180" w:type="dxa"/>
            <w:vAlign w:val="bottom"/>
          </w:tcPr>
          <w:p>
            <w:pPr>
              <w:jc w:val="right"/>
              <w:ind w:right="273"/>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6"/>
                <w:szCs w:val="16"/>
                <w:color w:val="auto"/>
              </w:rPr>
            </w:pPr>
          </w:p>
        </w:tc>
        <w:tc>
          <w:tcPr>
            <w:tcW w:w="1100" w:type="dxa"/>
            <w:vAlign w:val="bottom"/>
          </w:tcPr>
          <w:p>
            <w:pPr>
              <w:jc w:val="right"/>
              <w:ind w:right="253"/>
              <w:spacing w:after="0"/>
              <w:rPr>
                <w:sz w:val="20"/>
                <w:szCs w:val="20"/>
                <w:color w:val="auto"/>
              </w:rPr>
            </w:pPr>
            <w:r>
              <w:rPr>
                <w:rFonts w:ascii="Arial" w:cs="Arial" w:eastAsia="Arial" w:hAnsi="Arial"/>
                <w:sz w:val="14"/>
                <w:szCs w:val="14"/>
                <w:b w:val="1"/>
                <w:bCs w:val="1"/>
                <w:color w:val="auto"/>
              </w:rPr>
              <w:t>Allowance</w:t>
            </w:r>
          </w:p>
        </w:tc>
        <w:tc>
          <w:tcPr>
            <w:tcW w:w="0" w:type="dxa"/>
            <w:vAlign w:val="bottom"/>
          </w:tcPr>
          <w:p>
            <w:pPr>
              <w:spacing w:after="0"/>
              <w:rPr>
                <w:sz w:val="1"/>
                <w:szCs w:val="1"/>
                <w:color w:val="auto"/>
              </w:rPr>
            </w:pPr>
          </w:p>
        </w:tc>
      </w:tr>
      <w:tr>
        <w:trPr>
          <w:trHeight w:val="211"/>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3"/>
              </w:rPr>
              <w:t>With no related allowance</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recorded:</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160"/>
              <w:spacing w:after="0"/>
              <w:rPr>
                <w:sz w:val="20"/>
                <w:szCs w:val="20"/>
                <w:color w:val="auto"/>
              </w:rPr>
            </w:pPr>
            <w:r>
              <w:rPr>
                <w:rFonts w:ascii="Arial" w:cs="Arial" w:eastAsia="Arial" w:hAnsi="Arial"/>
                <w:sz w:val="18"/>
                <w:szCs w:val="18"/>
                <w:color w:val="auto"/>
              </w:rPr>
              <w:t>Senior mortgages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122,825</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122,634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219,488</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218,612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Corporate/Partnership</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100" w:type="dxa"/>
            <w:vAlign w:val="bottom"/>
          </w:tcPr>
          <w:p>
            <w:pPr>
              <w:ind w:left="380"/>
              <w:spacing w:after="0"/>
              <w:rPr>
                <w:sz w:val="20"/>
                <w:szCs w:val="20"/>
                <w:color w:val="auto"/>
              </w:rPr>
            </w:pPr>
            <w:r>
              <w:rPr>
                <w:rFonts w:ascii="Arial" w:cs="Arial" w:eastAsia="Arial" w:hAnsi="Arial"/>
                <w:sz w:val="18"/>
                <w:szCs w:val="18"/>
                <w:color w:val="auto"/>
              </w:rPr>
              <w:t>Subtotal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132,935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132,794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229,598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228,772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With an allowance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recorded:</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160"/>
              <w:spacing w:after="0"/>
              <w:rPr>
                <w:sz w:val="20"/>
                <w:szCs w:val="20"/>
                <w:color w:val="auto"/>
              </w:rPr>
            </w:pPr>
            <w:r>
              <w:rPr>
                <w:rFonts w:ascii="Arial" w:cs="Arial" w:eastAsia="Arial" w:hAnsi="Arial"/>
                <w:sz w:val="18"/>
                <w:szCs w:val="18"/>
                <w:color w:val="auto"/>
              </w:rPr>
              <w:t>Senior mortgages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1,049,062</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1,045,985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(469,529)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1,268,962</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1,263,195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(540,670)</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Subordinate mortgages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53,260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53,032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(22,480)</w:t>
            </w:r>
          </w:p>
        </w:tc>
        <w:tc>
          <w:tcPr>
            <w:tcW w:w="0" w:type="dxa"/>
            <w:vAlign w:val="bottom"/>
          </w:tcPr>
          <w:p>
            <w:pPr>
              <w:spacing w:after="0"/>
              <w:rPr>
                <w:sz w:val="1"/>
                <w:szCs w:val="1"/>
                <w:color w:val="auto"/>
              </w:rPr>
            </w:pPr>
          </w:p>
        </w:tc>
      </w:tr>
      <w:tr>
        <w:trPr>
          <w:trHeight w:val="229"/>
        </w:trPr>
        <w:tc>
          <w:tcPr>
            <w:tcW w:w="2100" w:type="dxa"/>
            <w:vAlign w:val="bottom"/>
          </w:tcPr>
          <w:p>
            <w:pPr>
              <w:ind w:left="160"/>
              <w:spacing w:after="0"/>
              <w:rPr>
                <w:sz w:val="20"/>
                <w:szCs w:val="20"/>
                <w:color w:val="auto"/>
              </w:rPr>
            </w:pPr>
            <w:r>
              <w:rPr>
                <w:rFonts w:ascii="Arial" w:cs="Arial" w:eastAsia="Arial" w:hAnsi="Arial"/>
                <w:sz w:val="18"/>
                <w:szCs w:val="18"/>
                <w:color w:val="auto"/>
              </w:rPr>
              <w:t>Corporate/Partnership</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ind w:left="160"/>
              <w:spacing w:after="0"/>
              <w:rPr>
                <w:sz w:val="20"/>
                <w:szCs w:val="20"/>
                <w:color w:val="auto"/>
              </w:rPr>
            </w:pPr>
            <w:r>
              <w:rPr>
                <w:rFonts w:ascii="Arial" w:cs="Arial" w:eastAsia="Arial" w:hAnsi="Arial"/>
                <w:sz w:val="18"/>
                <w:szCs w:val="18"/>
                <w:color w:val="auto"/>
              </w:rPr>
              <w:t>loans</w:t>
            </w:r>
          </w:p>
        </w:tc>
        <w:tc>
          <w:tcPr>
            <w:tcW w:w="26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61,640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61,824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62,591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62,845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(9,974)</w:t>
            </w:r>
          </w:p>
        </w:tc>
        <w:tc>
          <w:tcPr>
            <w:tcW w:w="0" w:type="dxa"/>
            <w:vAlign w:val="bottom"/>
          </w:tcPr>
          <w:p>
            <w:pPr>
              <w:spacing w:after="0"/>
              <w:rPr>
                <w:sz w:val="1"/>
                <w:szCs w:val="1"/>
                <w:color w:val="auto"/>
              </w:rPr>
            </w:pPr>
          </w:p>
        </w:tc>
      </w:tr>
      <w:tr>
        <w:trPr>
          <w:trHeight w:val="27"/>
        </w:trPr>
        <w:tc>
          <w:tcPr>
            <w:tcW w:w="2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1,163,962</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1,160,841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(505,898)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1,354,033</w:t>
            </w:r>
          </w:p>
        </w:tc>
        <w:tc>
          <w:tcPr>
            <w:tcW w:w="4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1,348,598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(573,124)</w:t>
            </w: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Senior mortgages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1,171,887</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1,168,619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(469,529)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1,488,450</w:t>
            </w:r>
          </w:p>
        </w:tc>
        <w:tc>
          <w:tcPr>
            <w:tcW w:w="4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1,481,807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(540,670)</w:t>
            </w:r>
          </w:p>
        </w:tc>
        <w:tc>
          <w:tcPr>
            <w:tcW w:w="0" w:type="dxa"/>
            <w:vAlign w:val="bottom"/>
          </w:tcPr>
          <w:p>
            <w:pPr>
              <w:spacing w:after="0"/>
              <w:rPr>
                <w:sz w:val="1"/>
                <w:szCs w:val="1"/>
                <w:color w:val="auto"/>
              </w:rPr>
            </w:pPr>
          </w:p>
        </w:tc>
      </w:tr>
      <w:tr>
        <w:trPr>
          <w:trHeight w:val="243"/>
        </w:trPr>
        <w:tc>
          <w:tcPr>
            <w:tcW w:w="2100" w:type="dxa"/>
            <w:vAlign w:val="bottom"/>
          </w:tcPr>
          <w:p>
            <w:pPr>
              <w:ind w:left="160"/>
              <w:spacing w:after="0"/>
              <w:rPr>
                <w:sz w:val="20"/>
                <w:szCs w:val="20"/>
                <w:color w:val="auto"/>
              </w:rPr>
            </w:pPr>
            <w:r>
              <w:rPr>
                <w:rFonts w:ascii="Arial" w:cs="Arial" w:eastAsia="Arial" w:hAnsi="Arial"/>
                <w:sz w:val="18"/>
                <w:szCs w:val="18"/>
                <w:color w:val="auto"/>
              </w:rPr>
              <w:t>Subordinate mortgages</w:t>
            </w: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53,260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53,032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22,480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22,558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(22,480)</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Corporate/Partnership</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71,750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71,984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(9,974)</w:t>
            </w:r>
          </w:p>
        </w:tc>
        <w:tc>
          <w:tcPr>
            <w:tcW w:w="0" w:type="dxa"/>
            <w:vAlign w:val="bottom"/>
          </w:tcPr>
          <w:p>
            <w:pPr>
              <w:spacing w:after="0"/>
              <w:rPr>
                <w:sz w:val="1"/>
                <w:szCs w:val="1"/>
                <w:color w:val="auto"/>
              </w:rPr>
            </w:pPr>
          </w:p>
        </w:tc>
      </w:tr>
      <w:tr>
        <w:trPr>
          <w:trHeight w:val="257"/>
        </w:trPr>
        <w:tc>
          <w:tcPr>
            <w:tcW w:w="210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1,296,897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1,293,635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(505,898)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1,583,631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1,577,370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(573,124)</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right="220" w:hanging="652"/>
        <w:spacing w:after="0" w:line="257"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of the Company's non-accrual loans are considered impaired and included in the table above. In addition, as of September 30, 2012 and December 31, 2011, certain loans modified through troubled debt restructurings with a recorded investment of $166.4 million and $255.3 million, respectively, are also included as impaired loans in accordance with GAAP although they are performing and on accrual status.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average recorded investment in impaired loans and interest income recognized, presented by class, were as follows ($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10"/>
          </w:tcPr>
          <w:p>
            <w:pPr>
              <w:jc w:val="right"/>
              <w:ind w:right="30"/>
              <w:spacing w:after="0"/>
              <w:rPr>
                <w:sz w:val="20"/>
                <w:szCs w:val="20"/>
                <w:color w:val="auto"/>
              </w:rPr>
            </w:pPr>
            <w:r>
              <w:rPr>
                <w:rFonts w:ascii="Arial" w:cs="Arial" w:eastAsia="Arial" w:hAnsi="Arial"/>
                <w:sz w:val="14"/>
                <w:szCs w:val="14"/>
                <w:b w:val="1"/>
                <w:bCs w:val="1"/>
                <w:color w:val="auto"/>
                <w:w w:val="94"/>
              </w:rPr>
              <w:t>For the Nine Months Ended September 30,</w:t>
            </w:r>
          </w:p>
        </w:tc>
        <w:tc>
          <w:tcPr>
            <w:tcW w:w="940" w:type="dxa"/>
            <w:vAlign w:val="bottom"/>
            <w:tcBorders>
              <w:bottom w:val="single" w:sz="8" w:color="auto"/>
            </w:tcBorders>
          </w:tcPr>
          <w:p>
            <w:pPr>
              <w:spacing w:after="0"/>
              <w:rPr>
                <w:sz w:val="16"/>
                <w:szCs w:val="16"/>
                <w:color w:val="auto"/>
              </w:rPr>
            </w:pPr>
          </w:p>
        </w:tc>
      </w:tr>
      <w:tr>
        <w:trPr>
          <w:trHeight w:val="264"/>
        </w:trPr>
        <w:tc>
          <w:tcPr>
            <w:tcW w:w="18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2012</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2011</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2012</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2011</w:t>
            </w:r>
          </w:p>
        </w:tc>
        <w:tc>
          <w:tcPr>
            <w:tcW w:w="940" w:type="dxa"/>
            <w:vAlign w:val="bottom"/>
            <w:tcBorders>
              <w:bottom w:val="single" w:sz="8" w:color="auto"/>
            </w:tcBorders>
          </w:tcPr>
          <w:p>
            <w:pPr>
              <w:spacing w:after="0"/>
              <w:rPr>
                <w:sz w:val="22"/>
                <w:szCs w:val="22"/>
                <w:color w:val="auto"/>
              </w:rPr>
            </w:pPr>
          </w:p>
        </w:tc>
      </w:tr>
      <w:tr>
        <w:trPr>
          <w:trHeight w:val="152"/>
        </w:trPr>
        <w:tc>
          <w:tcPr>
            <w:tcW w:w="1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54"/>
              <w:spacing w:after="0" w:line="153" w:lineRule="exact"/>
              <w:rPr>
                <w:sz w:val="20"/>
                <w:szCs w:val="20"/>
                <w:color w:val="auto"/>
              </w:rPr>
            </w:pPr>
            <w:r>
              <w:rPr>
                <w:rFonts w:ascii="Arial" w:cs="Arial" w:eastAsia="Arial" w:hAnsi="Arial"/>
                <w:sz w:val="14"/>
                <w:szCs w:val="14"/>
                <w:b w:val="1"/>
                <w:bCs w:val="1"/>
                <w:color w:val="auto"/>
                <w:w w:val="94"/>
              </w:rPr>
              <w:t>Interest</w:t>
            </w:r>
          </w:p>
        </w:tc>
      </w:tr>
      <w:tr>
        <w:trPr>
          <w:trHeight w:val="149"/>
        </w:trPr>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Recorded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3"/>
              </w:rPr>
              <w:t>Income</w:t>
            </w:r>
          </w:p>
        </w:tc>
      </w:tr>
      <w:tr>
        <w:trPr>
          <w:trHeight w:val="192"/>
        </w:trPr>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Recognized</w:t>
            </w:r>
          </w:p>
        </w:tc>
        <w:tc>
          <w:tcPr>
            <w:tcW w:w="1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80" w:type="dxa"/>
            <w:vAlign w:val="bottom"/>
          </w:tcPr>
          <w:p>
            <w:pPr>
              <w:spacing w:after="0"/>
              <w:rPr>
                <w:sz w:val="16"/>
                <w:szCs w:val="16"/>
                <w:color w:val="auto"/>
              </w:rPr>
            </w:pPr>
          </w:p>
        </w:tc>
        <w:tc>
          <w:tcPr>
            <w:tcW w:w="860" w:type="dxa"/>
            <w:vAlign w:val="bottom"/>
          </w:tcPr>
          <w:p>
            <w:pPr>
              <w:jc w:val="center"/>
              <w:ind w:right="14"/>
              <w:spacing w:after="0"/>
              <w:rPr>
                <w:sz w:val="20"/>
                <w:szCs w:val="20"/>
                <w:color w:val="auto"/>
              </w:rPr>
            </w:pPr>
            <w:r>
              <w:rPr>
                <w:rFonts w:ascii="Arial" w:cs="Arial" w:eastAsia="Arial" w:hAnsi="Arial"/>
                <w:sz w:val="14"/>
                <w:szCs w:val="14"/>
                <w:b w:val="1"/>
                <w:bCs w:val="1"/>
                <w:color w:val="auto"/>
                <w:w w:val="91"/>
              </w:rPr>
              <w:t>Investment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Recognized</w:t>
            </w:r>
          </w:p>
        </w:tc>
      </w:tr>
      <w:tr>
        <w:trPr>
          <w:trHeight w:val="211"/>
        </w:trPr>
        <w:tc>
          <w:tcPr>
            <w:tcW w:w="1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no related</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41"/>
        </w:trPr>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9"/>
              </w:rPr>
              <w:t>allowance recorded:</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180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138,391</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230,888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175,596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331,478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31,374</w:t>
            </w:r>
          </w:p>
        </w:tc>
      </w:tr>
      <w:tr>
        <w:trPr>
          <w:trHeight w:val="27"/>
        </w:trPr>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Corporate/Partnership</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7"/>
        </w:trPr>
        <w:tc>
          <w:tcPr>
            <w:tcW w:w="1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560</w:t>
            </w:r>
          </w:p>
        </w:tc>
      </w:tr>
      <w:tr>
        <w:trPr>
          <w:trHeight w:val="237"/>
        </w:trPr>
        <w:tc>
          <w:tcPr>
            <w:tcW w:w="1800" w:type="dxa"/>
            <w:vAlign w:val="bottom"/>
          </w:tcPr>
          <w:p>
            <w:pPr>
              <w:ind w:left="38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148,501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240,998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185,706</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341,588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31,934</w:t>
            </w:r>
          </w:p>
        </w:tc>
      </w:tr>
      <w:tr>
        <w:trPr>
          <w:trHeight w:val="27"/>
        </w:trPr>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5"/>
        </w:trPr>
        <w:tc>
          <w:tcPr>
            <w:tcW w:w="1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With an allowance</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1"/>
        </w:trPr>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recorded:</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180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1,053,534</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1,583,105</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1,100,313</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1,693,366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5,994</w:t>
            </w:r>
          </w:p>
        </w:tc>
      </w:tr>
      <w:tr>
        <w:trPr>
          <w:trHeight w:val="27"/>
        </w:trPr>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1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mortgages</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53,185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51,765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29"/>
        </w:trPr>
        <w:tc>
          <w:tcPr>
            <w:tcW w:w="1800" w:type="dxa"/>
            <w:vAlign w:val="bottom"/>
          </w:tcPr>
          <w:p>
            <w:pPr>
              <w:ind w:left="180"/>
              <w:spacing w:after="0"/>
              <w:rPr>
                <w:sz w:val="20"/>
                <w:szCs w:val="20"/>
                <w:color w:val="auto"/>
              </w:rPr>
            </w:pPr>
            <w:r>
              <w:rPr>
                <w:rFonts w:ascii="Arial" w:cs="Arial" w:eastAsia="Arial" w:hAnsi="Arial"/>
                <w:sz w:val="18"/>
                <w:szCs w:val="18"/>
                <w:color w:val="auto"/>
                <w:w w:val="90"/>
              </w:rPr>
              <w:t>Corporate/Partnership</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800" w:type="dxa"/>
            <w:vAlign w:val="bottom"/>
          </w:tcPr>
          <w:p>
            <w:pPr>
              <w:ind w:left="180"/>
              <w:spacing w:after="0"/>
              <w:rPr>
                <w:sz w:val="20"/>
                <w:szCs w:val="20"/>
                <w:color w:val="auto"/>
              </w:rPr>
            </w:pPr>
            <w:r>
              <w:rPr>
                <w:rFonts w:ascii="Arial" w:cs="Arial" w:eastAsia="Arial" w:hAnsi="Arial"/>
                <w:sz w:val="18"/>
                <w:szCs w:val="18"/>
                <w:color w:val="auto"/>
              </w:rPr>
              <w:t>loans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61,112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67,446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62,036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66,961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250</w:t>
            </w:r>
          </w:p>
        </w:tc>
      </w:tr>
      <w:tr>
        <w:trPr>
          <w:trHeight w:val="27"/>
        </w:trPr>
        <w:tc>
          <w:tcPr>
            <w:tcW w:w="1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1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1,167,831</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1,675,334</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1,214,114</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1,779,053</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6,244</w:t>
            </w:r>
          </w:p>
        </w:tc>
      </w:tr>
      <w:tr>
        <w:trPr>
          <w:trHeight w:val="243"/>
        </w:trPr>
        <w:tc>
          <w:tcPr>
            <w:tcW w:w="18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mortgages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1,191,925</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1,813,993</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1,275,909</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2,024,844</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37,368</w:t>
            </w:r>
          </w:p>
        </w:tc>
      </w:tr>
      <w:tr>
        <w:trPr>
          <w:trHeight w:val="229"/>
        </w:trPr>
        <w:tc>
          <w:tcPr>
            <w:tcW w:w="1800" w:type="dxa"/>
            <w:vAlign w:val="bottom"/>
          </w:tcPr>
          <w:p>
            <w:pPr>
              <w:ind w:left="180"/>
              <w:spacing w:after="0"/>
              <w:rPr>
                <w:sz w:val="20"/>
                <w:szCs w:val="20"/>
                <w:color w:val="auto"/>
              </w:rPr>
            </w:pPr>
            <w:r>
              <w:rPr>
                <w:rFonts w:ascii="Arial" w:cs="Arial" w:eastAsia="Arial" w:hAnsi="Arial"/>
                <w:sz w:val="18"/>
                <w:szCs w:val="18"/>
                <w:color w:val="auto"/>
              </w:rPr>
              <w:t>Subordinate</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800" w:type="dxa"/>
            <w:vAlign w:val="bottom"/>
          </w:tcPr>
          <w:p>
            <w:pPr>
              <w:ind w:left="180"/>
              <w:spacing w:after="0"/>
              <w:rPr>
                <w:sz w:val="20"/>
                <w:szCs w:val="20"/>
                <w:color w:val="auto"/>
              </w:rPr>
            </w:pPr>
            <w:r>
              <w:rPr>
                <w:rFonts w:ascii="Arial" w:cs="Arial" w:eastAsia="Arial" w:hAnsi="Arial"/>
                <w:sz w:val="18"/>
                <w:szCs w:val="18"/>
                <w:color w:val="auto"/>
              </w:rPr>
              <w:t>mortgages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53,185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51,765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Corporate/Partnership</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7"/>
        </w:trPr>
        <w:tc>
          <w:tcPr>
            <w:tcW w:w="1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71,222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77,556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72,146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77,071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810</w:t>
            </w:r>
          </w:p>
        </w:tc>
      </w:tr>
      <w:tr>
        <w:trPr>
          <w:trHeight w:val="257"/>
        </w:trPr>
        <w:tc>
          <w:tcPr>
            <w:tcW w:w="180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1,316,332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1,916,332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3,982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1,399,820</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6,102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2,120,641</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38,178</w:t>
            </w:r>
          </w:p>
        </w:tc>
      </w:tr>
      <w:tr>
        <w:trPr>
          <w:trHeight w:val="20"/>
        </w:trPr>
        <w:tc>
          <w:tcPr>
            <w:tcW w:w="1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During the nine months ended September 30, 2011, the Company recorded interest income of $26.3 million related to the resolution of certain non-performing loans. Interest income was not previously recorded while the loans were on non-accrual status.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122" w:right="29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Troubled Debt Restructurings</w:t>
      </w:r>
      <w:r>
        <w:rPr>
          <w:rFonts w:ascii="Arial" w:cs="Arial" w:eastAsia="Arial" w:hAnsi="Arial"/>
          <w:sz w:val="18"/>
          <w:szCs w:val="18"/>
          <w:color w:val="auto"/>
        </w:rPr>
        <w:t>—During the three and nine months ended September 30, 2012 and 2011, the Company modified loans that were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to be troubled debt restructurings. The recorded investment in these loans was impacted by the modifications as follows, presented by class ($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Three Months Ended September 30,</w:t>
            </w: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4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Pre-Modification</w:t>
            </w:r>
          </w:p>
        </w:tc>
        <w:tc>
          <w:tcPr>
            <w:tcW w:w="220" w:type="dxa"/>
            <w:vAlign w:val="bottom"/>
          </w:tcPr>
          <w:p>
            <w:pPr>
              <w:spacing w:after="0"/>
              <w:rPr>
                <w:sz w:val="13"/>
                <w:szCs w:val="13"/>
                <w:color w:val="auto"/>
              </w:rPr>
            </w:pPr>
          </w:p>
        </w:tc>
        <w:tc>
          <w:tcPr>
            <w:tcW w:w="16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Post-Modification</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Pre-Modification</w:t>
            </w:r>
          </w:p>
        </w:tc>
        <w:tc>
          <w:tcPr>
            <w:tcW w:w="220" w:type="dxa"/>
            <w:vAlign w:val="bottom"/>
          </w:tcPr>
          <w:p>
            <w:pPr>
              <w:spacing w:after="0"/>
              <w:rPr>
                <w:sz w:val="13"/>
                <w:szCs w:val="13"/>
                <w:color w:val="auto"/>
              </w:rPr>
            </w:pPr>
          </w:p>
        </w:tc>
        <w:tc>
          <w:tcPr>
            <w:tcW w:w="1540" w:type="dxa"/>
            <w:vAlign w:val="bottom"/>
          </w:tcPr>
          <w:p>
            <w:pPr>
              <w:jc w:val="center"/>
              <w:ind w:right="124"/>
              <w:spacing w:after="0" w:line="153" w:lineRule="exact"/>
              <w:rPr>
                <w:sz w:val="20"/>
                <w:szCs w:val="20"/>
                <w:color w:val="auto"/>
              </w:rPr>
            </w:pPr>
            <w:r>
              <w:rPr>
                <w:rFonts w:ascii="Arial" w:cs="Arial" w:eastAsia="Arial" w:hAnsi="Arial"/>
                <w:sz w:val="14"/>
                <w:szCs w:val="14"/>
                <w:b w:val="1"/>
                <w:bCs w:val="1"/>
                <w:color w:val="auto"/>
                <w:w w:val="93"/>
              </w:rPr>
              <w:t>Post-Modification</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2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15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54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Recorded</w:t>
            </w:r>
          </w:p>
        </w:tc>
        <w:tc>
          <w:tcPr>
            <w:tcW w:w="22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Recorded</w:t>
            </w: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Recorded</w:t>
            </w:r>
          </w:p>
        </w:tc>
        <w:tc>
          <w:tcPr>
            <w:tcW w:w="220" w:type="dxa"/>
            <w:vAlign w:val="bottom"/>
          </w:tcPr>
          <w:p>
            <w:pPr>
              <w:spacing w:after="0"/>
              <w:rPr>
                <w:sz w:val="12"/>
                <w:szCs w:val="12"/>
                <w:color w:val="auto"/>
              </w:rPr>
            </w:pPr>
          </w:p>
        </w:tc>
        <w:tc>
          <w:tcPr>
            <w:tcW w:w="154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92"/>
        </w:trPr>
        <w:tc>
          <w:tcPr>
            <w:tcW w:w="1540" w:type="dxa"/>
            <w:vAlign w:val="bottom"/>
          </w:tcPr>
          <w:p>
            <w:pPr>
              <w:spacing w:after="0"/>
              <w:rPr>
                <w:sz w:val="16"/>
                <w:szCs w:val="16"/>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of Loans</w:t>
            </w:r>
          </w:p>
        </w:tc>
        <w:tc>
          <w:tcPr>
            <w:tcW w:w="22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220" w:type="dxa"/>
            <w:vAlign w:val="bottom"/>
          </w:tcPr>
          <w:p>
            <w:pPr>
              <w:spacing w:after="0"/>
              <w:rPr>
                <w:sz w:val="16"/>
                <w:szCs w:val="16"/>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of Loans</w:t>
            </w:r>
          </w:p>
        </w:tc>
        <w:tc>
          <w:tcPr>
            <w:tcW w:w="240" w:type="dxa"/>
            <w:vAlign w:val="bottom"/>
          </w:tcPr>
          <w:p>
            <w:pPr>
              <w:spacing w:after="0"/>
              <w:rPr>
                <w:sz w:val="16"/>
                <w:szCs w:val="16"/>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220" w:type="dxa"/>
            <w:vAlign w:val="bottom"/>
          </w:tcPr>
          <w:p>
            <w:pPr>
              <w:spacing w:after="0"/>
              <w:rPr>
                <w:sz w:val="16"/>
                <w:szCs w:val="16"/>
                <w:color w:val="auto"/>
              </w:rPr>
            </w:pPr>
          </w:p>
        </w:tc>
        <w:tc>
          <w:tcPr>
            <w:tcW w:w="1540" w:type="dxa"/>
            <w:vAlign w:val="bottom"/>
          </w:tcPr>
          <w:p>
            <w:pPr>
              <w:jc w:val="center"/>
              <w:ind w:right="144"/>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63"/>
        </w:trPr>
        <w:tc>
          <w:tcPr>
            <w:tcW w:w="1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110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8"/>
                <w:szCs w:val="18"/>
                <w:color w:val="auto"/>
              </w:rPr>
              <w:t>54,192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8"/>
                <w:szCs w:val="18"/>
                <w:color w:val="auto"/>
              </w:rPr>
              <w:t>54,192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8"/>
                <w:szCs w:val="18"/>
                <w:color w:val="auto"/>
              </w:rPr>
              <w:t>65,107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65,107</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5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For the Nine Months Ended September 30,</w:t>
            </w: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54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Pre-Modification</w:t>
            </w:r>
          </w:p>
        </w:tc>
        <w:tc>
          <w:tcPr>
            <w:tcW w:w="220" w:type="dxa"/>
            <w:vAlign w:val="bottom"/>
          </w:tcPr>
          <w:p>
            <w:pPr>
              <w:spacing w:after="0"/>
              <w:rPr>
                <w:sz w:val="13"/>
                <w:szCs w:val="13"/>
                <w:color w:val="auto"/>
              </w:rPr>
            </w:pPr>
          </w:p>
        </w:tc>
        <w:tc>
          <w:tcPr>
            <w:tcW w:w="16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Post-Modification</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Pre-Modification</w:t>
            </w:r>
          </w:p>
        </w:tc>
        <w:tc>
          <w:tcPr>
            <w:tcW w:w="220" w:type="dxa"/>
            <w:vAlign w:val="bottom"/>
          </w:tcPr>
          <w:p>
            <w:pPr>
              <w:spacing w:after="0"/>
              <w:rPr>
                <w:sz w:val="13"/>
                <w:szCs w:val="13"/>
                <w:color w:val="auto"/>
              </w:rPr>
            </w:pPr>
          </w:p>
        </w:tc>
        <w:tc>
          <w:tcPr>
            <w:tcW w:w="1540" w:type="dxa"/>
            <w:vAlign w:val="bottom"/>
          </w:tcPr>
          <w:p>
            <w:pPr>
              <w:jc w:val="center"/>
              <w:ind w:right="124"/>
              <w:spacing w:after="0" w:line="153" w:lineRule="exact"/>
              <w:rPr>
                <w:sz w:val="20"/>
                <w:szCs w:val="20"/>
                <w:color w:val="auto"/>
              </w:rPr>
            </w:pPr>
            <w:r>
              <w:rPr>
                <w:rFonts w:ascii="Arial" w:cs="Arial" w:eastAsia="Arial" w:hAnsi="Arial"/>
                <w:sz w:val="14"/>
                <w:szCs w:val="14"/>
                <w:b w:val="1"/>
                <w:bCs w:val="1"/>
                <w:color w:val="auto"/>
                <w:w w:val="93"/>
              </w:rPr>
              <w:t>Post-Modification</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2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15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54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Recorded</w:t>
            </w:r>
          </w:p>
        </w:tc>
        <w:tc>
          <w:tcPr>
            <w:tcW w:w="22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Recorded</w:t>
            </w: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Recorded</w:t>
            </w:r>
          </w:p>
        </w:tc>
        <w:tc>
          <w:tcPr>
            <w:tcW w:w="220" w:type="dxa"/>
            <w:vAlign w:val="bottom"/>
          </w:tcPr>
          <w:p>
            <w:pPr>
              <w:spacing w:after="0"/>
              <w:rPr>
                <w:sz w:val="12"/>
                <w:szCs w:val="12"/>
                <w:color w:val="auto"/>
              </w:rPr>
            </w:pPr>
          </w:p>
        </w:tc>
        <w:tc>
          <w:tcPr>
            <w:tcW w:w="154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92"/>
        </w:trPr>
        <w:tc>
          <w:tcPr>
            <w:tcW w:w="1540" w:type="dxa"/>
            <w:vAlign w:val="bottom"/>
          </w:tcPr>
          <w:p>
            <w:pPr>
              <w:spacing w:after="0"/>
              <w:rPr>
                <w:sz w:val="16"/>
                <w:szCs w:val="16"/>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of Loans</w:t>
            </w:r>
          </w:p>
        </w:tc>
        <w:tc>
          <w:tcPr>
            <w:tcW w:w="22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220" w:type="dxa"/>
            <w:vAlign w:val="bottom"/>
          </w:tcPr>
          <w:p>
            <w:pPr>
              <w:spacing w:after="0"/>
              <w:rPr>
                <w:sz w:val="16"/>
                <w:szCs w:val="16"/>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of Loans</w:t>
            </w:r>
          </w:p>
        </w:tc>
        <w:tc>
          <w:tcPr>
            <w:tcW w:w="240" w:type="dxa"/>
            <w:vAlign w:val="bottom"/>
          </w:tcPr>
          <w:p>
            <w:pPr>
              <w:spacing w:after="0"/>
              <w:rPr>
                <w:sz w:val="16"/>
                <w:szCs w:val="16"/>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220" w:type="dxa"/>
            <w:vAlign w:val="bottom"/>
          </w:tcPr>
          <w:p>
            <w:pPr>
              <w:spacing w:after="0"/>
              <w:rPr>
                <w:sz w:val="16"/>
                <w:szCs w:val="16"/>
                <w:color w:val="auto"/>
              </w:rPr>
            </w:pPr>
          </w:p>
        </w:tc>
        <w:tc>
          <w:tcPr>
            <w:tcW w:w="1540" w:type="dxa"/>
            <w:vAlign w:val="bottom"/>
          </w:tcPr>
          <w:p>
            <w:pPr>
              <w:jc w:val="center"/>
              <w:ind w:right="144"/>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63"/>
        </w:trPr>
        <w:tc>
          <w:tcPr>
            <w:tcW w:w="1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110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8"/>
                <w:szCs w:val="18"/>
                <w:color w:val="auto"/>
              </w:rPr>
              <w:t>318,227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8"/>
                <w:szCs w:val="18"/>
                <w:color w:val="auto"/>
              </w:rPr>
              <w:t>272,753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8"/>
                <w:szCs w:val="18"/>
                <w:color w:val="auto"/>
              </w:rPr>
              <w:t>191,158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190,893</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Troubled debt restructurings that subsequently defaulted during the period were as follows ($ in thousands):</w:t>
      </w:r>
    </w:p>
    <w:p>
      <w:pPr>
        <w:sectPr>
          <w:pgSz w:w="11900" w:h="16838" w:orient="portrait"/>
          <w:cols w:equalWidth="0" w:num="1">
            <w:col w:w="11420"/>
          </w:cols>
          <w:pgMar w:left="240" w:top="122" w:right="239" w:bottom="1440" w:gutter="0" w:footer="0" w:header="0"/>
        </w:sectPr>
      </w:pPr>
    </w:p>
    <w:p>
      <w:pPr>
        <w:spacing w:after="0" w:line="163" w:lineRule="exact"/>
        <w:rPr>
          <w:sz w:val="20"/>
          <w:szCs w:val="20"/>
          <w:color w:val="auto"/>
        </w:rPr>
      </w:pPr>
    </w:p>
    <w:p>
      <w:pPr>
        <w:ind w:left="3700"/>
        <w:spacing w:after="0"/>
        <w:rPr>
          <w:sz w:val="20"/>
          <w:szCs w:val="20"/>
          <w:color w:val="auto"/>
        </w:rPr>
      </w:pPr>
      <w:r>
        <w:rPr>
          <w:rFonts w:ascii="Arial" w:cs="Arial" w:eastAsia="Arial" w:hAnsi="Arial"/>
          <w:sz w:val="14"/>
          <w:szCs w:val="14"/>
          <w:b w:val="1"/>
          <w:bCs w:val="1"/>
          <w:color w:val="auto"/>
        </w:rPr>
        <w:t>For the Three Months</w:t>
      </w:r>
    </w:p>
    <w:p>
      <w:pPr>
        <w:spacing w:after="0" w:line="4" w:lineRule="exact"/>
        <w:rPr>
          <w:sz w:val="20"/>
          <w:szCs w:val="20"/>
          <w:color w:val="auto"/>
        </w:rPr>
      </w:pPr>
    </w:p>
    <w:p>
      <w:pPr>
        <w:ind w:left="3720"/>
        <w:spacing w:after="0"/>
        <w:rPr>
          <w:sz w:val="20"/>
          <w:szCs w:val="20"/>
          <w:color w:val="auto"/>
        </w:rPr>
      </w:pPr>
      <w:r>
        <w:rPr>
          <w:rFonts w:ascii="Arial" w:cs="Arial" w:eastAsia="Arial" w:hAnsi="Arial"/>
          <w:sz w:val="14"/>
          <w:szCs w:val="14"/>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13335</wp:posOffset>
            </wp:positionV>
            <wp:extent cx="28130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87" w:lineRule="exact"/>
        <w:rPr>
          <w:sz w:val="20"/>
          <w:szCs w:val="20"/>
          <w:color w:val="auto"/>
        </w:rPr>
      </w:pPr>
    </w:p>
    <w:tbl>
      <w:tblPr>
        <w:tblLayout w:type="fixed"/>
        <w:tblInd w:w="2160" w:type="dxa"/>
        <w:tblCellMar>
          <w:top w:w="0" w:type="dxa"/>
          <w:left w:w="0" w:type="dxa"/>
          <w:bottom w:w="0" w:type="dxa"/>
          <w:right w:w="0" w:type="dxa"/>
        </w:tblCellMar>
      </w:tblPr>
      <w:tr>
        <w:trPr>
          <w:trHeight w:val="192"/>
        </w:trPr>
        <w:tc>
          <w:tcPr>
            <w:tcW w:w="8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2012</w:t>
            </w:r>
          </w:p>
        </w:tc>
        <w:tc>
          <w:tcPr>
            <w:tcW w:w="8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52"/>
        </w:trPr>
        <w:tc>
          <w:tcPr>
            <w:tcW w:w="8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Number</w:t>
            </w:r>
          </w:p>
        </w:tc>
        <w:tc>
          <w:tcPr>
            <w:tcW w:w="1400" w:type="dxa"/>
            <w:vAlign w:val="bottom"/>
          </w:tcPr>
          <w:p>
            <w:pPr>
              <w:jc w:val="center"/>
              <w:ind w:left="88"/>
              <w:spacing w:after="0" w:line="153" w:lineRule="exact"/>
              <w:rPr>
                <w:sz w:val="20"/>
                <w:szCs w:val="20"/>
                <w:color w:val="auto"/>
              </w:rPr>
            </w:pPr>
            <w:r>
              <w:rPr>
                <w:rFonts w:ascii="Arial" w:cs="Arial" w:eastAsia="Arial" w:hAnsi="Arial"/>
                <w:sz w:val="14"/>
                <w:szCs w:val="14"/>
                <w:b w:val="1"/>
                <w:bCs w:val="1"/>
                <w:color w:val="auto"/>
                <w:w w:val="92"/>
              </w:rPr>
              <w:t>Outstanding</w:t>
            </w:r>
          </w:p>
        </w:tc>
        <w:tc>
          <w:tcPr>
            <w:tcW w:w="8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Number</w:t>
            </w:r>
          </w:p>
        </w:tc>
        <w:tc>
          <w:tcPr>
            <w:tcW w:w="1300" w:type="dxa"/>
            <w:vAlign w:val="bottom"/>
          </w:tcPr>
          <w:p>
            <w:pPr>
              <w:jc w:val="center"/>
              <w:ind w:left="108"/>
              <w:spacing w:after="0" w:line="153"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840" w:type="dxa"/>
            <w:vAlign w:val="bottom"/>
            <w:vMerge w:val="continue"/>
          </w:tcPr>
          <w:p>
            <w:pPr>
              <w:spacing w:after="0"/>
              <w:rPr>
                <w:sz w:val="12"/>
                <w:szCs w:val="12"/>
                <w:color w:val="auto"/>
              </w:rPr>
            </w:pPr>
          </w:p>
        </w:tc>
        <w:tc>
          <w:tcPr>
            <w:tcW w:w="140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2"/>
              </w:rPr>
              <w:t>Recorded</w:t>
            </w:r>
          </w:p>
        </w:tc>
        <w:tc>
          <w:tcPr>
            <w:tcW w:w="880" w:type="dxa"/>
            <w:vAlign w:val="bottom"/>
            <w:vMerge w:val="continue"/>
          </w:tcPr>
          <w:p>
            <w:pPr>
              <w:spacing w:after="0"/>
              <w:rPr>
                <w:sz w:val="12"/>
                <w:szCs w:val="12"/>
                <w:color w:val="auto"/>
              </w:rPr>
            </w:pPr>
          </w:p>
        </w:tc>
        <w:tc>
          <w:tcPr>
            <w:tcW w:w="130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86"/>
        </w:trPr>
        <w:tc>
          <w:tcPr>
            <w:tcW w:w="840" w:type="dxa"/>
            <w:vAlign w:val="bottom"/>
          </w:tcPr>
          <w:p>
            <w:pPr>
              <w:ind w:left="180"/>
              <w:spacing w:after="0"/>
              <w:rPr>
                <w:sz w:val="20"/>
                <w:szCs w:val="20"/>
                <w:color w:val="auto"/>
              </w:rPr>
            </w:pPr>
            <w:r>
              <w:rPr>
                <w:rFonts w:ascii="Arial" w:cs="Arial" w:eastAsia="Arial" w:hAnsi="Arial"/>
                <w:sz w:val="14"/>
                <w:szCs w:val="14"/>
                <w:b w:val="1"/>
                <w:bCs w:val="1"/>
                <w:color w:val="auto"/>
              </w:rPr>
              <w:t>of Loans</w:t>
            </w:r>
          </w:p>
        </w:tc>
        <w:tc>
          <w:tcPr>
            <w:tcW w:w="1400" w:type="dxa"/>
            <w:vAlign w:val="bottom"/>
          </w:tcPr>
          <w:p>
            <w:pPr>
              <w:jc w:val="center"/>
              <w:ind w:left="88"/>
              <w:spacing w:after="0"/>
              <w:rPr>
                <w:sz w:val="20"/>
                <w:szCs w:val="20"/>
                <w:color w:val="auto"/>
              </w:rPr>
            </w:pPr>
            <w:r>
              <w:rPr>
                <w:rFonts w:ascii="Arial" w:cs="Arial" w:eastAsia="Arial" w:hAnsi="Arial"/>
                <w:sz w:val="14"/>
                <w:szCs w:val="14"/>
                <w:b w:val="1"/>
                <w:bCs w:val="1"/>
                <w:color w:val="auto"/>
                <w:w w:val="91"/>
              </w:rPr>
              <w:t>Investment</w:t>
            </w:r>
          </w:p>
        </w:tc>
        <w:tc>
          <w:tcPr>
            <w:tcW w:w="880" w:type="dxa"/>
            <w:vAlign w:val="bottom"/>
          </w:tcPr>
          <w:p>
            <w:pPr>
              <w:ind w:left="240"/>
              <w:spacing w:after="0"/>
              <w:rPr>
                <w:sz w:val="20"/>
                <w:szCs w:val="20"/>
                <w:color w:val="auto"/>
              </w:rPr>
            </w:pPr>
            <w:r>
              <w:rPr>
                <w:rFonts w:ascii="Arial" w:cs="Arial" w:eastAsia="Arial" w:hAnsi="Arial"/>
                <w:sz w:val="14"/>
                <w:szCs w:val="14"/>
                <w:b w:val="1"/>
                <w:bCs w:val="1"/>
                <w:color w:val="auto"/>
              </w:rPr>
              <w:t>of Loans</w:t>
            </w:r>
          </w:p>
        </w:tc>
        <w:tc>
          <w:tcPr>
            <w:tcW w:w="1300" w:type="dxa"/>
            <w:vAlign w:val="bottom"/>
          </w:tcPr>
          <w:p>
            <w:pPr>
              <w:jc w:val="center"/>
              <w:ind w:left="108"/>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4375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For the Nine Months</w:t>
      </w:r>
    </w:p>
    <w:p>
      <w:pPr>
        <w:spacing w:after="0" w:line="4"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2012</w:t>
            </w:r>
          </w:p>
        </w:tc>
        <w:tc>
          <w:tcPr>
            <w:tcW w:w="9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52"/>
        </w:trPr>
        <w:tc>
          <w:tcPr>
            <w:tcW w:w="8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Number</w:t>
            </w: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Outstanding</w:t>
            </w:r>
          </w:p>
        </w:tc>
        <w:tc>
          <w:tcPr>
            <w:tcW w:w="9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Number</w:t>
            </w:r>
          </w:p>
        </w:tc>
        <w:tc>
          <w:tcPr>
            <w:tcW w:w="1400" w:type="dxa"/>
            <w:vAlign w:val="bottom"/>
          </w:tcPr>
          <w:p>
            <w:pPr>
              <w:jc w:val="center"/>
              <w:ind w:left="208"/>
              <w:spacing w:after="0" w:line="153"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820" w:type="dxa"/>
            <w:vAlign w:val="bottom"/>
            <w:vMerge w:val="continue"/>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Recorded</w:t>
            </w:r>
          </w:p>
        </w:tc>
        <w:tc>
          <w:tcPr>
            <w:tcW w:w="940" w:type="dxa"/>
            <w:vAlign w:val="bottom"/>
            <w:vMerge w:val="continue"/>
          </w:tcPr>
          <w:p>
            <w:pPr>
              <w:spacing w:after="0"/>
              <w:rPr>
                <w:sz w:val="12"/>
                <w:szCs w:val="12"/>
                <w:color w:val="auto"/>
              </w:rPr>
            </w:pPr>
          </w:p>
        </w:tc>
        <w:tc>
          <w:tcPr>
            <w:tcW w:w="140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86"/>
        </w:trPr>
        <w:tc>
          <w:tcPr>
            <w:tcW w:w="820" w:type="dxa"/>
            <w:vAlign w:val="bottom"/>
          </w:tcPr>
          <w:p>
            <w:pPr>
              <w:ind w:left="180"/>
              <w:spacing w:after="0"/>
              <w:rPr>
                <w:sz w:val="20"/>
                <w:szCs w:val="20"/>
                <w:color w:val="auto"/>
              </w:rPr>
            </w:pPr>
            <w:r>
              <w:rPr>
                <w:rFonts w:ascii="Arial" w:cs="Arial" w:eastAsia="Arial" w:hAnsi="Arial"/>
                <w:sz w:val="14"/>
                <w:szCs w:val="14"/>
                <w:b w:val="1"/>
                <w:bCs w:val="1"/>
                <w:color w:val="auto"/>
              </w:rPr>
              <w:t>of Loans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940" w:type="dxa"/>
            <w:vAlign w:val="bottom"/>
          </w:tcPr>
          <w:p>
            <w:pPr>
              <w:ind w:left="280"/>
              <w:spacing w:after="0"/>
              <w:rPr>
                <w:sz w:val="20"/>
                <w:szCs w:val="20"/>
                <w:color w:val="auto"/>
              </w:rPr>
            </w:pPr>
            <w:r>
              <w:rPr>
                <w:rFonts w:ascii="Arial" w:cs="Arial" w:eastAsia="Arial" w:hAnsi="Arial"/>
                <w:sz w:val="14"/>
                <w:szCs w:val="14"/>
                <w:b w:val="1"/>
                <w:bCs w:val="1"/>
                <w:color w:val="auto"/>
              </w:rPr>
              <w:t>of Loans</w:t>
            </w:r>
          </w:p>
        </w:tc>
        <w:tc>
          <w:tcPr>
            <w:tcW w:w="140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bl>
    <w:p>
      <w:pPr>
        <w:spacing w:after="0" w:line="38" w:lineRule="exact"/>
        <w:rPr>
          <w:sz w:val="20"/>
          <w:szCs w:val="20"/>
          <w:color w:val="auto"/>
        </w:rPr>
      </w:pPr>
    </w:p>
    <w:p>
      <w:pPr>
        <w:sectPr>
          <w:pgSz w:w="11900" w:h="16838" w:orient="portrait"/>
          <w:cols w:equalWidth="0" w:num="2">
            <w:col w:w="6580" w:space="120"/>
            <w:col w:w="4720"/>
          </w:cols>
          <w:pgMar w:left="240" w:top="122" w:right="239" w:bottom="1440" w:gutter="0" w:footer="0" w:header="0"/>
          <w:type w:val="continuous"/>
        </w:sectPr>
      </w:pPr>
    </w:p>
    <w:p>
      <w:pPr>
        <w:ind w:left="40"/>
        <w:spacing w:after="0"/>
        <w:tabs>
          <w:tab w:leader="none" w:pos="2760" w:val="left"/>
          <w:tab w:leader="none" w:pos="3200" w:val="left"/>
          <w:tab w:leader="none" w:pos="4040" w:val="left"/>
          <w:tab w:leader="none" w:pos="5140" w:val="left"/>
          <w:tab w:leader="none" w:pos="5480" w:val="left"/>
          <w:tab w:leader="none" w:pos="5960" w:val="left"/>
          <w:tab w:leader="none" w:pos="7360" w:val="left"/>
          <w:tab w:leader="none" w:pos="7700" w:val="left"/>
          <w:tab w:leader="none" w:pos="8200" w:val="left"/>
          <w:tab w:leader="none" w:pos="9820" w:val="left"/>
          <w:tab w:leader="none" w:pos="10140" w:val="left"/>
          <w:tab w:leader="none" w:pos="10640" w:val="left"/>
        </w:tabs>
        <w:rPr>
          <w:sz w:val="20"/>
          <w:szCs w:val="20"/>
          <w:color w:val="auto"/>
        </w:rPr>
      </w:pPr>
      <w:r>
        <w:rPr>
          <w:rFonts w:ascii="Arial" w:cs="Arial" w:eastAsia="Arial" w:hAnsi="Arial"/>
          <w:sz w:val="18"/>
          <w:szCs w:val="18"/>
          <w:color w:val="auto"/>
        </w:rPr>
        <w:t>Senior mortgages</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w:t>
        <w:tab/>
        <w:t>$</w:t>
      </w:r>
      <w:r>
        <w:rPr>
          <w:sz w:val="20"/>
          <w:szCs w:val="20"/>
          <w:color w:val="auto"/>
        </w:rPr>
        <w:tab/>
      </w:r>
      <w:r>
        <w:rPr>
          <w:rFonts w:ascii="Arial" w:cs="Arial" w:eastAsia="Arial" w:hAnsi="Arial"/>
          <w:sz w:val="18"/>
          <w:szCs w:val="18"/>
          <w:color w:val="auto"/>
        </w:rPr>
        <w:t>12,257</w:t>
      </w:r>
      <w:r>
        <w:rPr>
          <w:sz w:val="20"/>
          <w:szCs w:val="20"/>
          <w:color w:val="auto"/>
        </w:rPr>
        <w:tab/>
      </w:r>
      <w:r>
        <w:rPr>
          <w:rFonts w:ascii="Arial" w:cs="Arial" w:eastAsia="Arial" w:hAnsi="Arial"/>
          <w:sz w:val="18"/>
          <w:szCs w:val="18"/>
          <w:color w:val="auto"/>
        </w:rPr>
        <w:t>1</w:t>
        <w:tab/>
        <w:t>$</w:t>
      </w:r>
      <w:r>
        <w:rPr>
          <w:sz w:val="20"/>
          <w:szCs w:val="20"/>
          <w:color w:val="auto"/>
        </w:rPr>
        <w:tab/>
      </w:r>
      <w:r>
        <w:rPr>
          <w:rFonts w:ascii="Arial" w:cs="Arial" w:eastAsia="Arial" w:hAnsi="Arial"/>
          <w:sz w:val="18"/>
          <w:szCs w:val="18"/>
          <w:color w:val="auto"/>
        </w:rPr>
        <w:t>24,604</w:t>
      </w:r>
      <w:r>
        <w:rPr>
          <w:sz w:val="20"/>
          <w:szCs w:val="20"/>
          <w:color w:val="auto"/>
        </w:rPr>
        <w:tab/>
      </w:r>
      <w:r>
        <w:rPr>
          <w:rFonts w:ascii="Arial" w:cs="Arial" w:eastAsia="Arial" w:hAnsi="Arial"/>
          <w:sz w:val="18"/>
          <w:szCs w:val="18"/>
          <w:color w:val="auto"/>
        </w:rPr>
        <w:t>2</w:t>
        <w:tab/>
        <w:t>$</w:t>
      </w:r>
      <w:r>
        <w:rPr>
          <w:sz w:val="20"/>
          <w:szCs w:val="20"/>
          <w:color w:val="auto"/>
        </w:rPr>
        <w:tab/>
      </w:r>
      <w:r>
        <w:rPr>
          <w:rFonts w:ascii="Arial" w:cs="Arial" w:eastAsia="Arial" w:hAnsi="Arial"/>
          <w:sz w:val="16"/>
          <w:szCs w:val="16"/>
          <w:color w:val="auto"/>
        </w:rPr>
        <w:t>40,262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48895</wp:posOffset>
            </wp:positionV>
            <wp:extent cx="57804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pacing w:after="0" w:line="2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Troubled debt restructurings that occurred during the three months ended September 30, 2012 included loans that were granted maturity extensions and had interest rates unchanged as a result of the modifications. A performing loan with a recorded investment of $46.3 million was extended three months. The Company believes the borrower can perform under the modified terms and continues to classify the loan as performing. A loan with a recorded investment of $7.9 million was extended for one year, and was classified as non-performing both before and after the modification.</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Troubled debt restructurings that occurred during the nine months ended September 30, 2012 included the modifications of performing loans with a combined recorded investment of $62.6 million. The modified terms of these loans granted maturity extensions ranging from three months to one year and included conditional extension options in certain cases dependent on borrower-specific performance hurdles. In each case, the Company believes the borrowers can perform under the modified terms of the loans and continues to classify these loans as performing.</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Non-performing loans with a combined recorded investment of $255.6 million were also modified during the nine months ended September 30, 2012 and continued to be classified as non-performing subsequent to modification. Included in this balance was a loan with a recorded investment of $181.5 million prior to modification for which the Company agreed to reduce the outstanding principal balance and recorded charge-offs totaling $45.5 million, and also reduced the loan's interest rate. The remaining non-performing loans were granted maturity extensions ranging from one month to seven months and the interest rate was reduced on one loan.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Troubled debt restructurings that occurred during the three months ended September 30, 2011 included loans that were granted maturity extensions and had interest rates unchanged as a result of the modifications. Performing loans with a recorded investment of $49.3 million were modified to grant maturity extensions ranging from three months to six months. The Company also extended a discounted payoff option on a loan that was classified as non-performing.</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Troubled debt restructurings that occurred during the nine months ended September 30, 2011 included the modifications of performing loans with a combined recorded investment of $129.2 million. The modified terms of these loans granted maturity extensions ranging from three months to five years and included conditional extension options in certain cases dependent on borrower-specific performance hurdles. The Company reduced the rate on loans with a combined recorded investment of $59.5 million from a combined weighted average rate of 6.2% to 4.1%. In each case, the Company believed the borrowers could perform under the modified terms of the loans and classified these loans as performing after the modification. One of these loans subsequently defaulted.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Non-performing loans with a combined recorded investment of $62.0 million were also modified during the nine months ended September 30, 2011 and continued to be classified as non-performing subsequent to modification. Included in this balance was a loan with a recorded investment of $46.1 million for which the Company granted a maturity extension of six months while also reducing the loan's interest rate. The Company also extended a discounted payoff option on another loan that was classified as non-performing.</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Generally when granting concessions, the Company will seek to protect its position by requiring incremental pay downs, additional collateral or guarantees and in some cases lookback features or equity kickers to offset concessions granted should conditions with the loan improve. The Company's determination of credit losses is impacted by troubled debt restructurings whereby loans that have gone through troubled debt restructurings are considered impaired, assessed for specific reserves, and are not included in the Company's assessment of general loan loss reserves. Loans previously restructured under troubled debt restructurings that subsequently default are reassessed to incorporate the Company's current assumptions on expected cash flows and additional provision expense is recorded to the extent necessary. As of September 30, 2012, the Company had $6.0 million of unfunded commitments associated with modified loans considered troubled debt restructurings.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5—Real Estate Held for Investment, net and Other Real Estate Owned</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nine months ended September 30, 2012, the Company received title to properties with an aggregate estimated fair value at the time of foreclosure of $212.0 million, in full or partial satisfaction of non-performing mortgage loans for which those properties had served as collateral. Of these, properties with a value of $3.6 million were classified as REHI and $208.4 million were classified as OREO, based on management's intention to either hold the properties over a longer period or to market them for sale in the near term.</w:t>
      </w:r>
    </w:p>
    <w:p>
      <w:pPr>
        <w:spacing w:after="0" w:line="1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nine months ended September 30, 2012, the Company executed transactions related to two separate REHI investments, whereby the Company acquired land and other assets with a combined fair value of $38.8 million from third parties to form two new strategic ventures. In each case, a third party contributed land into the respective venture in a non-cash exchange for a noncontrolling interest and the Company continues to consolidate both subsidiaries. In conjunction with its formation, one of the new strategic ventures contributed land with a recorded value of $11.6 million in a non-cash exchange for a 40% noncontrolling equity interest in a separate new venture. The Company did not recognize any gains or losses associated with these transactions.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Additionally, based upon certain rights held by the minority partner in one of these ventures that provide it with an option to redeem its interest at fair value after seven years, the partner's non-controlling interest in this venture is presented as a redeemable non-controlling interest on the Company's Consolidated Balance Sheet as of September 30, 2012.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Real Estate Held for Investment, net</w:t>
      </w:r>
      <w:r>
        <w:rPr>
          <w:rFonts w:ascii="Arial" w:cs="Arial" w:eastAsia="Arial" w:hAnsi="Arial"/>
          <w:sz w:val="18"/>
          <w:szCs w:val="18"/>
          <w:color w:val="auto"/>
        </w:rPr>
        <w:t>—REHI consisted of the following ($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16"/>
                <w:szCs w:val="16"/>
                <w:color w:val="auto"/>
              </w:rPr>
            </w:pPr>
          </w:p>
        </w:tc>
      </w:tr>
      <w:tr>
        <w:trPr>
          <w:trHeight w:val="264"/>
        </w:trPr>
        <w:tc>
          <w:tcPr>
            <w:tcW w:w="78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September 30, 2012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December 31, 2011</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held for investment and development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756,588</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711,072</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Operating property</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Buildings and improvements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350,262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379,644</w:t>
            </w: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Land</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98,340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154,445</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(30,235)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(17,027)</w:t>
            </w:r>
          </w:p>
        </w:tc>
      </w:tr>
      <w:tr>
        <w:trPr>
          <w:trHeight w:val="257"/>
        </w:trPr>
        <w:tc>
          <w:tcPr>
            <w:tcW w:w="7860" w:type="dxa"/>
            <w:vAlign w:val="bottom"/>
          </w:tcPr>
          <w:p>
            <w:pPr>
              <w:ind w:left="40"/>
              <w:spacing w:after="0"/>
              <w:rPr>
                <w:sz w:val="20"/>
                <w:szCs w:val="20"/>
                <w:color w:val="auto"/>
              </w:rPr>
            </w:pPr>
            <w:r>
              <w:rPr>
                <w:rFonts w:ascii="Arial" w:cs="Arial" w:eastAsia="Arial" w:hAnsi="Arial"/>
                <w:sz w:val="18"/>
                <w:szCs w:val="18"/>
                <w:color w:val="auto"/>
              </w:rPr>
              <w:t>Real estate held for investment,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1,174,955</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1,228,134</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records REHI operating income in "Other income" and REHI operating expenses in "Operating costs—REHI and OREO,"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Statements of Operations, as follows ($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5"/>
          </w:tcPr>
          <w:p>
            <w:pPr>
              <w:ind w:left="520"/>
              <w:spacing w:after="0"/>
              <w:rPr>
                <w:sz w:val="20"/>
                <w:szCs w:val="20"/>
                <w:color w:val="auto"/>
              </w:rPr>
            </w:pPr>
            <w:r>
              <w:rPr>
                <w:rFonts w:ascii="Arial" w:cs="Arial" w:eastAsia="Arial" w:hAnsi="Arial"/>
                <w:sz w:val="14"/>
                <w:szCs w:val="14"/>
                <w:b w:val="1"/>
                <w:bCs w:val="1"/>
                <w:color w:val="auto"/>
              </w:rPr>
              <w:t>For the Three Months</w:t>
            </w:r>
          </w:p>
        </w:tc>
        <w:tc>
          <w:tcPr>
            <w:tcW w:w="360" w:type="dxa"/>
            <w:vAlign w:val="bottom"/>
          </w:tcPr>
          <w:p>
            <w:pPr>
              <w:spacing w:after="0"/>
              <w:rPr>
                <w:sz w:val="14"/>
                <w:szCs w:val="14"/>
                <w:color w:val="auto"/>
              </w:rPr>
            </w:pPr>
          </w:p>
        </w:tc>
        <w:tc>
          <w:tcPr>
            <w:tcW w:w="1820" w:type="dxa"/>
            <w:vAlign w:val="bottom"/>
            <w:gridSpan w:val="3"/>
          </w:tcPr>
          <w:p>
            <w:pPr>
              <w:ind w:left="520"/>
              <w:spacing w:after="0"/>
              <w:rPr>
                <w:sz w:val="20"/>
                <w:szCs w:val="20"/>
                <w:color w:val="auto"/>
              </w:rPr>
            </w:pPr>
            <w:r>
              <w:rPr>
                <w:rFonts w:ascii="Arial" w:cs="Arial" w:eastAsia="Arial" w:hAnsi="Arial"/>
                <w:sz w:val="14"/>
                <w:szCs w:val="14"/>
                <w:b w:val="1"/>
                <w:bCs w:val="1"/>
                <w:color w:val="auto"/>
                <w:w w:val="94"/>
              </w:rPr>
              <w:t>For the Nine Months</w:t>
            </w:r>
          </w:p>
        </w:tc>
        <w:tc>
          <w:tcPr>
            <w:tcW w:w="880" w:type="dxa"/>
            <w:vAlign w:val="bottom"/>
          </w:tcPr>
          <w:p>
            <w:pPr>
              <w:spacing w:after="0"/>
              <w:rPr>
                <w:sz w:val="14"/>
                <w:szCs w:val="14"/>
                <w:color w:val="auto"/>
              </w:rPr>
            </w:pPr>
          </w:p>
        </w:tc>
      </w:tr>
      <w:tr>
        <w:trPr>
          <w:trHeight w:val="192"/>
        </w:trPr>
        <w:tc>
          <w:tcPr>
            <w:tcW w:w="5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1"/>
              </w:rPr>
              <w:t>Ended 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Ended September 30,</w:t>
            </w: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2011</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REHI 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14,276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8,207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43,425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22,356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REHI operating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540"/>
              <w:spacing w:after="0"/>
              <w:rPr>
                <w:sz w:val="20"/>
                <w:szCs w:val="20"/>
                <w:color w:val="auto"/>
              </w:rPr>
            </w:pPr>
            <w:r>
              <w:rPr>
                <w:rFonts w:ascii="Arial" w:cs="Arial" w:eastAsia="Arial" w:hAnsi="Arial"/>
                <w:sz w:val="18"/>
                <w:szCs w:val="18"/>
                <w:color w:val="auto"/>
              </w:rPr>
              <w:t>16,422</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12,130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520"/>
              <w:spacing w:after="0"/>
              <w:rPr>
                <w:sz w:val="20"/>
                <w:szCs w:val="20"/>
                <w:color w:val="auto"/>
              </w:rPr>
            </w:pPr>
            <w:r>
              <w:rPr>
                <w:rFonts w:ascii="Arial" w:cs="Arial" w:eastAsia="Arial" w:hAnsi="Arial"/>
                <w:sz w:val="18"/>
                <w:szCs w:val="18"/>
                <w:color w:val="auto"/>
              </w:rPr>
              <w:t>44,489</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31,422</w:t>
            </w:r>
          </w:p>
        </w:tc>
      </w:tr>
    </w:tbl>
    <w:p>
      <w:pPr>
        <w:spacing w:after="0" w:line="22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Other Real Estate Owned</w:t>
      </w:r>
      <w:r>
        <w:rPr>
          <w:rFonts w:ascii="Arial" w:cs="Arial" w:eastAsia="Arial" w:hAnsi="Arial"/>
          <w:sz w:val="17"/>
          <w:szCs w:val="17"/>
          <w:color w:val="auto"/>
        </w:rPr>
        <w:t>—During the nine months ended September 30, 2012, the Company sold OREO assets with a carrying value of $281.0</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primarily comprised of sales of residential property units for which the Company recorded income from sales of $35.6 million. For the three and nine months ended September 30, 2012, the Company recorded net impairment charges to OREO properties totaling $1.5 million and $5.3 million, respectively, and recorded net expenses related to holding costs for OREO properties of $8.0 million and $24.5 million, respectively.</w:t>
      </w:r>
    </w:p>
    <w:p>
      <w:pPr>
        <w:spacing w:after="0" w:line="16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For the three and nine months ended September 30, 2011, the Company recorded net impairment charges to OREO properties totaling $9.3 million and $12.6 million, respectively, and recorded net expenses related to holding costs for OREO properties of $7.7 million and $24.2 million, respectively.</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6—Net Lease Assets,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investments in net lease assets, at cost, were as follows ($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16"/>
                <w:szCs w:val="16"/>
                <w:color w:val="auto"/>
              </w:rPr>
            </w:pPr>
          </w:p>
        </w:tc>
      </w:tr>
      <w:tr>
        <w:trPr>
          <w:trHeight w:val="264"/>
        </w:trPr>
        <w:tc>
          <w:tcPr>
            <w:tcW w:w="78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September 30, 2012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December 31, 2011</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and improvements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1,481,454</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1,601,477</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Land and land improvements</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411,668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447,603</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(352,658)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(346,316)</w:t>
            </w:r>
          </w:p>
        </w:tc>
      </w:tr>
      <w:tr>
        <w:trPr>
          <w:trHeight w:val="257"/>
        </w:trPr>
        <w:tc>
          <w:tcPr>
            <w:tcW w:w="7860" w:type="dxa"/>
            <w:vAlign w:val="bottom"/>
          </w:tcPr>
          <w:p>
            <w:pPr>
              <w:ind w:left="40"/>
              <w:spacing w:after="0"/>
              <w:rPr>
                <w:sz w:val="20"/>
                <w:szCs w:val="20"/>
                <w:color w:val="auto"/>
              </w:rPr>
            </w:pPr>
            <w:r>
              <w:rPr>
                <w:rFonts w:ascii="Arial" w:cs="Arial" w:eastAsia="Arial" w:hAnsi="Arial"/>
                <w:sz w:val="18"/>
                <w:szCs w:val="18"/>
                <w:color w:val="auto"/>
              </w:rPr>
              <w:t>Net lease assets,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1,540,464</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1,702,764</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April 30, 2012, the Company sold a portfolio of 12 net lease assets with an aggregate carrying value of $105.7 million and recorded a gain of $24.9 million resulting from the transaction. Certain of the properties were subject to secured term loans with a remaining principal balance of $50.8 million that were repaid in full at closing (see Note 9). Additionally, during the nine months ended September 30, 2012, the Company sold net lease assets with a carrying value of $9.8 million, resulting in a net gain of $2.4 million.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the three and nine months ended September 30, 2012, the Company recorded impairment charges of $3.6 million and $23.8 million, respectively, on net lease assets, of which $0.5 million was included in "Income (loss) from discontinued operations" on the Company's Consolidated Statements of Operations for the nine months ended September 30, 2012.</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nine months ended September 30, 2011, the Company realized $22.2 million of a gain previously deferred as part of its June 2010 sale of a portfolio of 32 net lease assets. The gain is presented in "Gain from discontinued operations" on the Company's Consolidated Statements of Operations for the three and nine months ended September 30, 2011.</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receives reimbursements from customers for certain facility operating expenses including common area costs, insurance and real estate taxes. Customer expense reimbursements were $5.2 million and $16.6 million for the three and nine months ended September 30, 2012, respectively, and $6.1 million and $17.6 million for the three and nine months ended September 30, 2011, respectively. These amounts were included as a reduction of "Operating costs - net lease assets" on the Company's Consolidated Statements of Operations.</w:t>
      </w:r>
    </w:p>
    <w:p>
      <w:pPr>
        <w:spacing w:after="0" w:line="183" w:lineRule="exact"/>
        <w:rPr>
          <w:sz w:val="20"/>
          <w:szCs w:val="20"/>
          <w:color w:val="auto"/>
        </w:rPr>
      </w:pPr>
    </w:p>
    <w:p>
      <w:pPr>
        <w:jc w:val="both"/>
        <w:ind w:firstLine="432"/>
        <w:spacing w:after="0" w:line="313" w:lineRule="auto"/>
        <w:rPr>
          <w:sz w:val="20"/>
          <w:szCs w:val="20"/>
          <w:color w:val="auto"/>
        </w:rPr>
      </w:pPr>
      <w:r>
        <w:rPr>
          <w:rFonts w:ascii="Arial" w:cs="Arial" w:eastAsia="Arial" w:hAnsi="Arial"/>
          <w:sz w:val="17"/>
          <w:szCs w:val="17"/>
          <w:b w:val="1"/>
          <w:bCs w:val="1"/>
          <w:color w:val="auto"/>
        </w:rPr>
        <w:t>Allowance for doubtful accounts</w:t>
      </w:r>
      <w:r>
        <w:rPr>
          <w:rFonts w:ascii="Arial" w:cs="Arial" w:eastAsia="Arial" w:hAnsi="Arial"/>
          <w:sz w:val="17"/>
          <w:szCs w:val="17"/>
          <w:color w:val="auto"/>
        </w:rPr>
        <w:t>—As of September 30, 2012 and December 31, 2011, the total allowance for doubtful accounts related to net lease</w:t>
      </w:r>
      <w:r>
        <w:rPr>
          <w:rFonts w:ascii="Arial" w:cs="Arial" w:eastAsia="Arial" w:hAnsi="Arial"/>
          <w:sz w:val="17"/>
          <w:szCs w:val="17"/>
          <w:b w:val="1"/>
          <w:bCs w:val="1"/>
          <w:color w:val="auto"/>
        </w:rPr>
        <w:t xml:space="preserve"> </w:t>
      </w:r>
      <w:r>
        <w:rPr>
          <w:rFonts w:ascii="Arial" w:cs="Arial" w:eastAsia="Arial" w:hAnsi="Arial"/>
          <w:sz w:val="17"/>
          <w:szCs w:val="17"/>
          <w:color w:val="auto"/>
        </w:rPr>
        <w:t>asset and REHI tenant receivables, including deferred operating lease income receivable, was $6.2 million and $3.7 million,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other investments and its proportionate share of results from equity method investments were as follows ($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Carrying value as of</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Equity in earnings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52"/>
        </w:trPr>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1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For the Three Months</w:t>
            </w:r>
          </w:p>
        </w:tc>
        <w:tc>
          <w:tcPr>
            <w:tcW w:w="300" w:type="dxa"/>
            <w:vAlign w:val="bottom"/>
          </w:tcPr>
          <w:p>
            <w:pPr>
              <w:spacing w:after="0"/>
              <w:rPr>
                <w:sz w:val="13"/>
                <w:szCs w:val="13"/>
                <w:color w:val="auto"/>
              </w:rPr>
            </w:pPr>
          </w:p>
        </w:tc>
        <w:tc>
          <w:tcPr>
            <w:tcW w:w="2280" w:type="dxa"/>
            <w:vAlign w:val="bottom"/>
            <w:gridSpan w:val="4"/>
          </w:tcPr>
          <w:p>
            <w:pPr>
              <w:ind w:left="340"/>
              <w:spacing w:after="0" w:line="153" w:lineRule="exact"/>
              <w:rPr>
                <w:sz w:val="20"/>
                <w:szCs w:val="20"/>
                <w:color w:val="auto"/>
              </w:rPr>
            </w:pPr>
            <w:r>
              <w:rPr>
                <w:rFonts w:ascii="Arial" w:cs="Arial" w:eastAsia="Arial" w:hAnsi="Arial"/>
                <w:sz w:val="14"/>
                <w:szCs w:val="14"/>
                <w:b w:val="1"/>
                <w:bCs w:val="1"/>
                <w:color w:val="auto"/>
              </w:rPr>
              <w:t>For the Nine Months</w:t>
            </w:r>
          </w:p>
        </w:tc>
      </w:tr>
      <w:tr>
        <w:trPr>
          <w:trHeight w:val="192"/>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Ended September 30,</w:t>
            </w:r>
          </w:p>
        </w:tc>
        <w:tc>
          <w:tcPr>
            <w:tcW w:w="300" w:type="dxa"/>
            <w:vAlign w:val="bottom"/>
          </w:tcPr>
          <w:p>
            <w:pPr>
              <w:spacing w:after="0"/>
              <w:rPr>
                <w:sz w:val="16"/>
                <w:szCs w:val="16"/>
                <w:color w:val="auto"/>
              </w:rPr>
            </w:pPr>
          </w:p>
        </w:tc>
        <w:tc>
          <w:tcPr>
            <w:tcW w:w="2280" w:type="dxa"/>
            <w:vAlign w:val="bottom"/>
            <w:gridSpan w:val="4"/>
          </w:tcPr>
          <w:p>
            <w:pPr>
              <w:ind w:left="340"/>
              <w:spacing w:after="0"/>
              <w:rPr>
                <w:sz w:val="20"/>
                <w:szCs w:val="20"/>
                <w:color w:val="auto"/>
              </w:rPr>
            </w:pPr>
            <w:r>
              <w:rPr>
                <w:rFonts w:ascii="Arial" w:cs="Arial" w:eastAsia="Arial" w:hAnsi="Arial"/>
                <w:sz w:val="14"/>
                <w:szCs w:val="14"/>
                <w:b w:val="1"/>
                <w:bCs w:val="1"/>
                <w:color w:val="auto"/>
              </w:rPr>
              <w:t>Ended September 30,</w:t>
            </w:r>
          </w:p>
        </w:tc>
      </w:tr>
      <w:tr>
        <w:trPr>
          <w:trHeight w:val="264"/>
        </w:trPr>
        <w:tc>
          <w:tcPr>
            <w:tcW w:w="33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CCEEFF"/>
            </w:tcBorders>
          </w:tcPr>
          <w:p>
            <w:pPr>
              <w:spacing w:after="0"/>
              <w:rPr>
                <w:sz w:val="22"/>
                <w:szCs w:val="22"/>
                <w:color w:val="auto"/>
              </w:rPr>
            </w:pPr>
          </w:p>
        </w:tc>
        <w:tc>
          <w:tcPr>
            <w:tcW w:w="112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CCEEFF"/>
            </w:tcBorders>
          </w:tcPr>
          <w:p>
            <w:pPr>
              <w:spacing w:after="0"/>
              <w:rPr>
                <w:sz w:val="22"/>
                <w:szCs w:val="22"/>
                <w:color w:val="auto"/>
              </w:rPr>
            </w:pPr>
          </w:p>
        </w:tc>
        <w:tc>
          <w:tcPr>
            <w:tcW w:w="110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LNR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180,671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159,764</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15,206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36,017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36,572</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Madison Funds</w:t>
            </w:r>
          </w:p>
        </w:tc>
        <w:tc>
          <w:tcPr>
            <w:tcW w:w="1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84,360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103,305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11,937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7,016</w:t>
            </w:r>
          </w:p>
        </w:tc>
      </w:tr>
      <w:tr>
        <w:trPr>
          <w:trHeight w:val="27"/>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Oak Hill Funds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44,052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56,817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2,961</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OREO/REHI Investments</w:t>
            </w:r>
          </w:p>
        </w:tc>
        <w:tc>
          <w:tcPr>
            <w:tcW w:w="1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30,880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52,803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15,747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(6,718)</w:t>
            </w:r>
          </w:p>
        </w:tc>
      </w:tr>
      <w:tr>
        <w:trPr>
          <w:trHeight w:val="27"/>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equity method investments (1)</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67,345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73,146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3,633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15,050</w:t>
            </w:r>
          </w:p>
        </w:tc>
      </w:tr>
      <w:tr>
        <w:trPr>
          <w:trHeight w:val="297"/>
        </w:trPr>
        <w:tc>
          <w:tcPr>
            <w:tcW w:w="3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equity method investments</w:t>
            </w:r>
          </w:p>
        </w:tc>
        <w:tc>
          <w:tcPr>
            <w:tcW w:w="1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407,308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tcPr>
          <w:p>
            <w:pPr>
              <w:jc w:val="right"/>
              <w:ind w:right="14"/>
              <w:spacing w:after="0"/>
              <w:rPr>
                <w:sz w:val="20"/>
                <w:szCs w:val="20"/>
                <w:color w:val="auto"/>
              </w:rPr>
            </w:pPr>
            <w:r>
              <w:rPr>
                <w:rFonts w:ascii="Arial" w:cs="Arial" w:eastAsia="Arial" w:hAnsi="Arial"/>
                <w:sz w:val="18"/>
                <w:szCs w:val="18"/>
                <w:color w:val="auto"/>
              </w:rPr>
              <w:t>445,835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22,719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10,817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75,925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54,881</w:t>
            </w:r>
          </w:p>
        </w:tc>
      </w:tr>
      <w:tr>
        <w:trPr>
          <w:trHeight w:val="25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57"/>
        </w:trPr>
        <w:tc>
          <w:tcPr>
            <w:tcW w:w="3300" w:type="dxa"/>
            <w:vAlign w:val="bottom"/>
          </w:tcPr>
          <w:p>
            <w:pPr>
              <w:ind w:left="180"/>
              <w:spacing w:after="0"/>
              <w:rPr>
                <w:sz w:val="20"/>
                <w:szCs w:val="20"/>
                <w:color w:val="auto"/>
              </w:rPr>
            </w:pPr>
            <w:r>
              <w:rPr>
                <w:rFonts w:ascii="Arial" w:cs="Arial" w:eastAsia="Arial" w:hAnsi="Arial"/>
                <w:sz w:val="18"/>
                <w:szCs w:val="18"/>
                <w:color w:val="auto"/>
              </w:rPr>
              <w:t>Total other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419,648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457,835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0"/>
        </w:trPr>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line="273"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2011, amounts include $1.4 million and $8.9 million, respectively, of earnings related to Oak Hill Advisors, L.P. and related entities which were sold in October 2011.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Financial Information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LNR</w:t>
      </w:r>
      <w:r>
        <w:rPr>
          <w:rFonts w:ascii="Arial" w:cs="Arial" w:eastAsia="Arial" w:hAnsi="Arial"/>
          <w:sz w:val="18"/>
          <w:szCs w:val="18"/>
          <w:color w:val="auto"/>
        </w:rPr>
        <w:t>—The following table represents investee level summarized financial information for LNR ($ in thousands)(1)(2):</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60" w:type="dxa"/>
            <w:vAlign w:val="bottom"/>
            <w:gridSpan w:val="6"/>
          </w:tcPr>
          <w:p>
            <w:pPr>
              <w:jc w:val="right"/>
              <w:ind w:right="1074"/>
              <w:spacing w:after="0"/>
              <w:rPr>
                <w:sz w:val="20"/>
                <w:szCs w:val="20"/>
                <w:color w:val="auto"/>
              </w:rPr>
            </w:pPr>
            <w:r>
              <w:rPr>
                <w:rFonts w:ascii="Arial" w:cs="Arial" w:eastAsia="Arial" w:hAnsi="Arial"/>
                <w:sz w:val="14"/>
                <w:szCs w:val="14"/>
                <w:b w:val="1"/>
                <w:bCs w:val="1"/>
                <w:color w:val="auto"/>
              </w:rPr>
              <w:t>For the Nine Months</w:t>
            </w:r>
          </w:p>
        </w:tc>
      </w:tr>
      <w:tr>
        <w:trPr>
          <w:trHeight w:val="192"/>
        </w:trPr>
        <w:tc>
          <w:tcPr>
            <w:tcW w:w="4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Ended June 30,</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right"/>
              <w:ind w:right="1234"/>
              <w:spacing w:after="0"/>
              <w:rPr>
                <w:sz w:val="20"/>
                <w:szCs w:val="20"/>
                <w:color w:val="auto"/>
              </w:rPr>
            </w:pPr>
            <w:r>
              <w:rPr>
                <w:rFonts w:ascii="Arial" w:cs="Arial" w:eastAsia="Arial" w:hAnsi="Arial"/>
                <w:sz w:val="14"/>
                <w:szCs w:val="14"/>
                <w:b w:val="1"/>
                <w:bCs w:val="1"/>
                <w:color w:val="auto"/>
              </w:rPr>
              <w:t>Ended June 30,</w:t>
            </w:r>
          </w:p>
        </w:tc>
      </w:tr>
      <w:tr>
        <w:trPr>
          <w:trHeight w:val="264"/>
        </w:trPr>
        <w:tc>
          <w:tcPr>
            <w:tcW w:w="40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w w:val="96"/>
              </w:rPr>
              <w:t>2011</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2011</w:t>
            </w: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Total revenue(2)</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86,038</w:t>
            </w:r>
          </w:p>
        </w:tc>
        <w:tc>
          <w:tcPr>
            <w:tcW w:w="1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104,584</w:t>
            </w: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5"/>
              <w:spacing w:after="0"/>
              <w:rPr>
                <w:sz w:val="20"/>
                <w:szCs w:val="20"/>
                <w:color w:val="auto"/>
              </w:rPr>
            </w:pPr>
            <w:r>
              <w:rPr>
                <w:rFonts w:ascii="Arial" w:cs="Arial" w:eastAsia="Arial" w:hAnsi="Arial"/>
                <w:sz w:val="18"/>
                <w:szCs w:val="18"/>
                <w:color w:val="auto"/>
              </w:rPr>
              <w:t>234,734</w:t>
            </w:r>
          </w:p>
        </w:tc>
        <w:tc>
          <w:tcPr>
            <w:tcW w:w="20" w:type="dxa"/>
            <w:vAlign w:val="bottom"/>
          </w:tcPr>
          <w:p>
            <w:pPr>
              <w:spacing w:after="0"/>
              <w:rPr>
                <w:sz w:val="21"/>
                <w:szCs w:val="21"/>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4"/>
              <w:spacing w:after="0"/>
              <w:rPr>
                <w:sz w:val="20"/>
                <w:szCs w:val="20"/>
                <w:color w:val="auto"/>
              </w:rPr>
            </w:pPr>
            <w:r>
              <w:rPr>
                <w:rFonts w:ascii="Arial" w:cs="Arial" w:eastAsia="Arial" w:hAnsi="Arial"/>
                <w:sz w:val="18"/>
                <w:szCs w:val="18"/>
                <w:color w:val="auto"/>
              </w:rPr>
              <w:t>260,997</w:t>
            </w:r>
          </w:p>
        </w:tc>
      </w:tr>
      <w:tr>
        <w:trPr>
          <w:trHeight w:val="27"/>
        </w:trPr>
        <w:tc>
          <w:tcPr>
            <w:tcW w:w="4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(benefit)(3)</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1,193</w:t>
            </w: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4,935</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(31,140)</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Net income attributable to LNR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63,420</w:t>
            </w:r>
          </w:p>
        </w:tc>
        <w:tc>
          <w:tcPr>
            <w:tcW w:w="1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52,171</w:t>
            </w: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5"/>
              <w:spacing w:after="0"/>
              <w:rPr>
                <w:sz w:val="20"/>
                <w:szCs w:val="20"/>
                <w:color w:val="auto"/>
              </w:rPr>
            </w:pPr>
            <w:r>
              <w:rPr>
                <w:rFonts w:ascii="Arial" w:cs="Arial" w:eastAsia="Arial" w:hAnsi="Arial"/>
                <w:sz w:val="18"/>
                <w:szCs w:val="18"/>
                <w:color w:val="auto"/>
              </w:rPr>
              <w:t>150,219</w:t>
            </w:r>
          </w:p>
        </w:tc>
        <w:tc>
          <w:tcPr>
            <w:tcW w:w="20" w:type="dxa"/>
            <w:vAlign w:val="bottom"/>
          </w:tcPr>
          <w:p>
            <w:pPr>
              <w:spacing w:after="0"/>
              <w:rPr>
                <w:sz w:val="21"/>
                <w:szCs w:val="21"/>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4"/>
              <w:spacing w:after="0"/>
              <w:rPr>
                <w:sz w:val="20"/>
                <w:szCs w:val="20"/>
                <w:color w:val="auto"/>
              </w:rPr>
            </w:pPr>
            <w:r>
              <w:rPr>
                <w:rFonts w:ascii="Arial" w:cs="Arial" w:eastAsia="Arial" w:hAnsi="Arial"/>
                <w:sz w:val="18"/>
                <w:szCs w:val="18"/>
                <w:color w:val="auto"/>
              </w:rPr>
              <w:t>152,537</w:t>
            </w:r>
          </w:p>
        </w:tc>
      </w:tr>
      <w:tr>
        <w:trPr>
          <w:trHeight w:val="27"/>
        </w:trPr>
        <w:tc>
          <w:tcPr>
            <w:tcW w:w="4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iStar's ownership percentage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iStar's equity in earnings from LNR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15,206</w:t>
            </w:r>
          </w:p>
        </w:tc>
        <w:tc>
          <w:tcPr>
            <w:tcW w:w="1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12,509</w:t>
            </w: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5"/>
              <w:spacing w:after="0"/>
              <w:rPr>
                <w:sz w:val="20"/>
                <w:szCs w:val="20"/>
                <w:color w:val="auto"/>
              </w:rPr>
            </w:pPr>
            <w:r>
              <w:rPr>
                <w:rFonts w:ascii="Arial" w:cs="Arial" w:eastAsia="Arial" w:hAnsi="Arial"/>
                <w:sz w:val="18"/>
                <w:szCs w:val="18"/>
                <w:color w:val="auto"/>
              </w:rPr>
              <w:t>36,017</w:t>
            </w:r>
          </w:p>
        </w:tc>
        <w:tc>
          <w:tcPr>
            <w:tcW w:w="20" w:type="dxa"/>
            <w:vAlign w:val="bottom"/>
          </w:tcPr>
          <w:p>
            <w:pPr>
              <w:spacing w:after="0"/>
              <w:rPr>
                <w:sz w:val="21"/>
                <w:szCs w:val="21"/>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4"/>
              <w:spacing w:after="0"/>
              <w:rPr>
                <w:sz w:val="20"/>
                <w:szCs w:val="20"/>
                <w:color w:val="auto"/>
              </w:rPr>
            </w:pPr>
            <w:r>
              <w:rPr>
                <w:rFonts w:ascii="Arial" w:cs="Arial" w:eastAsia="Arial" w:hAnsi="Arial"/>
                <w:sz w:val="18"/>
                <w:szCs w:val="18"/>
                <w:color w:val="auto"/>
              </w:rPr>
              <w:t>36,572</w:t>
            </w:r>
          </w:p>
        </w:tc>
      </w:tr>
      <w:tr>
        <w:trPr>
          <w:trHeight w:val="858"/>
        </w:trPr>
        <w:tc>
          <w:tcPr>
            <w:tcW w:w="4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As of June 30,</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As of September 30,</w:t>
            </w:r>
          </w:p>
        </w:tc>
      </w:tr>
      <w:tr>
        <w:trPr>
          <w:trHeight w:val="264"/>
        </w:trPr>
        <w:tc>
          <w:tcPr>
            <w:tcW w:w="406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2011</w:t>
            </w: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Total assets(2)</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1,469,158</w:t>
            </w:r>
          </w:p>
        </w:tc>
        <w:tc>
          <w:tcPr>
            <w:tcW w:w="20" w:type="dxa"/>
            <w:vAlign w:val="bottom"/>
          </w:tcPr>
          <w:p>
            <w:pPr>
              <w:spacing w:after="0"/>
              <w:rPr>
                <w:sz w:val="21"/>
                <w:szCs w:val="21"/>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4"/>
              <w:spacing w:after="0"/>
              <w:rPr>
                <w:sz w:val="20"/>
                <w:szCs w:val="20"/>
                <w:color w:val="auto"/>
              </w:rPr>
            </w:pPr>
            <w:r>
              <w:rPr>
                <w:rFonts w:ascii="Arial" w:cs="Arial" w:eastAsia="Arial" w:hAnsi="Arial"/>
                <w:sz w:val="18"/>
                <w:szCs w:val="18"/>
                <w:color w:val="auto"/>
              </w:rPr>
              <w:t>1,288,923</w:t>
            </w:r>
          </w:p>
        </w:tc>
      </w:tr>
      <w:tr>
        <w:trPr>
          <w:trHeight w:val="27"/>
        </w:trPr>
        <w:tc>
          <w:tcPr>
            <w:tcW w:w="4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debt(2)</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566,099</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469,631</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Total liabilities(2)</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663,963</w:t>
            </w:r>
          </w:p>
        </w:tc>
        <w:tc>
          <w:tcPr>
            <w:tcW w:w="20" w:type="dxa"/>
            <w:vAlign w:val="bottom"/>
          </w:tcPr>
          <w:p>
            <w:pPr>
              <w:spacing w:after="0"/>
              <w:rPr>
                <w:sz w:val="21"/>
                <w:szCs w:val="21"/>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4"/>
              <w:spacing w:after="0"/>
              <w:rPr>
                <w:sz w:val="20"/>
                <w:szCs w:val="20"/>
                <w:color w:val="auto"/>
              </w:rPr>
            </w:pPr>
            <w:r>
              <w:rPr>
                <w:rFonts w:ascii="Arial" w:cs="Arial" w:eastAsia="Arial" w:hAnsi="Arial"/>
                <w:sz w:val="18"/>
                <w:szCs w:val="18"/>
                <w:color w:val="auto"/>
              </w:rPr>
              <w:t>576,835</w:t>
            </w:r>
          </w:p>
        </w:tc>
      </w:tr>
      <w:tr>
        <w:trPr>
          <w:trHeight w:val="27"/>
        </w:trPr>
        <w:tc>
          <w:tcPr>
            <w:tcW w:w="4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2,101</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39,940</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LNR Property LLC equity(4)</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803,094</w:t>
            </w:r>
          </w:p>
        </w:tc>
        <w:tc>
          <w:tcPr>
            <w:tcW w:w="20" w:type="dxa"/>
            <w:vAlign w:val="bottom"/>
          </w:tcPr>
          <w:p>
            <w:pPr>
              <w:spacing w:after="0"/>
              <w:rPr>
                <w:sz w:val="21"/>
                <w:szCs w:val="21"/>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4"/>
              <w:spacing w:after="0"/>
              <w:rPr>
                <w:sz w:val="20"/>
                <w:szCs w:val="20"/>
                <w:color w:val="auto"/>
              </w:rPr>
            </w:pPr>
            <w:r>
              <w:rPr>
                <w:rFonts w:ascii="Arial" w:cs="Arial" w:eastAsia="Arial" w:hAnsi="Arial"/>
                <w:sz w:val="18"/>
                <w:szCs w:val="18"/>
                <w:color w:val="auto"/>
              </w:rPr>
              <w:t>672,147</w:t>
            </w:r>
          </w:p>
        </w:tc>
      </w:tr>
      <w:tr>
        <w:trPr>
          <w:trHeight w:val="27"/>
        </w:trPr>
        <w:tc>
          <w:tcPr>
            <w:tcW w:w="4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iStar's ownership percentage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iStar's equity in LNR(4)</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180,671</w:t>
            </w:r>
          </w:p>
        </w:tc>
        <w:tc>
          <w:tcPr>
            <w:tcW w:w="20" w:type="dxa"/>
            <w:vAlign w:val="bottom"/>
          </w:tcPr>
          <w:p>
            <w:pPr>
              <w:spacing w:after="0"/>
              <w:rPr>
                <w:sz w:val="21"/>
                <w:szCs w:val="21"/>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4"/>
              <w:spacing w:after="0"/>
              <w:rPr>
                <w:sz w:val="20"/>
                <w:szCs w:val="20"/>
                <w:color w:val="auto"/>
              </w:rPr>
            </w:pPr>
            <w:r>
              <w:rPr>
                <w:rFonts w:ascii="Arial" w:cs="Arial" w:eastAsia="Arial" w:hAnsi="Arial"/>
                <w:sz w:val="18"/>
                <w:szCs w:val="18"/>
                <w:color w:val="auto"/>
              </w:rPr>
              <w:t>159,764</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line="250"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 records its investment in LNR on a one quarter lag, therefore, amounts in the Company's financial statements for the three and nine months ended September 30, 2012 and 2011 are based on balances and results from LNR for the three and nine months ended June 30, 2012 and 2011, respectively.</w:t>
      </w:r>
    </w:p>
    <w:p>
      <w:pPr>
        <w:jc w:val="both"/>
        <w:ind w:left="660" w:hanging="652"/>
        <w:spacing w:after="0" w:line="241"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LNR consolidates certain commercial mortgage-backed securities and collateralized debt obligation trusts that are considered VIEs (and for which it is the primary beneficiary), that have been excluded from the amounts presented above. As of June 30, 2012 and September 30, 2011, the assets of these trusts, which aggregated approximately $82.79 billion and $126.66 billion, respectively, were the sole source of repayment of the related liabilities, which aggregated approximately $82.52 billion and $126.64 billion, respectively, and are non-recourse to LNR and its equity holders, including the Company. In addition, total revenue presented above includes $27.5 million and $88.3 million for the three and nine months ended June 30, 2012, respectively, and $31.4 million and $72.6 million for the three and nine months ended June 30, 2011, respectively, of servicing fee revenue that is eliminated upon consolidation of the VIE's at the LNR level. This income is then added back through consolidation at the LNR level as an adjustment to income allocable to noncontrolling entities and has no net impact on net income attributable to LNR.</w:t>
      </w:r>
    </w:p>
    <w:p>
      <w:pPr>
        <w:spacing w:after="0" w:line="2"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During the nine months ended June 30, 2011, LNR recorded an income tax benefit from the settlement of certain tax liabilities.</w:t>
      </w:r>
    </w:p>
    <w:p>
      <w:pPr>
        <w:spacing w:after="0" w:line="1" w:lineRule="exact"/>
        <w:rPr>
          <w:rFonts w:ascii="Arial" w:cs="Arial" w:eastAsia="Arial" w:hAnsi="Arial"/>
          <w:sz w:val="14"/>
          <w:szCs w:val="14"/>
          <w:color w:val="auto"/>
        </w:rPr>
      </w:pPr>
    </w:p>
    <w:p>
      <w:pPr>
        <w:ind w:left="660" w:right="20" w:hanging="652"/>
        <w:spacing w:after="0" w:line="255"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Company's equity in LNR at September 30, 2012 reflects a $10.2 million cash distribution made during the third quarter that is not yet reflected in LNR Property LLC's equity shown above as of June 30, 2012.</w:t>
      </w:r>
    </w:p>
    <w:p>
      <w:pPr>
        <w:spacing w:after="0" w:line="132"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Madison Funds</w:t>
      </w:r>
      <w:r>
        <w:rPr>
          <w:rFonts w:ascii="Arial" w:cs="Arial" w:eastAsia="Arial" w:hAnsi="Arial"/>
          <w:sz w:val="18"/>
          <w:szCs w:val="18"/>
          <w:color w:val="auto"/>
        </w:rPr>
        <w:t>—During the nine months ended September 30, 2012, the Madison Funds recorded a significant gain related to the sale of an</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for which the Company recorded its $13.7 million proportionate share.</w:t>
      </w:r>
    </w:p>
    <w:p>
      <w:pPr>
        <w:spacing w:after="0" w:line="162"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OREO/REHI Investments</w:t>
      </w:r>
      <w:r>
        <w:rPr>
          <w:rFonts w:ascii="Arial" w:cs="Arial" w:eastAsia="Arial" w:hAnsi="Arial"/>
          <w:sz w:val="18"/>
          <w:szCs w:val="18"/>
          <w:color w:val="auto"/>
        </w:rPr>
        <w:t>—During the three and nine months ended September 30, 2012, earnings from equity interests in OREO/REHI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$4.0 million and $22.2 million, respectively, related to income recognized on sales of residential property units.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8—Other Assets and Other Liabilities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expenses and other assets, net, consist of the following items ($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16"/>
                <w:szCs w:val="16"/>
                <w:color w:val="auto"/>
              </w:rPr>
            </w:pPr>
          </w:p>
        </w:tc>
      </w:tr>
      <w:tr>
        <w:trPr>
          <w:trHeight w:val="264"/>
        </w:trPr>
        <w:tc>
          <w:tcPr>
            <w:tcW w:w="78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September 30, 2012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December 31, 2011</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receivables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21,765</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23,943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Leasing costs, net(1)</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15,950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12,423</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fees, net(2)</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21,443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Net lease in-place lease intangibles, net(3)</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13,602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17,013</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5,441</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Corporate furniture, fixtures and equipment, net(4)</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9,034</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24,084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18,555</w:t>
            </w:r>
          </w:p>
        </w:tc>
      </w:tr>
      <w:tr>
        <w:trPr>
          <w:trHeight w:val="257"/>
        </w:trPr>
        <w:tc>
          <w:tcPr>
            <w:tcW w:w="7860" w:type="dxa"/>
            <w:vAlign w:val="bottom"/>
          </w:tcPr>
          <w:p>
            <w:pPr>
              <w:ind w:left="40"/>
              <w:spacing w:after="0"/>
              <w:rPr>
                <w:sz w:val="20"/>
                <w:szCs w:val="20"/>
                <w:color w:val="auto"/>
              </w:rPr>
            </w:pPr>
            <w:r>
              <w:rPr>
                <w:rFonts w:ascii="Arial" w:cs="Arial" w:eastAsia="Arial" w:hAnsi="Arial"/>
                <w:sz w:val="18"/>
                <w:szCs w:val="18"/>
                <w:color w:val="auto"/>
              </w:rPr>
              <w:t>Deferred expenses and other assets,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107,471</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107,852</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Accumulated amortization on leasing costs was $5.8 million and $5.5 million as of September 30, 2012 and December 31, 2011, respectively.</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Accumulated amortization on deferred financing fees was $22.1 million and $13.3 million as of September 30, 2012 and December 31, 2011, respectively.</w:t>
      </w:r>
    </w:p>
    <w:p>
      <w:pPr>
        <w:spacing w:after="0" w:line="55" w:lineRule="exact"/>
        <w:rPr>
          <w:rFonts w:ascii="Arial" w:cs="Arial" w:eastAsia="Arial" w:hAnsi="Arial"/>
          <w:sz w:val="14"/>
          <w:szCs w:val="14"/>
          <w:color w:val="auto"/>
        </w:rPr>
      </w:pPr>
    </w:p>
    <w:p>
      <w:pPr>
        <w:jc w:val="both"/>
        <w:ind w:left="660" w:hanging="652"/>
        <w:spacing w:after="0" w:line="257"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unamortized finite lived intangible assets related to the prior acquisition of net lease assets. Accumulated amortization on net lease intangibles was $34.7 million and $33.4 million as of September 30, 2012 and December 31, 2011, respectively. Amortization expense related to these assets was $0.8 million and $1.7 million for the three months ended September 30, 2012 and 2011, respectively, and $3.0 million and $5.1 million for the nine months ended September 30, 2012 and 2011, respectively.</w:t>
      </w:r>
    </w:p>
    <w:p>
      <w:pPr>
        <w:spacing w:after="0" w:line="23" w:lineRule="exact"/>
        <w:rPr>
          <w:rFonts w:ascii="Arial" w:cs="Arial" w:eastAsia="Arial" w:hAnsi="Arial"/>
          <w:sz w:val="14"/>
          <w:szCs w:val="14"/>
          <w:color w:val="auto"/>
        </w:rPr>
      </w:pPr>
    </w:p>
    <w:p>
      <w:pPr>
        <w:ind w:left="660" w:hanging="65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Accumulated depreciation on corporate furniture, fixtures and equipment was $8.0 million and $8.1 million as of September 30, 2012 and December 31, 2011, respectively.</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 accrued expenses and other liabilities consist of the following items ($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spacing w:after="0"/>
              <w:rPr>
                <w:sz w:val="22"/>
                <w:szCs w:val="22"/>
                <w:color w:val="auto"/>
              </w:rPr>
            </w:pPr>
          </w:p>
        </w:tc>
        <w:tc>
          <w:tcPr>
            <w:tcW w:w="30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September 30, 2012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December 31, 2011</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payable</w:t>
            </w:r>
          </w:p>
        </w:tc>
        <w:tc>
          <w:tcPr>
            <w:tcW w:w="3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46,252</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30,122</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3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33,430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36,332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taxes payable</w:t>
            </w:r>
          </w:p>
        </w:tc>
        <w:tc>
          <w:tcPr>
            <w:tcW w:w="3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6,495</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Security deposits and other investment deposits</w:t>
            </w:r>
          </w:p>
        </w:tc>
        <w:tc>
          <w:tcPr>
            <w:tcW w:w="3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12,192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operating lease income</w:t>
            </w:r>
          </w:p>
        </w:tc>
        <w:tc>
          <w:tcPr>
            <w:tcW w:w="3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10,073</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3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0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7,770</w:t>
            </w:r>
          </w:p>
        </w:tc>
        <w:tc>
          <w:tcPr>
            <w:tcW w:w="0" w:type="dxa"/>
            <w:vAlign w:val="bottom"/>
          </w:tcPr>
          <w:p>
            <w:pPr>
              <w:spacing w:after="0"/>
              <w:rPr>
                <w:sz w:val="1"/>
                <w:szCs w:val="1"/>
                <w:color w:val="auto"/>
              </w:rPr>
            </w:pPr>
          </w:p>
        </w:tc>
      </w:tr>
      <w:tr>
        <w:trPr>
          <w:trHeight w:val="257"/>
        </w:trPr>
        <w:tc>
          <w:tcPr>
            <w:tcW w:w="4860" w:type="dxa"/>
            <w:vAlign w:val="bottom"/>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30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136,658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105,357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000" w:type="dxa"/>
            <w:vAlign w:val="bottom"/>
            <w:vMerge w:val="restart"/>
          </w:tcPr>
          <w:p>
            <w:pPr>
              <w:jc w:val="right"/>
              <w:ind w:right="1970"/>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6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tax assets of the Company's TRS entities were as follows ($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20" w:type="dxa"/>
            <w:vAlign w:val="bottom"/>
            <w:tcBorders>
              <w:bottom w:val="single" w:sz="8" w:color="auto"/>
            </w:tcBorders>
          </w:tcPr>
          <w:p>
            <w:pPr>
              <w:spacing w:after="0"/>
              <w:rPr>
                <w:sz w:val="16"/>
                <w:szCs w:val="16"/>
                <w:color w:val="auto"/>
              </w:rPr>
            </w:pPr>
          </w:p>
        </w:tc>
      </w:tr>
      <w:tr>
        <w:trPr>
          <w:trHeight w:val="264"/>
        </w:trPr>
        <w:tc>
          <w:tcPr>
            <w:tcW w:w="7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2012</w:t>
            </w:r>
          </w:p>
        </w:tc>
        <w:tc>
          <w:tcPr>
            <w:tcW w:w="180" w:type="dxa"/>
            <w:vAlign w:val="bottom"/>
          </w:tcPr>
          <w:p>
            <w:pPr>
              <w:spacing w:after="0"/>
              <w:rPr>
                <w:sz w:val="22"/>
                <w:szCs w:val="22"/>
                <w:color w:val="auto"/>
              </w:rPr>
            </w:pPr>
          </w:p>
        </w:tc>
        <w:tc>
          <w:tcPr>
            <w:tcW w:w="152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December 31, 2011</w:t>
            </w: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60,164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50,889</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(60,164)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(50,889)</w:t>
            </w:r>
          </w:p>
        </w:tc>
      </w:tr>
      <w:tr>
        <w:trPr>
          <w:trHeight w:val="27"/>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57"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Deferred tax assets as of September 30, 2012 include real estate basis differences of $38.7 million, net operating loss carryforwards of $20.3 million and investment basis differences of $1.1 million. Deferred tax assets as of December 31, 2011 include real estate basis differences of $28.7 million, net operating loss carryforwards of $22.8 million, and investment basis differences of $(0.6) million.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2012 and December 31, 2011, the Company's debt obligations were as follows ($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Carrying Value as of</w:t>
            </w: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53"/>
        </w:trPr>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420"/>
              <w:spacing w:after="0" w:line="153" w:lineRule="exact"/>
              <w:rPr>
                <w:sz w:val="20"/>
                <w:szCs w:val="20"/>
                <w:color w:val="auto"/>
              </w:rPr>
            </w:pPr>
            <w:r>
              <w:rPr>
                <w:rFonts w:ascii="Arial" w:cs="Arial" w:eastAsia="Arial" w:hAnsi="Arial"/>
                <w:sz w:val="14"/>
                <w:szCs w:val="14"/>
                <w:b w:val="1"/>
                <w:bCs w:val="1"/>
                <w:color w:val="auto"/>
                <w:w w:val="98"/>
              </w:rPr>
              <w:t>September 30,</w:t>
            </w:r>
          </w:p>
        </w:tc>
        <w:tc>
          <w:tcPr>
            <w:tcW w:w="220" w:type="dxa"/>
            <w:vAlign w:val="bottom"/>
          </w:tcPr>
          <w:p>
            <w:pPr>
              <w:spacing w:after="0"/>
              <w:rPr>
                <w:sz w:val="13"/>
                <w:szCs w:val="13"/>
                <w:color w:val="auto"/>
              </w:rPr>
            </w:pPr>
          </w:p>
        </w:tc>
        <w:tc>
          <w:tcPr>
            <w:tcW w:w="126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3"/>
                <w:szCs w:val="13"/>
                <w:color w:val="auto"/>
              </w:rPr>
            </w:pPr>
          </w:p>
        </w:tc>
        <w:tc>
          <w:tcPr>
            <w:tcW w:w="1780" w:type="dxa"/>
            <w:vAlign w:val="bottom"/>
          </w:tcPr>
          <w:p>
            <w:pPr>
              <w:jc w:val="right"/>
              <w:ind w:right="594"/>
              <w:spacing w:after="0" w:line="153" w:lineRule="exact"/>
              <w:rPr>
                <w:sz w:val="20"/>
                <w:szCs w:val="20"/>
                <w:color w:val="auto"/>
              </w:rPr>
            </w:pPr>
            <w:r>
              <w:rPr>
                <w:rFonts w:ascii="Arial" w:cs="Arial" w:eastAsia="Arial" w:hAnsi="Arial"/>
                <w:sz w:val="14"/>
                <w:szCs w:val="14"/>
                <w:b w:val="1"/>
                <w:bCs w:val="1"/>
                <w:color w:val="auto"/>
              </w:rPr>
              <w:t>Stated</w:t>
            </w:r>
          </w:p>
        </w:tc>
        <w:tc>
          <w:tcPr>
            <w:tcW w:w="460" w:type="dxa"/>
            <w:vAlign w:val="bottom"/>
          </w:tcPr>
          <w:p>
            <w:pPr>
              <w:spacing w:after="0"/>
              <w:rPr>
                <w:sz w:val="13"/>
                <w:szCs w:val="13"/>
                <w:color w:val="auto"/>
              </w:rPr>
            </w:pP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Scheduled</w:t>
            </w:r>
          </w:p>
        </w:tc>
      </w:tr>
      <w:tr>
        <w:trPr>
          <w:trHeight w:val="192"/>
        </w:trPr>
        <w:tc>
          <w:tcPr>
            <w:tcW w:w="4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Interest Rates</w:t>
            </w:r>
          </w:p>
        </w:tc>
        <w:tc>
          <w:tcPr>
            <w:tcW w:w="46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 Date</w:t>
            </w: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Secured credit facilities and term loans: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2011 Tranche A-1 Facility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498,320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961,580</w:t>
            </w:r>
          </w:p>
        </w:tc>
        <w:tc>
          <w:tcPr>
            <w:tcW w:w="100" w:type="dxa"/>
            <w:vAlign w:val="bottom"/>
          </w:tcPr>
          <w:p>
            <w:pPr>
              <w:spacing w:after="0"/>
              <w:rPr>
                <w:sz w:val="21"/>
                <w:szCs w:val="21"/>
                <w:color w:val="auto"/>
              </w:rPr>
            </w:pPr>
          </w:p>
        </w:tc>
        <w:tc>
          <w:tcPr>
            <w:tcW w:w="1780" w:type="dxa"/>
            <w:vAlign w:val="bottom"/>
          </w:tcPr>
          <w:p>
            <w:pPr>
              <w:jc w:val="right"/>
              <w:ind w:right="94"/>
              <w:spacing w:after="0"/>
              <w:rPr>
                <w:sz w:val="20"/>
                <w:szCs w:val="20"/>
                <w:color w:val="auto"/>
              </w:rPr>
            </w:pPr>
            <w:r>
              <w:rPr>
                <w:rFonts w:ascii="Arial" w:cs="Arial" w:eastAsia="Arial" w:hAnsi="Arial"/>
                <w:sz w:val="18"/>
                <w:szCs w:val="18"/>
                <w:color w:val="auto"/>
              </w:rPr>
              <w:t>LIBOR + 3.75%</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w w:val="99"/>
              </w:rPr>
              <w:t>(1)</w:t>
            </w: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June 2013</w:t>
            </w: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2011 Tranche A-2 Facility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1,450,000</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LIBOR + 5.75%</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(1)</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June 2014</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2012 Tranche A-1 Facility</w:t>
            </w: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262,253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780" w:type="dxa"/>
            <w:vAlign w:val="bottom"/>
          </w:tcPr>
          <w:p>
            <w:pPr>
              <w:jc w:val="right"/>
              <w:ind w:right="94"/>
              <w:spacing w:after="0"/>
              <w:rPr>
                <w:sz w:val="20"/>
                <w:szCs w:val="20"/>
                <w:color w:val="auto"/>
              </w:rPr>
            </w:pPr>
            <w:r>
              <w:rPr>
                <w:rFonts w:ascii="Arial" w:cs="Arial" w:eastAsia="Arial" w:hAnsi="Arial"/>
                <w:sz w:val="18"/>
                <w:szCs w:val="18"/>
                <w:color w:val="auto"/>
              </w:rPr>
              <w:t>LIBOR + 4.00%</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w w:val="99"/>
              </w:rPr>
              <w:t>(2)</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2016</w:t>
            </w: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2012 Tranche A-2 Facility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LIBOR + 5.75%</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(2)</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2017</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Term loans collateralized by net lease assets</w:t>
            </w: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238,152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293,192</w:t>
            </w:r>
          </w:p>
        </w:tc>
        <w:tc>
          <w:tcPr>
            <w:tcW w:w="1880" w:type="dxa"/>
            <w:vAlign w:val="bottom"/>
            <w:gridSpan w:val="2"/>
          </w:tcPr>
          <w:p>
            <w:pPr>
              <w:jc w:val="right"/>
              <w:ind w:right="94"/>
              <w:spacing w:after="0"/>
              <w:rPr>
                <w:sz w:val="20"/>
                <w:szCs w:val="20"/>
                <w:color w:val="auto"/>
              </w:rPr>
            </w:pPr>
            <w:r>
              <w:rPr>
                <w:rFonts w:ascii="Arial" w:cs="Arial" w:eastAsia="Arial" w:hAnsi="Arial"/>
                <w:sz w:val="18"/>
                <w:szCs w:val="18"/>
                <w:color w:val="auto"/>
              </w:rPr>
              <w:t>4.851% - 7.68%</w:t>
            </w:r>
          </w:p>
        </w:tc>
        <w:tc>
          <w:tcPr>
            <w:tcW w:w="4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Various through 2026</w:t>
            </w:r>
          </w:p>
        </w:tc>
      </w:tr>
      <w:tr>
        <w:trPr>
          <w:trHeight w:val="27"/>
        </w:trPr>
        <w:tc>
          <w:tcPr>
            <w:tcW w:w="4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secured credit facilities and term loans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2,918,725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2,704,772</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Unsecured credit facility:</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Line of credit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243,650</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LIBOR + 0.85%</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June 2012</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Unsecured notes: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5.15% senior notes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263,466</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2012</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5.50% senior notes</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92,845</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4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June 2012</w:t>
            </w: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LIBOR + 0.50% senior convertible notes(3)</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460,660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784,750</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LIBOR + 0.50%</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October 2012</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8.625% senior notes</w:t>
            </w: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501,701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501,701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8.625%</w:t>
            </w:r>
          </w:p>
        </w:tc>
        <w:tc>
          <w:tcPr>
            <w:tcW w:w="4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June 2013</w:t>
            </w: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5.95% senior notes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448,453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448,453</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October 2013</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6.5% senior notes</w:t>
            </w: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67,055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67,055</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December 2013</w:t>
            </w: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5.70% senior notes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200,601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200,601</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2014</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6.05% senior notes</w:t>
            </w: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105,765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105,765</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4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8"/>
              </w:rPr>
              <w:t>April 2015</w:t>
            </w: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5.875% senior notes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261,403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261,403</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2016</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5.85% senior notes</w:t>
            </w: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99,722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99,722</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4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2017</w:t>
            </w: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9.0% senior notes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June 2017</w:t>
            </w: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color w:val="auto"/>
              </w:rPr>
              <w:t>Total unsecured notes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2,420,360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2,825,761</w:t>
            </w: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debt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Other debt obligations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1780" w:type="dxa"/>
            <w:vAlign w:val="bottom"/>
          </w:tcPr>
          <w:p>
            <w:pPr>
              <w:jc w:val="right"/>
              <w:ind w:right="94"/>
              <w:spacing w:after="0"/>
              <w:rPr>
                <w:sz w:val="20"/>
                <w:szCs w:val="20"/>
                <w:color w:val="auto"/>
              </w:rPr>
            </w:pPr>
            <w:r>
              <w:rPr>
                <w:rFonts w:ascii="Arial" w:cs="Arial" w:eastAsia="Arial" w:hAnsi="Arial"/>
                <w:sz w:val="18"/>
                <w:szCs w:val="18"/>
                <w:color w:val="auto"/>
              </w:rPr>
              <w:t>LIBOR + 1.5%</w:t>
            </w:r>
          </w:p>
        </w:tc>
        <w:tc>
          <w:tcPr>
            <w:tcW w:w="4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October 2035</w:t>
            </w:r>
          </w:p>
        </w:tc>
      </w:tr>
      <w:tr>
        <w:trPr>
          <w:trHeight w:val="27"/>
        </w:trPr>
        <w:tc>
          <w:tcPr>
            <w:tcW w:w="4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debt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5,439,085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5,874,183</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Debt discounts, net(3)</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(36,643)</w:t>
            </w: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debt obligations,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5,388,860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5,837,540</w:t>
            </w:r>
          </w:p>
        </w:tc>
        <w:tc>
          <w:tcPr>
            <w:tcW w:w="1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662"/>
        </w:trPr>
        <w:tc>
          <w:tcPr>
            <w:tcW w:w="4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line="250"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These loans each have a LIBOR floor of 1.25%. As of September 30, 2012, inclusive of the floors, the 2011 Tranche A-1 Facility and 2011 Tranche A-2 Facility loans incurred interest at a rate of 5.00% and 7.00%, respectively. See Note 17 - Subsequent Events.</w:t>
      </w:r>
    </w:p>
    <w:p>
      <w:pPr>
        <w:ind w:left="660" w:hanging="652"/>
        <w:spacing w:after="0" w:line="241"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These loans each have a LIBOR floor of 1.25%. As of September 30, 2012, inclusive of the floors, the 2012 Tranche A-1 Facility and 2012 Tranche A-2 Facility loans incurred interest at a rate of 5.25% and 7.00% respectively.</w:t>
      </w:r>
    </w:p>
    <w:p>
      <w:pPr>
        <w:jc w:val="both"/>
        <w:ind w:left="660" w:hanging="652"/>
        <w:spacing w:after="0" w:line="243"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Company's convertible senior floating rate notes due October 2012 ("Convertible Notes") are convertible at the option of the holders into 22.2 shares per $1,000 principal amount of Convertible Notes (reflecting a conversion price of $45.05), on or after August 15, 2012, or prior to that date if certain conditions are met. None of the conversion conditions have been met as of September 30, 2012. As of September 30, 2012, the unamortized discount on these notes was $0.6 million, the net carrying amount of the liability was $460.0 million and the carrying value of the additional paid-in-capital, or equity component of the convertible notes was $34.7 million. For the three and nine months ended September 30, 2012, the Company recognized interest expense on the convertible notes of $3.0 million and $11.2 million, respectively, of which $1.8 million and $6.7 million, respectively, related to the amortization of the debt discount. For the three and nine months ended September 30, 2011, the Company recognized interest expense on the convertible notes of $4.4 million and $13.3 million respectively, of which $2.9 million and $8.6 million, respectively, related to the amortization of the debt discount. Subsequent to quarter end, the Company repaid, upon maturity, the remaining outstanding principal balance. See Note 17 - Subsequent Events.</w:t>
      </w:r>
    </w:p>
    <w:p>
      <w:pPr>
        <w:spacing w:after="0" w:line="143" w:lineRule="exact"/>
        <w:rPr>
          <w:sz w:val="20"/>
          <w:szCs w:val="20"/>
          <w:color w:val="auto"/>
        </w:rPr>
      </w:pPr>
    </w:p>
    <w:p>
      <w:pPr>
        <w:ind w:right="20" w:firstLine="432"/>
        <w:spacing w:after="0" w:line="282" w:lineRule="auto"/>
        <w:rPr>
          <w:sz w:val="20"/>
          <w:szCs w:val="20"/>
          <w:color w:val="auto"/>
        </w:rPr>
      </w:pPr>
      <w:r>
        <w:rPr>
          <w:rFonts w:ascii="Arial" w:cs="Arial" w:eastAsia="Arial" w:hAnsi="Arial"/>
          <w:sz w:val="18"/>
          <w:szCs w:val="18"/>
          <w:b w:val="1"/>
          <w:bCs w:val="1"/>
          <w:color w:val="auto"/>
        </w:rPr>
        <w:t>Future Scheduled Maturities</w:t>
      </w:r>
      <w:r>
        <w:rPr>
          <w:rFonts w:ascii="Arial" w:cs="Arial" w:eastAsia="Arial" w:hAnsi="Arial"/>
          <w:sz w:val="18"/>
          <w:szCs w:val="18"/>
          <w:color w:val="auto"/>
        </w:rPr>
        <w:t>—As of September 30, 2012, future scheduled maturities of outstanding long-term debt obligations, net are as follows ($</w:t>
      </w:r>
      <w:r>
        <w:rPr>
          <w:rFonts w:ascii="Arial" w:cs="Arial" w:eastAsia="Arial" w:hAnsi="Arial"/>
          <w:sz w:val="18"/>
          <w:szCs w:val="18"/>
          <w:b w:val="1"/>
          <w:bCs w:val="1"/>
          <w:color w:val="auto"/>
        </w:rPr>
        <w:t xml:space="preserve"> </w:t>
      </w:r>
      <w:r>
        <w:rPr>
          <w:rFonts w:ascii="Arial" w:cs="Arial" w:eastAsia="Arial" w:hAnsi="Arial"/>
          <w:sz w:val="18"/>
          <w:szCs w:val="18"/>
          <w:color w:val="auto"/>
        </w:rPr>
        <w:t>in thousands)(1):</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Unsecured Debt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Secured Debt</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Total</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 (remaining three months)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460,660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460,660</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1,017,209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648,320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1,665,529</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200,601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1,357,253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1,557,854</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105,765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82,000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187,765</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261,403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384,403</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474,722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708,152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1,182,874</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principal maturities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2,520,360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2,918,725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5,439,085</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Unamortized debt discounts, net</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(20,707)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(29,518)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(50,225)</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 obligations,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2,499,653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2,889,207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5,388,860</w:t>
            </w: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minimum required amortization payments on the 2011 and 2012 Secured Credit Facilities. See Note 17 - Subsequent Events.</w:t>
      </w:r>
    </w:p>
    <w:p>
      <w:pPr>
        <w:spacing w:after="0" w:line="16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color w:val="auto"/>
        </w:rPr>
        <w:t>2012 Secured Credit Facilities</w:t>
      </w:r>
      <w:r>
        <w:rPr>
          <w:rFonts w:ascii="Arial" w:cs="Arial" w:eastAsia="Arial" w:hAnsi="Arial"/>
          <w:sz w:val="17"/>
          <w:szCs w:val="17"/>
          <w:color w:val="auto"/>
        </w:rPr>
        <w:t>—In March 2012, the Company entered into an $880.0 million senior secured credit agreement providing for two</w:t>
      </w:r>
      <w:r>
        <w:rPr>
          <w:rFonts w:ascii="Arial" w:cs="Arial" w:eastAsia="Arial" w:hAnsi="Arial"/>
          <w:sz w:val="17"/>
          <w:szCs w:val="17"/>
          <w:b w:val="1"/>
          <w:bCs w:val="1"/>
          <w:color w:val="auto"/>
        </w:rPr>
        <w:t xml:space="preserve"> </w:t>
      </w:r>
      <w:r>
        <w:rPr>
          <w:rFonts w:ascii="Arial" w:cs="Arial" w:eastAsia="Arial" w:hAnsi="Arial"/>
          <w:sz w:val="17"/>
          <w:szCs w:val="17"/>
          <w:color w:val="auto"/>
        </w:rPr>
        <w:t>tranches of term loans: a $410.0 million 2012 A-1 tranche due March 2016, which bears interest at a rate of LIBOR + 4.00% (the "2012 Tranche A-1 Facility"), and a $470.0 million 2012 A-2 tranche due March 2017, which bears interest at a rate of LIBOR + 5.75% (the "2012 Tranche A-2 Facility," together the "2012 Secured Credit Facilities"). The 2012 A-1 and A-2 tranches were issued at 98.0% of par and 98.5% of par, respectively, and both tranches include a LIBOR floor of 1.25%. Proceeds from the 2012 Secured Credit Facilities were used to repurchase $324.1 million aggregate principal amount of the Company's convertible notes due October 2012, to fully repay the $244.0 million balance on the Company's unsecured credit facility due June 2012, and to repay, upon maturity, $90.3 million outstanding principal balance of its 5.50% senior unsecured notes. As of September 30, 2012, remaining proceeds were included in restricted cash as they are reserved for the repayment of indebtedness.</w:t>
      </w:r>
    </w:p>
    <w:p>
      <w:pPr>
        <w:spacing w:after="0" w:line="17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2012 Secured Credit Facilities are collateralized by a first lien on a fixed pool of collateral consisting of loan, net lease, OREO and REHI assets. Proceeds from principal repayments and sales of collateral are applied to amortize the 2012 Secured Credit Facilities. Proceeds received for interest, rent, lease payments and fee income are retained by the Company. The 2012 Tranche A-1 Facility requires amortization payments of $41.0 million to be made every six months beginning December 31, 2012. After the 2012 Tranche A-1 Facility is repaid, proceeds from principal repayments and sales of collateral will be used to amortize the 2012 Tranche A-2 Facility. The Company may make optional prepayments on each tranche of term loans, subject to prepayment fees.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Through September 30, 2012, the Company has made cumulative amortization repayments of $147.7 million on the 2012 Tranche A-1 Facility, which exceeds all required amortization payments through December 31, 2013. Repayments of the 2012Tranche A-1 Facility prior to scheduled amortization dates have resulted in losses on early extinguishment of debt of $2.4 million and $5.3 million for the three and nine months ended September 30, 2012, respectively, related to the acceleration of discounts and unamortized deferred financing fees on the portion of the facility that was repaid.</w:t>
      </w:r>
    </w:p>
    <w:p>
      <w:pPr>
        <w:spacing w:after="0" w:line="15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2011 Secured Credit Facilities</w:t>
      </w:r>
      <w:r>
        <w:rPr>
          <w:rFonts w:ascii="Arial" w:cs="Arial" w:eastAsia="Arial" w:hAnsi="Arial"/>
          <w:sz w:val="18"/>
          <w:szCs w:val="18"/>
          <w:color w:val="auto"/>
        </w:rPr>
        <w:t>—In March 2011, the Company entered into a $2.95 billion senior secured credit agreement providing for two tranches</w:t>
      </w:r>
      <w:r>
        <w:rPr>
          <w:rFonts w:ascii="Arial" w:cs="Arial" w:eastAsia="Arial" w:hAnsi="Arial"/>
          <w:sz w:val="18"/>
          <w:szCs w:val="18"/>
          <w:b w:val="1"/>
          <w:bCs w:val="1"/>
          <w:color w:val="auto"/>
        </w:rPr>
        <w:t xml:space="preserve"> </w:t>
      </w:r>
      <w:r>
        <w:rPr>
          <w:rFonts w:ascii="Arial" w:cs="Arial" w:eastAsia="Arial" w:hAnsi="Arial"/>
          <w:sz w:val="18"/>
          <w:szCs w:val="18"/>
          <w:color w:val="auto"/>
        </w:rPr>
        <w:t>of term loans: a $1.50 billion 2011 A-1 tranche due June 2013, which bears interest at a rate of LIBOR + 3.75% (the "2011 Tranche A-1 Facility"), and a $1.45 billion 2011 A-2 tranche due June 2014, which bears interest at a rate of LIBOR + 5.75% (the "2011 Tranche A-2 Facility," together the "2011 Secured Credit Facilities"). The 2011 A-1 and A-2 tranches were issued at 99.0% of par and 98.5% of par, respectively, and both tranches include a LIBOR floor of 1.25%.</w:t>
      </w:r>
    </w:p>
    <w:p>
      <w:pPr>
        <w:spacing w:after="0" w:line="18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2011 Secured Credit Facilities are collateralized by a first lien on a fixed pool of collateral consisting of loan, net lease, OREO and REHI assets. Proceeds from principal repayments and sales of collateral are applied to amortize the 2011 Secured Credit Facilities. Proceeds received for interest, rent, lease payments, fee income and, under certain circumstances, additional amounts funded on assets serving as collateral are retained by the Company. The 2011 Tranche A-1 Facility requires that aggregate cumulative amortization payments of not less than $200.0 million shall be made on or before December 30, 2011, not less than $450.0 million on or before June 30, 2012, not less than $750.0 million on or before December 31, 2012 and not less than $1.50 billion on or before June 28, 2013. The 2011 Tranche A-2 Facility will begin amortizing six months after the repayment in full of the 2011 Tranche A-1 Facility, such that not less than $150.0 million of cumulative amortization payments shall be made on or before the six month anniversary of repayment of the Tranche A-1 Facility, with additional amortization payments of $150.0 million due on or before each six month anniversary thereafter, with any unpaid principal amounts due at maturity in June 2014.</w:t>
      </w:r>
    </w:p>
    <w:p>
      <w:pPr>
        <w:spacing w:after="0" w:line="18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Through September 30, 2012, the Company has made cumulative amortization repayments of $1.00 billion on the 2011 Tranche A-1 Facility, which exceeds all required amortization payments through December 31, 2012, leaving $498.3 million to be paid by maturity in June 2013. Repayments of the 2011 Tranche A-1 Facility prior to scheduled amortization dates have resulted in losses on early extinguishment of debt of $0.9 million and $4.1 million for the three and nine months ended September 30, 2012, respectively, related to the acceleration of discounts and unamortized deferred financing fees on the portion of the facility that was repaid. See Note 17 - Subsequent Events below for details on the refinancing of the 2011 Secured Credit Facilities in October 2012.</w:t>
      </w:r>
    </w:p>
    <w:p>
      <w:pPr>
        <w:spacing w:after="0" w:line="154" w:lineRule="exact"/>
        <w:rPr>
          <w:sz w:val="20"/>
          <w:szCs w:val="20"/>
          <w:color w:val="auto"/>
        </w:rPr>
      </w:pPr>
    </w:p>
    <w:p>
      <w:pPr>
        <w:jc w:val="both"/>
        <w:ind w:firstLine="432"/>
        <w:spacing w:after="0" w:line="303" w:lineRule="auto"/>
        <w:rPr>
          <w:sz w:val="20"/>
          <w:szCs w:val="20"/>
          <w:color w:val="auto"/>
        </w:rPr>
      </w:pPr>
      <w:r>
        <w:rPr>
          <w:rFonts w:ascii="Arial" w:cs="Arial" w:eastAsia="Arial" w:hAnsi="Arial"/>
          <w:sz w:val="16"/>
          <w:szCs w:val="16"/>
          <w:b w:val="1"/>
          <w:bCs w:val="1"/>
          <w:color w:val="auto"/>
        </w:rPr>
        <w:t>Secured Term Loans</w:t>
      </w:r>
      <w:r>
        <w:rPr>
          <w:rFonts w:ascii="Arial" w:cs="Arial" w:eastAsia="Arial" w:hAnsi="Arial"/>
          <w:sz w:val="16"/>
          <w:szCs w:val="16"/>
          <w:color w:val="auto"/>
        </w:rPr>
        <w:t>—In September 2012, the Company refinanced two secured term loans with an aggregate outstanding principal balance of $53.3</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bearing interest at rates of 5.3% and 8.2% and maturing in January 2013. The new $54.5 million secured term loan bears interest at 4.851%, matures in October 2022 and is collateralized by the same net lease asset as the original term loan. In connection with the refinancing, the Company recorded a loss on early extinguishment of debt of $0.5 million in its Consolidated Statements of Operations for both the three and nine months ended September 30, 2012.</w:t>
      </w:r>
    </w:p>
    <w:p>
      <w:pPr>
        <w:spacing w:after="0" w:line="15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during the nine months ended September 30, 2012, in conjunction with the sale of a portfolio of 12 net lease assets, the Company repaid the $50.8 million outstanding balances of its LIBOR + 4.50% secured term loans due in 2014 and terminated the related interest rate swaps associated with the loans (see Note 11).</w:t>
      </w:r>
    </w:p>
    <w:p>
      <w:pPr>
        <w:spacing w:after="0" w:line="177"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Unsecured Credit Facility</w:t>
      </w:r>
      <w:r>
        <w:rPr>
          <w:rFonts w:ascii="Arial" w:cs="Arial" w:eastAsia="Arial" w:hAnsi="Arial"/>
          <w:sz w:val="18"/>
          <w:szCs w:val="18"/>
          <w:color w:val="auto"/>
        </w:rPr>
        <w:t>—During the nine months ended September 30, 2012, the Company repaid the $243.7 million remaining principal balance</w:t>
      </w:r>
      <w:r>
        <w:rPr>
          <w:rFonts w:ascii="Arial" w:cs="Arial" w:eastAsia="Arial" w:hAnsi="Arial"/>
          <w:sz w:val="18"/>
          <w:szCs w:val="18"/>
          <w:b w:val="1"/>
          <w:bCs w:val="1"/>
          <w:color w:val="auto"/>
        </w:rPr>
        <w:t xml:space="preserve"> </w:t>
      </w:r>
      <w:r>
        <w:rPr>
          <w:rFonts w:ascii="Arial" w:cs="Arial" w:eastAsia="Arial" w:hAnsi="Arial"/>
          <w:sz w:val="18"/>
          <w:szCs w:val="18"/>
          <w:color w:val="auto"/>
        </w:rPr>
        <w:t>of its LIBOR + 0.85% unsecured credit facility due June 2012. In connection with the repayments, the Company recorded a loss on early extinguishment of debt of $0.2 million.</w:t>
      </w:r>
    </w:p>
    <w:p>
      <w:pPr>
        <w:spacing w:after="0" w:line="17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Secured Notes</w:t>
      </w:r>
      <w:r>
        <w:rPr>
          <w:rFonts w:ascii="Arial" w:cs="Arial" w:eastAsia="Arial" w:hAnsi="Arial"/>
          <w:sz w:val="18"/>
          <w:szCs w:val="18"/>
          <w:color w:val="auto"/>
        </w:rPr>
        <w:t>—In January 2011, the Company redeemed the $312.3 million remaining principal balance of its 10% 2014 secured exchange notes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recorded a gain on early extinguishment of debt of $109.0 million primarily related to the recognition of deferred gain premiums that resulted from a previous debt exchange.</w:t>
      </w:r>
    </w:p>
    <w:p>
      <w:pPr>
        <w:spacing w:after="0" w:line="17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Unsecured Notes</w:t>
      </w:r>
      <w:r>
        <w:rPr>
          <w:rFonts w:ascii="Arial" w:cs="Arial" w:eastAsia="Arial" w:hAnsi="Arial"/>
          <w:sz w:val="18"/>
          <w:szCs w:val="18"/>
          <w:color w:val="auto"/>
        </w:rPr>
        <w:t>—In May 2012, the Company issued $275.0 million aggregate principal of 9.0% senior unsecured notes due June 2017 that were sold</w:t>
      </w:r>
      <w:r>
        <w:rPr>
          <w:rFonts w:ascii="Arial" w:cs="Arial" w:eastAsia="Arial" w:hAnsi="Arial"/>
          <w:sz w:val="18"/>
          <w:szCs w:val="18"/>
          <w:b w:val="1"/>
          <w:bCs w:val="1"/>
          <w:color w:val="auto"/>
        </w:rPr>
        <w:t xml:space="preserve"> </w:t>
      </w:r>
      <w:r>
        <w:rPr>
          <w:rFonts w:ascii="Arial" w:cs="Arial" w:eastAsia="Arial" w:hAnsi="Arial"/>
          <w:sz w:val="18"/>
          <w:szCs w:val="18"/>
          <w:color w:val="auto"/>
        </w:rPr>
        <w:t>at 98.012% of their principal amount. Proceeds from this transaction are reserved for the repayment of indebtedness and included in "Restricted cash" on the Company's Consolidated Balance Sheet as of September 30, 2012.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nine months ended September 30, 2012, the Company repaid, upon maturity, the $169.7 million outstanding principal balance of its 5.15% senior unsecured notes and the $90.3 million outstanding principal balance of its 5.50% senior unsecured notes. In addition, the Company repurchased $420.4 million par value of senior unsecured notes with various maturities ranging from March 2012 to October 2012. In connection with these repurchases, the Company recorded aggregate losses on early extinguishment of debt of $0.1 million and gains of $3.2 million, for the three and nine months ended September 30, 2012, respectively.</w:t>
      </w:r>
    </w:p>
    <w:p>
      <w:pPr>
        <w:spacing w:after="0" w:line="184"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Unencumbered/Encumbered Assets</w:t>
      </w:r>
      <w:r>
        <w:rPr>
          <w:rFonts w:ascii="Arial" w:cs="Arial" w:eastAsia="Arial" w:hAnsi="Arial"/>
          <w:sz w:val="18"/>
          <w:szCs w:val="18"/>
          <w:color w:val="auto"/>
        </w:rPr>
        <w:t>—As of September 30, 2012, the carrying value of the Company's unencumbered and encumbered assets by asset</w:t>
      </w:r>
      <w:r>
        <w:rPr>
          <w:rFonts w:ascii="Arial" w:cs="Arial" w:eastAsia="Arial" w:hAnsi="Arial"/>
          <w:sz w:val="18"/>
          <w:szCs w:val="18"/>
          <w:b w:val="1"/>
          <w:bCs w:val="1"/>
          <w:color w:val="auto"/>
        </w:rPr>
        <w:t xml:space="preserve"> </w:t>
      </w:r>
      <w:r>
        <w:rPr>
          <w:rFonts w:ascii="Arial" w:cs="Arial" w:eastAsia="Arial" w:hAnsi="Arial"/>
          <w:sz w:val="18"/>
          <w:szCs w:val="18"/>
          <w:color w:val="auto"/>
        </w:rPr>
        <w:t>type are as follows ($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34"/>
              <w:spacing w:after="0"/>
              <w:rPr>
                <w:sz w:val="20"/>
                <w:szCs w:val="20"/>
                <w:color w:val="auto"/>
              </w:rPr>
            </w:pPr>
            <w:r>
              <w:rPr>
                <w:rFonts w:ascii="Arial" w:cs="Arial" w:eastAsia="Arial" w:hAnsi="Arial"/>
                <w:sz w:val="14"/>
                <w:szCs w:val="14"/>
                <w:b w:val="1"/>
                <w:bCs w:val="1"/>
                <w:color w:val="auto"/>
                <w:w w:val="91"/>
              </w:rPr>
              <w:t>As of September 30, 2012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54"/>
              <w:spacing w:after="0"/>
              <w:rPr>
                <w:sz w:val="20"/>
                <w:szCs w:val="20"/>
                <w:color w:val="auto"/>
              </w:rPr>
            </w:pPr>
            <w:r>
              <w:rPr>
                <w:rFonts w:ascii="Arial" w:cs="Arial" w:eastAsia="Arial" w:hAnsi="Arial"/>
                <w:sz w:val="14"/>
                <w:szCs w:val="14"/>
                <w:b w:val="1"/>
                <w:bCs w:val="1"/>
                <w:color w:val="auto"/>
                <w:w w:val="90"/>
              </w:rPr>
              <w:t>As of December 31, 2011</w:t>
            </w:r>
          </w:p>
        </w:tc>
      </w:tr>
      <w:tr>
        <w:trPr>
          <w:trHeight w:val="152"/>
        </w:trPr>
        <w:tc>
          <w:tcPr>
            <w:tcW w:w="5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Encumbered</w:t>
            </w: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Unencumbered</w:t>
            </w: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Encumbered</w:t>
            </w:r>
          </w:p>
        </w:tc>
        <w:tc>
          <w:tcPr>
            <w:tcW w:w="180" w:type="dxa"/>
            <w:vAlign w:val="bottom"/>
          </w:tcPr>
          <w:p>
            <w:pPr>
              <w:spacing w:after="0"/>
              <w:rPr>
                <w:sz w:val="13"/>
                <w:szCs w:val="13"/>
                <w:color w:val="auto"/>
              </w:rPr>
            </w:pPr>
          </w:p>
        </w:tc>
        <w:tc>
          <w:tcPr>
            <w:tcW w:w="122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w w:val="94"/>
              </w:rPr>
              <w:t>Unencumbered</w:t>
            </w:r>
          </w:p>
        </w:tc>
      </w:tr>
      <w:tr>
        <w:trPr>
          <w:trHeight w:val="192"/>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6"/>
                <w:szCs w:val="16"/>
                <w:color w:val="auto"/>
              </w:rPr>
            </w:pPr>
          </w:p>
        </w:tc>
        <w:tc>
          <w:tcPr>
            <w:tcW w:w="1220" w:type="dxa"/>
            <w:vAlign w:val="bottom"/>
          </w:tcPr>
          <w:p>
            <w:pPr>
              <w:jc w:val="right"/>
              <w:ind w:right="434"/>
              <w:spacing w:after="0"/>
              <w:rPr>
                <w:sz w:val="20"/>
                <w:szCs w:val="20"/>
                <w:color w:val="auto"/>
              </w:rPr>
            </w:pPr>
            <w:r>
              <w:rPr>
                <w:rFonts w:ascii="Arial" w:cs="Arial" w:eastAsia="Arial" w:hAnsi="Arial"/>
                <w:sz w:val="14"/>
                <w:szCs w:val="14"/>
                <w:b w:val="1"/>
                <w:bCs w:val="1"/>
                <w:color w:val="auto"/>
              </w:rPr>
              <w:t>Assets</w:t>
            </w: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and other lending investments, net(1)</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1,594,426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561,897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1,780,591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1,153,671</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Net lease assets, net</w:t>
            </w:r>
          </w:p>
        </w:tc>
        <w:tc>
          <w:tcPr>
            <w:tcW w:w="1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1,265,341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275,123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1,173,982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528,782</w:t>
            </w:r>
          </w:p>
        </w:tc>
      </w:tr>
      <w:tr>
        <w:trPr>
          <w:trHeight w:val="27"/>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REHI, net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331,357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843,598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359,597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868,537</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OREO</w:t>
            </w:r>
          </w:p>
        </w:tc>
        <w:tc>
          <w:tcPr>
            <w:tcW w:w="1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392,621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314,094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177,092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500,366</w:t>
            </w:r>
          </w:p>
        </w:tc>
      </w:tr>
      <w:tr>
        <w:trPr>
          <w:trHeight w:val="27"/>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59,816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359,832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37,957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419,878</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Cash and other assets</w:t>
            </w:r>
          </w:p>
        </w:tc>
        <w:tc>
          <w:tcPr>
            <w:tcW w:w="1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979,914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590,884</w:t>
            </w:r>
          </w:p>
        </w:tc>
      </w:tr>
      <w:tr>
        <w:trPr>
          <w:trHeight w:val="27"/>
        </w:trPr>
        <w:tc>
          <w:tcPr>
            <w:tcW w:w="5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3,643,561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3,334,458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3,529,219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4,062,118</w:t>
            </w: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 of September 30, 2012 and December 31, 2011, the amounts presented exclude general reserves for loan losses of $37.6 million and $73.5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2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Company's outstanding unsecured debt securities contain corporate level covenants that include a covenant to maintain a ratio of unencumbered assets to unsecured indebtedness of at least 1.2x and a restriction on debt incurrence based upon the effect of the debt incurrence on the Company's fixed charge coverage ratio. If any of the Company's covenants are breached and not cured within applicable cure periods, the breach could result in acceleration of its debt securities unless a waiver or modification is agreed upon with the requisite percentage of the bondholders. While the Company expects that its ability to incur new indebtedness under the fixed charge coverage ratio will be limited for the foreseeable future, it will continue to be permitted to incur indebtedness for the purpose of refinancing existing indebtedness and for other permitted purposes under the indentures.</w:t>
      </w:r>
    </w:p>
    <w:p>
      <w:pPr>
        <w:spacing w:after="0" w:line="16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Company's 2012 Secured Credit Facilities and 2011 Secured Credit Facilities both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Company is required to maintain collateral coverage of 1.25x outstanding borrowings. In addition, for so long as the Company maintains its qualification as a REIT, the 2012 Secured Credit Facilities and 2011 Secured Credit Facilities permit the Company to distribute 100% of its REIT taxable income on an annual basis. The Company may not pay common dividends if it ceases to qualify as a REIT.</w:t>
      </w:r>
    </w:p>
    <w:p>
      <w:pPr>
        <w:spacing w:after="0" w:line="15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2012 Secured Credit Facilities and 2011 Secured Credit Facilities contain cross default provisions that would allow the lenders to declare an event of default and accelerate the Company's indebtedness to them if the Company fails to pay amounts due in respect of its other recourse indebtedness in excess of specified thresholds or if the lenders under such other indebtedness are otherwise permitted to accelerate such indebtedness for any reason. The indentures governing the Company's unsecured public debt securities permit the bondholders to declare an event of default and accelerate the Company's indebtedness to them if the Company's other recourse indebtedness in excess of specified thresholds is not paid at final maturity or if such indebtedness is accelerated.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5"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Business Risks and Uncertainties</w:t>
      </w:r>
      <w:r>
        <w:rPr>
          <w:rFonts w:ascii="Arial" w:cs="Arial" w:eastAsia="Arial" w:hAnsi="Arial"/>
          <w:sz w:val="18"/>
          <w:szCs w:val="18"/>
          <w:color w:val="auto"/>
        </w:rPr>
        <w:t>—The Company's business continues to be adversely impacted by the recent economic recession and illiquidity and</w:t>
      </w:r>
      <w:r>
        <w:rPr>
          <w:rFonts w:ascii="Arial" w:cs="Arial" w:eastAsia="Arial" w:hAnsi="Arial"/>
          <w:sz w:val="18"/>
          <w:szCs w:val="18"/>
          <w:b w:val="1"/>
          <w:bCs w:val="1"/>
          <w:color w:val="auto"/>
        </w:rPr>
        <w:t xml:space="preserve"> </w:t>
      </w:r>
      <w:r>
        <w:rPr>
          <w:rFonts w:ascii="Arial" w:cs="Arial" w:eastAsia="Arial" w:hAnsi="Arial"/>
          <w:sz w:val="18"/>
          <w:szCs w:val="18"/>
          <w:color w:val="auto"/>
        </w:rPr>
        <w:t>volatility in the credit and commercial real estate markets. These economic conditions resulted in increased non-performing loans and real estate owned as well as higher financing costs and limited access to the unsecured debt markets. Since the beginning of the crisis, the Company has significantly curtailed asset originations and has focused primarily on repositioning and redeveloping its assets, generating liquidity, retiring debt and decreasing leverage with the objective of preserving shareholder value.</w:t>
      </w:r>
    </w:p>
    <w:p>
      <w:pPr>
        <w:spacing w:after="0" w:line="1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saw signs of an economic recovery during the past two years, including some improvements in the commercial real estate market and capital markets. These improving conditions enabled the Company to access the unsecured debt markets and to refinance its credit facilities in 2011 and 2012. While the Company has benefited from improving conditions, volatility within the capital markets and commercial real estate market continues to have an adverse effect on the Company's operations, as primarily evidenced by still elevated levels of non-performing assets and higher costs of capital. Further, continued improvement in the Company's financial condition and its ability to generate sufficient liquidity are dependent in part on a sustained economic recovery, which cannot be predicted with certainty.</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September 30, 2012, the Company's debt maturities and minimum amortization requirements due before December 31, 2013 included $460.7 million of unsecured convertible notes due in October 2012, $1.02 billion of unsecured notes due in 2013, and $648.3 million of secured debt due in 2013. The Company had $739.3 million of cash and restricted cash reserved for the repayment of debt as of September 30, 2012. Subsequent to quarter end, the Company repaid its $460.7 million of senior unsecured convertible notes primarily with cash reserved for the repayment of indebtedness. In addition, subsequent to quarter end, the Company refinanced its 2011 Secured Credit Facilities with a new $1.82 billion senior secured credit facility. After giving effect to the convertible debt repayment and the refinancing of the 2011 Secured Credit Facilities, remaining debt maturities and minimum amortization requirements due before December 31, 2013 total $1.04 billion. See Note 17 - Subsequent Events for further details.</w:t>
      </w:r>
    </w:p>
    <w:p>
      <w:pPr>
        <w:spacing w:after="0" w:line="1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capital sources to meet its remaining debt maturities through 2013 will primarily include cash on hand as well as debt refinancings, proceeds from unencumbered asset sales and loan repayments from borrowers, and may include equity capital raising transactions. As of September 30, 2012, the Company had unencumbered assets with a carrying value of approximately $3.33 billion.</w:t>
      </w:r>
    </w:p>
    <w:p>
      <w:pPr>
        <w:spacing w:after="0" w:line="14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Based on the dynamic nature of the Company's assets and its liquidity plan and the time frame in which the Company needs to generate liquidity, the specific assets, nature of the transactions, timing and amount of asset sales and refinancing transactions could vary and are subject to factors outside its control and cannot be predicted with certainty. The Company may adjust its plans in response to changes in its expectations and changes in market conditions. In addition, although there have been early signs of improvement in the commercial real estate and credit markets during the past two years, such markets remain volatile and it is not possible for the Company to predict whether these trends will continue in the future or to quantify the impact of these or other trends on its financial results. If the Company fails to repay its obligations as they become due, it would be an event of default under the relevant debt instruments, which could result in a cross-default and acceleration of the Company's other outstanding debt obligations, all of which would have a material adverse effect on the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—As of September 30, 2012, the maximum amount of fundings the Company may be required to make under each category,</w:t>
      </w:r>
      <w:r>
        <w:rPr>
          <w:rFonts w:ascii="Arial" w:cs="Arial" w:eastAsia="Arial" w:hAnsi="Arial"/>
          <w:sz w:val="18"/>
          <w:szCs w:val="18"/>
          <w:b w:val="1"/>
          <w:bCs w:val="1"/>
          <w:color w:val="auto"/>
        </w:rPr>
        <w:t xml:space="preserve"> </w:t>
      </w:r>
      <w:r>
        <w:rPr>
          <w:rFonts w:ascii="Arial" w:cs="Arial" w:eastAsia="Arial" w:hAnsi="Arial"/>
          <w:sz w:val="18"/>
          <w:szCs w:val="18"/>
          <w:color w:val="auto"/>
        </w:rPr>
        <w:t>assuming all performance hurdles and milestones are met under the Performance-Based Commitments, that it approves all Discretionary Fundings and that 100% of its capital committed to Strategic Investments is drawn down, are as follows ($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Loans</w:t>
            </w:r>
          </w:p>
        </w:tc>
        <w:tc>
          <w:tcPr>
            <w:tcW w:w="1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Net Lease</w:t>
            </w:r>
          </w:p>
        </w:tc>
        <w:tc>
          <w:tcPr>
            <w:tcW w:w="24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Strategic</w:t>
            </w:r>
          </w:p>
        </w:tc>
        <w:tc>
          <w:tcPr>
            <w:tcW w:w="340" w:type="dxa"/>
            <w:vAlign w:val="bottom"/>
          </w:tcPr>
          <w:p>
            <w:pPr>
              <w:spacing w:after="0"/>
              <w:rPr>
                <w:sz w:val="14"/>
                <w:szCs w:val="14"/>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36,027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47,570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83,597</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Discretionary Fundings</w:t>
            </w:r>
          </w:p>
        </w:tc>
        <w:tc>
          <w:tcPr>
            <w:tcW w:w="34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39,461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39,461</w:t>
            </w:r>
          </w:p>
        </w:tc>
        <w:tc>
          <w:tcPr>
            <w:tcW w:w="0" w:type="dxa"/>
            <w:vAlign w:val="bottom"/>
          </w:tcPr>
          <w:p>
            <w:pPr>
              <w:spacing w:after="0"/>
              <w:rPr>
                <w:sz w:val="1"/>
                <w:szCs w:val="1"/>
                <w:color w:val="auto"/>
              </w:rPr>
            </w:pPr>
          </w:p>
        </w:tc>
      </w:tr>
      <w:tr>
        <w:trPr>
          <w:trHeight w:val="257"/>
        </w:trPr>
        <w:tc>
          <w:tcPr>
            <w:tcW w:w="5140" w:type="dxa"/>
            <w:vAlign w:val="bottom"/>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36,194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47,570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39,461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123,225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Legal Proceedings</w:t>
      </w:r>
      <w:r>
        <w:rPr>
          <w:rFonts w:ascii="Arial" w:cs="Arial" w:eastAsia="Arial" w:hAnsi="Arial"/>
          <w:sz w:val="18"/>
          <w:szCs w:val="18"/>
          <w:color w:val="auto"/>
        </w:rPr>
        <w:t>—The Company and/or one or more of its subsidiaries is party to various pending litigation matters that are considered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routine litigation incidental to the Company's business as a finance and investment company focused on the commercial real estate industry, including loan foreclosure and foreclosure-related proceedings.</w:t>
      </w:r>
    </w:p>
    <w:p>
      <w:pPr>
        <w:spacing w:after="0" w:line="18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On June 4, 2012, the Company reached an agreement in principle with the plaintiffs' Court-appointed representatives in the previously reported Citiline class action to settle the litigation. Settlement payments will be primarily funded by the Company's insurance carriers, with the Company contributing $2.0 million to the settlement, which is included in "Other expense" on the Consolidated Statements of Operations for the nine months ended September 30, 2012. See "Part II. Item 1. Legal Proceedings" for further details and for other disclosures related to legal proceedings.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evaluates, on a quarterly basis, developments in legal proceedings that could require a liability to be accrued and/or disclosed. Based on its current knowledge, and after consultation with legal counsel, the Company believes it is not a party to, nor are any of its properties the subject of, any pending legal proceeding that would have a material adverse effect on the Company's consolidated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11—Derivatives</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use of derivative financial instruments is primarily limited to the utilization of interest rate hedges and foreign exchange hedges. The principal objective of such hedges is to minimize the risks and/or costs associated with the Company's operating and financial structure and to manage its exposure to foreign exchange rates. Derivatives not designated as hedges are not speculative and are used to manage the Company's exposure to interest rate movements, foreign exchange rate movements, and other identified risks, but may not meet the strict hedge accounting requirements.</w:t>
      </w:r>
    </w:p>
    <w:p>
      <w:pPr>
        <w:spacing w:after="0" w:line="15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Consolidated Balance Sheets as of September 30, 2012 and December 31, 2011 ($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Derivative Assets as of</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Derivative Liabilities as of</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242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September 30, 2012</w:t>
            </w:r>
          </w:p>
        </w:tc>
        <w:tc>
          <w:tcPr>
            <w:tcW w:w="120" w:type="dxa"/>
            <w:vAlign w:val="bottom"/>
          </w:tcPr>
          <w:p>
            <w:pPr>
              <w:spacing w:after="0"/>
              <w:rPr>
                <w:sz w:val="22"/>
                <w:szCs w:val="22"/>
                <w:color w:val="auto"/>
              </w:rPr>
            </w:pPr>
          </w:p>
        </w:tc>
        <w:tc>
          <w:tcPr>
            <w:tcW w:w="24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December 31, 2011</w:t>
            </w:r>
          </w:p>
        </w:tc>
        <w:tc>
          <w:tcPr>
            <w:tcW w:w="100" w:type="dxa"/>
            <w:vAlign w:val="bottom"/>
          </w:tcPr>
          <w:p>
            <w:pPr>
              <w:spacing w:after="0"/>
              <w:rPr>
                <w:sz w:val="22"/>
                <w:szCs w:val="22"/>
                <w:color w:val="auto"/>
              </w:rPr>
            </w:pPr>
          </w:p>
        </w:tc>
        <w:tc>
          <w:tcPr>
            <w:tcW w:w="234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September 30, 2012</w:t>
            </w:r>
          </w:p>
        </w:tc>
        <w:tc>
          <w:tcPr>
            <w:tcW w:w="120" w:type="dxa"/>
            <w:vAlign w:val="bottom"/>
          </w:tcPr>
          <w:p>
            <w:pPr>
              <w:spacing w:after="0"/>
              <w:rPr>
                <w:sz w:val="22"/>
                <w:szCs w:val="22"/>
                <w:color w:val="auto"/>
              </w:rPr>
            </w:pPr>
          </w:p>
        </w:tc>
        <w:tc>
          <w:tcPr>
            <w:tcW w:w="234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w:t>
            </w:r>
          </w:p>
        </w:tc>
        <w:tc>
          <w:tcPr>
            <w:tcW w:w="14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3"/>
                <w:szCs w:val="13"/>
                <w:color w:val="auto"/>
              </w:rPr>
            </w:pPr>
          </w:p>
        </w:tc>
        <w:tc>
          <w:tcPr>
            <w:tcW w:w="74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4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3"/>
                <w:szCs w:val="13"/>
                <w:color w:val="auto"/>
              </w:rPr>
            </w:pPr>
          </w:p>
        </w:tc>
        <w:tc>
          <w:tcPr>
            <w:tcW w:w="740" w:type="dxa"/>
            <w:vAlign w:val="bottom"/>
          </w:tcPr>
          <w:p>
            <w:pPr>
              <w:jc w:val="center"/>
              <w:ind w:right="128"/>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4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3"/>
                <w:szCs w:val="13"/>
                <w:color w:val="auto"/>
              </w:rPr>
            </w:pPr>
          </w:p>
        </w:tc>
        <w:tc>
          <w:tcPr>
            <w:tcW w:w="760" w:type="dxa"/>
            <w:vAlign w:val="bottom"/>
          </w:tcPr>
          <w:p>
            <w:pPr>
              <w:jc w:val="right"/>
              <w:ind w:right="228"/>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4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13"/>
                <w:szCs w:val="13"/>
                <w:color w:val="auto"/>
              </w:rPr>
            </w:pPr>
          </w:p>
        </w:tc>
        <w:tc>
          <w:tcPr>
            <w:tcW w:w="700" w:type="dxa"/>
            <w:vAlign w:val="bottom"/>
          </w:tcPr>
          <w:p>
            <w:pPr>
              <w:jc w:val="right"/>
              <w:ind w:right="228"/>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1500" w:type="dxa"/>
            <w:vAlign w:val="bottom"/>
            <w:vMerge w:val="continue"/>
          </w:tcPr>
          <w:p>
            <w:pPr>
              <w:spacing w:after="0"/>
              <w:rPr>
                <w:sz w:val="16"/>
                <w:szCs w:val="16"/>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Location</w:t>
            </w:r>
          </w:p>
        </w:tc>
        <w:tc>
          <w:tcPr>
            <w:tcW w:w="200" w:type="dxa"/>
            <w:vAlign w:val="bottom"/>
          </w:tcPr>
          <w:p>
            <w:pPr>
              <w:spacing w:after="0"/>
              <w:rPr>
                <w:sz w:val="16"/>
                <w:szCs w:val="16"/>
                <w:color w:val="auto"/>
              </w:rPr>
            </w:pPr>
          </w:p>
        </w:tc>
        <w:tc>
          <w:tcPr>
            <w:tcW w:w="740" w:type="dxa"/>
            <w:vAlign w:val="bottom"/>
          </w:tcPr>
          <w:p>
            <w:pPr>
              <w:ind w:left="10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Location</w:t>
            </w:r>
          </w:p>
        </w:tc>
        <w:tc>
          <w:tcPr>
            <w:tcW w:w="200" w:type="dxa"/>
            <w:vAlign w:val="bottom"/>
          </w:tcPr>
          <w:p>
            <w:pPr>
              <w:spacing w:after="0"/>
              <w:rPr>
                <w:sz w:val="16"/>
                <w:szCs w:val="16"/>
                <w:color w:val="auto"/>
              </w:rPr>
            </w:pPr>
          </w:p>
        </w:tc>
        <w:tc>
          <w:tcPr>
            <w:tcW w:w="740" w:type="dxa"/>
            <w:vAlign w:val="bottom"/>
          </w:tcPr>
          <w:p>
            <w:pPr>
              <w:jc w:val="center"/>
              <w:ind w:right="12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12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6"/>
                <w:szCs w:val="16"/>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3"/>
        </w:trPr>
        <w:tc>
          <w:tcPr>
            <w:tcW w:w="150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Foreign exchange</w:t>
            </w:r>
          </w:p>
        </w:tc>
        <w:tc>
          <w:tcPr>
            <w:tcW w:w="13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contracts</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7,392</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1,342</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Cash flow interest rate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swap</w:t>
            </w:r>
          </w:p>
        </w:tc>
        <w:tc>
          <w:tcPr>
            <w:tcW w:w="14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N/A</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N/A</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243"/>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7,392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ind w:left="80" w:firstLine="405"/>
        <w:spacing w:after="0" w:line="277" w:lineRule="auto"/>
        <w:rPr>
          <w:sz w:val="20"/>
          <w:szCs w:val="20"/>
          <w:color w:val="auto"/>
        </w:rPr>
      </w:pPr>
      <w:r>
        <w:rPr>
          <w:rFonts w:ascii="Arial" w:cs="Arial" w:eastAsia="Arial" w:hAnsi="Arial"/>
          <w:sz w:val="18"/>
          <w:szCs w:val="18"/>
          <w:color w:val="auto"/>
        </w:rPr>
        <w:t>The tables below present the effect of the Company's derivative financial instruments on the Consolidated Statements of Operations for the three and nine months ended September 30, 2012 and 2011 ($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Location of Gain (Loss)</w:t>
            </w:r>
          </w:p>
        </w:tc>
        <w:tc>
          <w:tcPr>
            <w:tcW w:w="140" w:type="dxa"/>
            <w:vAlign w:val="bottom"/>
          </w:tcPr>
          <w:p>
            <w:pPr>
              <w:spacing w:after="0"/>
              <w:rPr>
                <w:sz w:val="14"/>
                <w:szCs w:val="14"/>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 of Gain (Loss)</w:t>
            </w:r>
          </w:p>
        </w:tc>
        <w:tc>
          <w:tcPr>
            <w:tcW w:w="100" w:type="dxa"/>
            <w:vAlign w:val="bottom"/>
          </w:tcPr>
          <w:p>
            <w:pPr>
              <w:spacing w:after="0"/>
              <w:rPr>
                <w:sz w:val="14"/>
                <w:szCs w:val="14"/>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 of Gain (Loss)</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2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Designated in Hedging</w:t>
            </w:r>
          </w:p>
        </w:tc>
        <w:tc>
          <w:tcPr>
            <w:tcW w:w="2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Recognized in Accumulated</w:t>
            </w:r>
          </w:p>
        </w:tc>
        <w:tc>
          <w:tcPr>
            <w:tcW w:w="100" w:type="dxa"/>
            <w:vAlign w:val="bottom"/>
          </w:tcPr>
          <w:p>
            <w:pPr>
              <w:spacing w:after="0"/>
              <w:rPr>
                <w:sz w:val="12"/>
                <w:szCs w:val="12"/>
                <w:color w:val="auto"/>
              </w:rPr>
            </w:pPr>
          </w:p>
        </w:tc>
        <w:tc>
          <w:tcPr>
            <w:tcW w:w="2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Reclassified from Accumulated</w:t>
            </w: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vMerge w:val="continue"/>
          </w:tcPr>
          <w:p>
            <w:pPr>
              <w:spacing w:after="0"/>
              <w:rPr>
                <w:sz w:val="12"/>
                <w:szCs w:val="12"/>
                <w:color w:val="auto"/>
              </w:rPr>
            </w:pPr>
          </w:p>
        </w:tc>
        <w:tc>
          <w:tcPr>
            <w:tcW w:w="2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 w:type="dxa"/>
            <w:vAlign w:val="bottom"/>
          </w:tcPr>
          <w:p>
            <w:pPr>
              <w:spacing w:after="0"/>
              <w:rPr>
                <w:sz w:val="12"/>
                <w:szCs w:val="12"/>
                <w:color w:val="auto"/>
              </w:rPr>
            </w:pPr>
          </w:p>
        </w:tc>
        <w:tc>
          <w:tcPr>
            <w:tcW w:w="2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Other Comprehensive Income</w:t>
            </w:r>
          </w:p>
        </w:tc>
        <w:tc>
          <w:tcPr>
            <w:tcW w:w="100" w:type="dxa"/>
            <w:vAlign w:val="bottom"/>
          </w:tcPr>
          <w:p>
            <w:pPr>
              <w:spacing w:after="0"/>
              <w:rPr>
                <w:sz w:val="12"/>
                <w:szCs w:val="12"/>
                <w:color w:val="auto"/>
              </w:rPr>
            </w:pPr>
          </w:p>
        </w:tc>
        <w:tc>
          <w:tcPr>
            <w:tcW w:w="2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Other Comprehensive Income</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Recognized in Earnings</w:t>
            </w:r>
          </w:p>
        </w:tc>
        <w:tc>
          <w:tcPr>
            <w:tcW w:w="0" w:type="dxa"/>
            <w:vAlign w:val="bottom"/>
          </w:tcPr>
          <w:p>
            <w:pPr>
              <w:spacing w:after="0"/>
              <w:rPr>
                <w:sz w:val="1"/>
                <w:szCs w:val="1"/>
                <w:color w:val="auto"/>
              </w:rPr>
            </w:pPr>
          </w:p>
        </w:tc>
      </w:tr>
      <w:tr>
        <w:trPr>
          <w:trHeight w:val="192"/>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Relationships</w:t>
            </w: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Income on Derivative</w:t>
            </w:r>
          </w:p>
        </w:tc>
        <w:tc>
          <w:tcPr>
            <w:tcW w:w="140" w:type="dxa"/>
            <w:vAlign w:val="bottom"/>
          </w:tcPr>
          <w:p>
            <w:pPr>
              <w:spacing w:after="0"/>
              <w:rPr>
                <w:sz w:val="16"/>
                <w:szCs w:val="16"/>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(Effective Portion)</w:t>
            </w:r>
          </w:p>
        </w:tc>
        <w:tc>
          <w:tcPr>
            <w:tcW w:w="2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into Earnings (Effective Portion)</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139"/>
        </w:trPr>
        <w:tc>
          <w:tcPr>
            <w:tcW w:w="242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For the Three Months Ended</w:t>
            </w:r>
          </w:p>
        </w:tc>
        <w:tc>
          <w:tcPr>
            <w:tcW w:w="2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1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September 30, 2012</w:t>
            </w:r>
          </w:p>
        </w:tc>
        <w:tc>
          <w:tcPr>
            <w:tcW w:w="2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Cash flow interest rate swap</w:t>
            </w:r>
          </w:p>
        </w:tc>
        <w:tc>
          <w:tcPr>
            <w:tcW w:w="228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04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2160" w:type="dxa"/>
            <w:vAlign w:val="bottom"/>
          </w:tcPr>
          <w:p>
            <w:pPr>
              <w:ind w:left="18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9"/>
        </w:trPr>
        <w:tc>
          <w:tcPr>
            <w:tcW w:w="242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For the Three Months Ended</w:t>
            </w:r>
          </w:p>
        </w:tc>
        <w:tc>
          <w:tcPr>
            <w:tcW w:w="2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September 30, 2011</w:t>
            </w:r>
          </w:p>
        </w:tc>
        <w:tc>
          <w:tcPr>
            <w:tcW w:w="2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Cash flow interest rate swap</w:t>
            </w:r>
          </w:p>
        </w:tc>
        <w:tc>
          <w:tcPr>
            <w:tcW w:w="228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04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2"/>
                <w:szCs w:val="22"/>
                <w:color w:val="auto"/>
              </w:rPr>
            </w:pPr>
          </w:p>
        </w:tc>
        <w:tc>
          <w:tcPr>
            <w:tcW w:w="2160" w:type="dxa"/>
            <w:vAlign w:val="bottom"/>
          </w:tcPr>
          <w:p>
            <w:pPr>
              <w:ind w:left="18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9"/>
        </w:trPr>
        <w:tc>
          <w:tcPr>
            <w:tcW w:w="242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For the Nine Months Ended</w:t>
            </w:r>
          </w:p>
        </w:tc>
        <w:tc>
          <w:tcPr>
            <w:tcW w:w="2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September 30, 2012</w:t>
            </w:r>
          </w:p>
        </w:tc>
        <w:tc>
          <w:tcPr>
            <w:tcW w:w="2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Cash flow interest rate swap</w:t>
            </w:r>
          </w:p>
        </w:tc>
        <w:tc>
          <w:tcPr>
            <w:tcW w:w="228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040" w:type="dxa"/>
            <w:vAlign w:val="bottom"/>
          </w:tcPr>
          <w:p>
            <w:pPr>
              <w:jc w:val="right"/>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22"/>
                <w:szCs w:val="22"/>
                <w:color w:val="auto"/>
              </w:rPr>
            </w:pPr>
          </w:p>
        </w:tc>
        <w:tc>
          <w:tcPr>
            <w:tcW w:w="2160" w:type="dxa"/>
            <w:vAlign w:val="bottom"/>
          </w:tcPr>
          <w:p>
            <w:pPr>
              <w:ind w:left="18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9"/>
        </w:trPr>
        <w:tc>
          <w:tcPr>
            <w:tcW w:w="242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For the Nine Months Ended</w:t>
            </w:r>
          </w:p>
        </w:tc>
        <w:tc>
          <w:tcPr>
            <w:tcW w:w="2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September 30, 2011</w:t>
            </w:r>
          </w:p>
        </w:tc>
        <w:tc>
          <w:tcPr>
            <w:tcW w:w="2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1">
            <w:col w:w="11420"/>
          </w:cols>
          <w:pgMar w:left="240" w:top="121" w:right="239" w:bottom="1440" w:gutter="0" w:footer="0" w:header="0"/>
        </w:sectPr>
      </w:pPr>
    </w:p>
    <w:p>
      <w:pPr>
        <w:ind w:left="40"/>
        <w:spacing w:after="0"/>
        <w:tabs>
          <w:tab w:leader="none" w:pos="2420" w:val="left"/>
          <w:tab w:leader="none" w:pos="4720" w:val="left"/>
        </w:tabs>
        <w:rPr>
          <w:sz w:val="20"/>
          <w:szCs w:val="20"/>
          <w:color w:val="auto"/>
        </w:rPr>
      </w:pPr>
      <w:r>
        <w:rPr>
          <w:rFonts w:ascii="Arial" w:cs="Arial" w:eastAsia="Arial" w:hAnsi="Arial"/>
          <w:sz w:val="14"/>
          <w:szCs w:val="14"/>
          <w:color w:val="auto"/>
        </w:rPr>
        <w:t>Cash flow interest rate swap</w:t>
      </w:r>
      <w:r>
        <w:rPr>
          <w:sz w:val="20"/>
          <w:szCs w:val="20"/>
          <w:color w:val="auto"/>
        </w:rPr>
        <w:tab/>
      </w:r>
      <w:r>
        <w:rPr>
          <w:rFonts w:ascii="Arial" w:cs="Arial" w:eastAsia="Arial" w:hAnsi="Arial"/>
          <w:sz w:val="14"/>
          <w:szCs w:val="14"/>
          <w:color w:val="auto"/>
        </w:rPr>
        <w:t>Interest Expense</w:t>
      </w:r>
      <w:r>
        <w:rPr>
          <w:sz w:val="20"/>
          <w:szCs w:val="20"/>
          <w:color w:val="auto"/>
        </w:rPr>
        <w:tab/>
      </w: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Derivatives not Designated in Hedging</w:t>
            </w:r>
          </w:p>
        </w:tc>
        <w:tc>
          <w:tcPr>
            <w:tcW w:w="1860" w:type="dxa"/>
            <w:vAlign w:val="bottom"/>
          </w:tcPr>
          <w:p>
            <w:pPr>
              <w:jc w:val="center"/>
              <w:ind w:left="468"/>
              <w:spacing w:after="0"/>
              <w:rPr>
                <w:sz w:val="20"/>
                <w:szCs w:val="20"/>
                <w:color w:val="auto"/>
              </w:rPr>
            </w:pPr>
            <w:r>
              <w:rPr>
                <w:rFonts w:ascii="Arial" w:cs="Arial" w:eastAsia="Arial" w:hAnsi="Arial"/>
                <w:sz w:val="14"/>
                <w:szCs w:val="14"/>
                <w:b w:val="1"/>
                <w:bCs w:val="1"/>
                <w:color w:val="auto"/>
                <w:w w:val="93"/>
              </w:rPr>
              <w:t>Location of Gain or</w:t>
            </w:r>
          </w:p>
        </w:tc>
        <w:tc>
          <w:tcPr>
            <w:tcW w:w="0" w:type="dxa"/>
            <w:vAlign w:val="bottom"/>
          </w:tcPr>
          <w:p>
            <w:pPr>
              <w:spacing w:after="0"/>
              <w:rPr>
                <w:sz w:val="1"/>
                <w:szCs w:val="1"/>
                <w:color w:val="auto"/>
              </w:rPr>
            </w:pPr>
          </w:p>
        </w:tc>
      </w:tr>
      <w:tr>
        <w:trPr>
          <w:trHeight w:val="149"/>
        </w:trPr>
        <w:tc>
          <w:tcPr>
            <w:tcW w:w="2880" w:type="dxa"/>
            <w:vAlign w:val="bottom"/>
            <w:vMerge w:val="continue"/>
          </w:tcPr>
          <w:p>
            <w:pPr>
              <w:spacing w:after="0"/>
              <w:rPr>
                <w:sz w:val="12"/>
                <w:szCs w:val="12"/>
                <w:color w:val="auto"/>
              </w:rPr>
            </w:pPr>
          </w:p>
        </w:tc>
        <w:tc>
          <w:tcPr>
            <w:tcW w:w="186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0"/>
              </w:rPr>
              <w:t>(Loss) Recognized in</w:t>
            </w:r>
          </w:p>
        </w:tc>
        <w:tc>
          <w:tcPr>
            <w:tcW w:w="0" w:type="dxa"/>
            <w:vAlign w:val="bottom"/>
          </w:tcPr>
          <w:p>
            <w:pPr>
              <w:spacing w:after="0"/>
              <w:rPr>
                <w:sz w:val="1"/>
                <w:szCs w:val="1"/>
                <w:color w:val="auto"/>
              </w:rPr>
            </w:pPr>
          </w:p>
        </w:tc>
      </w:tr>
      <w:tr>
        <w:trPr>
          <w:trHeight w:val="186"/>
        </w:trPr>
        <w:tc>
          <w:tcPr>
            <w:tcW w:w="2880" w:type="dxa"/>
            <w:vAlign w:val="bottom"/>
          </w:tcPr>
          <w:p>
            <w:pPr>
              <w:spacing w:after="0"/>
              <w:rPr>
                <w:sz w:val="20"/>
                <w:szCs w:val="20"/>
                <w:color w:val="auto"/>
              </w:rPr>
            </w:pPr>
            <w:r>
              <w:rPr>
                <w:rFonts w:ascii="Arial" w:cs="Arial" w:eastAsia="Arial" w:hAnsi="Arial"/>
                <w:sz w:val="14"/>
                <w:szCs w:val="14"/>
                <w:b w:val="1"/>
                <w:bCs w:val="1"/>
                <w:color w:val="auto"/>
              </w:rPr>
              <w:t>Relationships</w:t>
            </w:r>
          </w:p>
        </w:tc>
        <w:tc>
          <w:tcPr>
            <w:tcW w:w="1860" w:type="dxa"/>
            <w:vAlign w:val="bottom"/>
          </w:tcPr>
          <w:p>
            <w:pPr>
              <w:jc w:val="center"/>
              <w:ind w:left="468"/>
              <w:spacing w:after="0"/>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740" w:type="dxa"/>
            <w:vAlign w:val="bottom"/>
          </w:tcPr>
          <w:p>
            <w:pPr>
              <w:jc w:val="right"/>
              <w:ind w:right="28"/>
              <w:spacing w:after="0"/>
              <w:rPr>
                <w:sz w:val="20"/>
                <w:szCs w:val="20"/>
                <w:color w:val="auto"/>
              </w:rPr>
            </w:pPr>
            <w:r>
              <w:rPr>
                <w:rFonts w:ascii="Arial" w:cs="Arial" w:eastAsia="Arial" w:hAnsi="Arial"/>
                <w:sz w:val="14"/>
                <w:szCs w:val="14"/>
                <w:color w:val="auto"/>
              </w:rPr>
              <w:t>(1,530)</w:t>
            </w:r>
          </w:p>
        </w:tc>
        <w:tc>
          <w:tcPr>
            <w:tcW w:w="1340" w:type="dxa"/>
            <w:vAlign w:val="bottom"/>
          </w:tcPr>
          <w:p>
            <w:pPr>
              <w:jc w:val="right"/>
              <w:ind w:right="10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(531)</w:t>
            </w:r>
          </w:p>
        </w:tc>
        <w:tc>
          <w:tcPr>
            <w:tcW w:w="2180" w:type="dxa"/>
            <w:vAlign w:val="bottom"/>
          </w:tcPr>
          <w:p>
            <w:pPr>
              <w:ind w:left="1900"/>
              <w:spacing w:after="0"/>
              <w:rPr>
                <w:sz w:val="20"/>
                <w:szCs w:val="20"/>
                <w:color w:val="auto"/>
              </w:rPr>
            </w:pPr>
            <w:r>
              <w:rPr>
                <w:rFonts w:ascii="Arial" w:cs="Arial" w:eastAsia="Arial" w:hAnsi="Arial"/>
                <w:sz w:val="14"/>
                <w:szCs w:val="14"/>
                <w:color w:val="auto"/>
              </w:rPr>
              <w:t>N/A</w:t>
            </w:r>
          </w:p>
        </w:tc>
      </w:tr>
      <w:tr>
        <w:trPr>
          <w:trHeight w:val="516"/>
        </w:trPr>
        <w:tc>
          <w:tcPr>
            <w:tcW w:w="1740" w:type="dxa"/>
            <w:vAlign w:val="bottom"/>
          </w:tcPr>
          <w:p>
            <w:pPr>
              <w:spacing w:after="0"/>
              <w:rPr>
                <w:sz w:val="24"/>
                <w:szCs w:val="24"/>
                <w:color w:val="auto"/>
              </w:rPr>
            </w:pPr>
          </w:p>
        </w:tc>
        <w:tc>
          <w:tcPr>
            <w:tcW w:w="232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3"/>
              </w:rPr>
              <w:t>Amount of Gain or (Loss)</w:t>
            </w:r>
          </w:p>
        </w:tc>
        <w:tc>
          <w:tcPr>
            <w:tcW w:w="2180" w:type="dxa"/>
            <w:vAlign w:val="bottom"/>
          </w:tcPr>
          <w:p>
            <w:pPr>
              <w:spacing w:after="0"/>
              <w:rPr>
                <w:sz w:val="24"/>
                <w:szCs w:val="24"/>
                <w:color w:val="auto"/>
              </w:rPr>
            </w:pPr>
          </w:p>
        </w:tc>
      </w:tr>
      <w:tr>
        <w:trPr>
          <w:trHeight w:val="192"/>
        </w:trPr>
        <w:tc>
          <w:tcPr>
            <w:tcW w:w="174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4"/>
          </w:tcPr>
          <w:p>
            <w:pPr>
              <w:jc w:val="center"/>
              <w:ind w:right="1648"/>
              <w:spacing w:after="0"/>
              <w:rPr>
                <w:sz w:val="20"/>
                <w:szCs w:val="20"/>
                <w:color w:val="auto"/>
              </w:rPr>
            </w:pPr>
            <w:r>
              <w:rPr>
                <w:rFonts w:ascii="Arial" w:cs="Arial" w:eastAsia="Arial" w:hAnsi="Arial"/>
                <w:sz w:val="14"/>
                <w:szCs w:val="14"/>
                <w:b w:val="1"/>
                <w:bCs w:val="1"/>
                <w:color w:val="auto"/>
                <w:w w:val="92"/>
              </w:rPr>
              <w:t>Recognized in Income on Derivative</w:t>
            </w:r>
          </w:p>
        </w:tc>
      </w:tr>
      <w:tr>
        <w:trPr>
          <w:trHeight w:val="152"/>
        </w:trPr>
        <w:tc>
          <w:tcPr>
            <w:tcW w:w="31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For the Three Months</w:t>
            </w:r>
          </w:p>
        </w:tc>
        <w:tc>
          <w:tcPr>
            <w:tcW w:w="880" w:type="dxa"/>
            <w:vAlign w:val="bottom"/>
          </w:tcPr>
          <w:p>
            <w:pPr>
              <w:spacing w:after="0"/>
              <w:rPr>
                <w:sz w:val="13"/>
                <w:szCs w:val="13"/>
                <w:color w:val="auto"/>
              </w:rPr>
            </w:pPr>
          </w:p>
        </w:tc>
        <w:tc>
          <w:tcPr>
            <w:tcW w:w="2180" w:type="dxa"/>
            <w:vAlign w:val="bottom"/>
          </w:tcPr>
          <w:p>
            <w:pPr>
              <w:spacing w:after="0" w:line="153" w:lineRule="exact"/>
              <w:rPr>
                <w:sz w:val="20"/>
                <w:szCs w:val="20"/>
                <w:color w:val="auto"/>
              </w:rPr>
            </w:pPr>
            <w:r>
              <w:rPr>
                <w:rFonts w:ascii="Arial" w:cs="Arial" w:eastAsia="Arial" w:hAnsi="Arial"/>
                <w:sz w:val="14"/>
                <w:szCs w:val="14"/>
                <w:b w:val="1"/>
                <w:bCs w:val="1"/>
                <w:color w:val="auto"/>
              </w:rPr>
              <w:t>For the Nine Months</w:t>
            </w:r>
          </w:p>
        </w:tc>
      </w:tr>
      <w:tr>
        <w:trPr>
          <w:trHeight w:val="192"/>
        </w:trPr>
        <w:tc>
          <w:tcPr>
            <w:tcW w:w="3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Ended September 30,</w:t>
            </w:r>
          </w:p>
        </w:tc>
        <w:tc>
          <w:tcPr>
            <w:tcW w:w="88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Arial" w:cs="Arial" w:eastAsia="Arial" w:hAnsi="Arial"/>
                <w:sz w:val="14"/>
                <w:szCs w:val="14"/>
                <w:b w:val="1"/>
                <w:bCs w:val="1"/>
                <w:color w:val="auto"/>
              </w:rPr>
              <w:t>Ended September 30,</w:t>
            </w:r>
          </w:p>
        </w:tc>
      </w:tr>
      <w:tr>
        <w:trPr>
          <w:trHeight w:val="325"/>
        </w:trPr>
        <w:tc>
          <w:tcPr>
            <w:tcW w:w="1740" w:type="dxa"/>
            <w:vAlign w:val="bottom"/>
            <w:tcBorders>
              <w:top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2012</w:t>
            </w:r>
          </w:p>
        </w:tc>
        <w:tc>
          <w:tcPr>
            <w:tcW w:w="134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18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7620</wp:posOffset>
            </wp:positionV>
            <wp:extent cx="7229475"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4800" w:space="360"/>
            <w:col w:w="6260"/>
          </w:cols>
          <w:pgMar w:left="240" w:top="121" w:right="239" w:bottom="1440" w:gutter="0" w:footer="0" w:header="0"/>
          <w:type w:val="continuous"/>
        </w:sectPr>
      </w:pPr>
    </w:p>
    <w:p>
      <w:pPr>
        <w:ind w:left="40"/>
        <w:spacing w:after="0"/>
        <w:tabs>
          <w:tab w:leader="none" w:pos="3220" w:val="left"/>
          <w:tab w:leader="none" w:pos="5160" w:val="left"/>
          <w:tab w:leader="none" w:pos="6060" w:val="left"/>
          <w:tab w:leader="none" w:pos="6760" w:val="left"/>
          <w:tab w:leader="none" w:pos="7600" w:val="left"/>
          <w:tab w:leader="none" w:pos="8340" w:val="left"/>
          <w:tab w:leader="none" w:pos="9220" w:val="left"/>
          <w:tab w:leader="none" w:pos="9920" w:val="left"/>
          <w:tab w:leader="none" w:pos="10780" w:val="left"/>
        </w:tabs>
        <w:rPr>
          <w:sz w:val="20"/>
          <w:szCs w:val="20"/>
          <w:color w:val="auto"/>
        </w:rPr>
      </w:pPr>
      <w:r>
        <w:rPr>
          <w:rFonts w:ascii="Arial" w:cs="Arial" w:eastAsia="Arial" w:hAnsi="Arial"/>
          <w:sz w:val="18"/>
          <w:szCs w:val="18"/>
          <w:color w:val="auto"/>
        </w:rPr>
        <w:t>Foreign Exchange Contracts</w:t>
      </w:r>
      <w:r>
        <w:rPr>
          <w:sz w:val="20"/>
          <w:szCs w:val="20"/>
          <w:color w:val="auto"/>
        </w:rPr>
        <w:tab/>
      </w:r>
      <w:r>
        <w:rPr>
          <w:rFonts w:ascii="Arial" w:cs="Arial" w:eastAsia="Arial" w:hAnsi="Arial"/>
          <w:sz w:val="18"/>
          <w:szCs w:val="18"/>
          <w:color w:val="auto"/>
        </w:rPr>
        <w:t>Other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(6,658)</w:t>
        <w:tab/>
        <w:t>$</w:t>
      </w:r>
      <w:r>
        <w:rPr>
          <w:sz w:val="20"/>
          <w:szCs w:val="20"/>
          <w:color w:val="auto"/>
        </w:rPr>
        <w:tab/>
      </w:r>
      <w:r>
        <w:rPr>
          <w:rFonts w:ascii="Arial" w:cs="Arial" w:eastAsia="Arial" w:hAnsi="Arial"/>
          <w:sz w:val="18"/>
          <w:szCs w:val="18"/>
          <w:color w:val="auto"/>
        </w:rPr>
        <w:t>21,152</w:t>
        <w:tab/>
        <w:t>$</w:t>
      </w:r>
      <w:r>
        <w:rPr>
          <w:sz w:val="20"/>
          <w:szCs w:val="20"/>
          <w:color w:val="auto"/>
        </w:rPr>
        <w:tab/>
      </w:r>
      <w:r>
        <w:rPr>
          <w:rFonts w:ascii="Arial" w:cs="Arial" w:eastAsia="Arial" w:hAnsi="Arial"/>
          <w:sz w:val="18"/>
          <w:szCs w:val="18"/>
          <w:color w:val="auto"/>
        </w:rPr>
        <w:t>(5,326)</w:t>
        <w:tab/>
        <w:t>$</w:t>
      </w:r>
      <w:r>
        <w:rPr>
          <w:sz w:val="20"/>
          <w:szCs w:val="20"/>
          <w:color w:val="auto"/>
        </w:rPr>
        <w:tab/>
      </w:r>
      <w:r>
        <w:rPr>
          <w:rFonts w:ascii="Arial" w:cs="Arial" w:eastAsia="Arial" w:hAnsi="Arial"/>
          <w:sz w:val="15"/>
          <w:szCs w:val="15"/>
          <w:color w:val="auto"/>
        </w:rPr>
        <w:t>12,259</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Non-designated hedges</w:t>
      </w:r>
      <w:r>
        <w:rPr>
          <w:rFonts w:ascii="Arial" w:cs="Arial" w:eastAsia="Arial" w:hAnsi="Arial"/>
          <w:sz w:val="17"/>
          <w:szCs w:val="17"/>
          <w:color w:val="auto"/>
        </w:rPr>
        <w:t>—Changes in the fair value of derivatives not designated in hedging relationships are recorded directly in earnings.</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Company's foreign currency derivatives outstanding as of September 30, 2012 ($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Type</w:t>
            </w:r>
          </w:p>
        </w:tc>
        <w:tc>
          <w:tcPr>
            <w:tcW w:w="460" w:type="dxa"/>
            <w:vAlign w:val="bottom"/>
          </w:tcPr>
          <w:p>
            <w:pPr>
              <w:spacing w:after="0"/>
              <w:rPr>
                <w:sz w:val="14"/>
                <w:szCs w:val="14"/>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Notional</w:t>
            </w:r>
          </w:p>
        </w:tc>
        <w:tc>
          <w:tcPr>
            <w:tcW w:w="280" w:type="dxa"/>
            <w:vAlign w:val="bottom"/>
          </w:tcPr>
          <w:p>
            <w:pPr>
              <w:spacing w:after="0"/>
              <w:rPr>
                <w:sz w:val="14"/>
                <w:szCs w:val="14"/>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Notional</w:t>
            </w:r>
          </w:p>
        </w:tc>
        <w:tc>
          <w:tcPr>
            <w:tcW w:w="14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57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(USD Equivalent)</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Sells EUR/Buys USD Forward</w:t>
            </w: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140,043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1"/>
              </w:rPr>
              <w:t>October 2012</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Sells GBP/Buys USD Forward</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52,850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7"/>
              <w:spacing w:after="0"/>
              <w:rPr>
                <w:sz w:val="20"/>
                <w:szCs w:val="20"/>
                <w:color w:val="auto"/>
              </w:rPr>
            </w:pPr>
            <w:r>
              <w:rPr>
                <w:rFonts w:ascii="Arial" w:cs="Arial" w:eastAsia="Arial" w:hAnsi="Arial"/>
                <w:sz w:val="18"/>
                <w:szCs w:val="18"/>
                <w:color w:val="auto"/>
              </w:rPr>
              <w:t>85,266</w:t>
            </w:r>
          </w:p>
        </w:tc>
        <w:tc>
          <w:tcPr>
            <w:tcW w:w="100" w:type="dxa"/>
            <w:vAlign w:val="bottom"/>
          </w:tcPr>
          <w:p>
            <w:pPr>
              <w:spacing w:after="0"/>
              <w:rPr>
                <w:sz w:val="21"/>
                <w:szCs w:val="21"/>
                <w:color w:val="auto"/>
              </w:rPr>
            </w:pPr>
          </w:p>
        </w:tc>
        <w:tc>
          <w:tcPr>
            <w:tcW w:w="1480" w:type="dxa"/>
            <w:vAlign w:val="bottom"/>
          </w:tcPr>
          <w:p>
            <w:pPr>
              <w:ind w:left="460"/>
              <w:spacing w:after="0"/>
              <w:rPr>
                <w:sz w:val="20"/>
                <w:szCs w:val="20"/>
                <w:color w:val="auto"/>
              </w:rPr>
            </w:pPr>
            <w:r>
              <w:rPr>
                <w:rFonts w:ascii="Arial" w:cs="Arial" w:eastAsia="Arial" w:hAnsi="Arial"/>
                <w:sz w:val="18"/>
                <w:szCs w:val="18"/>
                <w:color w:val="auto"/>
                <w:w w:val="91"/>
              </w:rPr>
              <w:t>October 2012</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Sells CAD/Buys USD Forward</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50,950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51,784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1"/>
              </w:rPr>
              <w:t>October 2012</w:t>
            </w:r>
          </w:p>
        </w:tc>
        <w:tc>
          <w:tcPr>
            <w:tcW w:w="0" w:type="dxa"/>
            <w:vAlign w:val="bottom"/>
          </w:tcPr>
          <w:p>
            <w:pPr>
              <w:spacing w:after="0"/>
              <w:rPr>
                <w:sz w:val="1"/>
                <w:szCs w:val="1"/>
                <w:color w:val="auto"/>
              </w:rPr>
            </w:pPr>
          </w:p>
        </w:tc>
      </w:tr>
      <w:tr>
        <w:trPr>
          <w:trHeight w:val="27"/>
        </w:trPr>
        <w:tc>
          <w:tcPr>
            <w:tcW w:w="57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Qualifying Cash Flow Hedges</w:t>
      </w:r>
      <w:r>
        <w:rPr>
          <w:rFonts w:ascii="Arial" w:cs="Arial" w:eastAsia="Arial" w:hAnsi="Arial"/>
          <w:sz w:val="18"/>
          <w:szCs w:val="18"/>
          <w:color w:val="auto"/>
        </w:rPr>
        <w:t>—During the nine months ended September 30, 2012, the Company terminated its interest rate swaps in conjunction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early repayment of its secured term loans (see also Note 9).</w:t>
      </w:r>
    </w:p>
    <w:p>
      <w:pPr>
        <w:spacing w:after="0" w:line="16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Over the next 12 months, the Company expects that $0.6 million of expense and $0.7 million of income related to terminated cash flow hedges, will be reclassified from "Accumulated other comprehensive income (loss)" into earnings.</w:t>
      </w:r>
    </w:p>
    <w:p>
      <w:pPr>
        <w:spacing w:after="0" w:line="16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Credit risk-related contingent features</w:t>
      </w:r>
      <w:r>
        <w:rPr>
          <w:rFonts w:ascii="Arial" w:cs="Arial" w:eastAsia="Arial" w:hAnsi="Arial"/>
          <w:sz w:val="18"/>
          <w:szCs w:val="18"/>
          <w:color w:val="auto"/>
        </w:rPr>
        <w:t>—The Company has agreements with each of its derivative counterparties that contain a provision where if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either defaults or is capable of being declared in default on any of its indebtedness, then the Company could also be declared in default on its derivative obligations.</w:t>
      </w:r>
    </w:p>
    <w:p>
      <w:pPr>
        <w:spacing w:after="0" w:line="18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 connection with its foreign currency derivatives, as of September 30, 2012 and December 31, 2011, the Company has posted collateral of $17.4 million and $9.6 million, respectively, which is included in "Restricted cash" on the Company's Consolidated Balance Sheets.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12—Equity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Preferred Stock</w:t>
      </w:r>
      <w:r>
        <w:rPr>
          <w:rFonts w:ascii="Arial" w:cs="Arial" w:eastAsia="Arial" w:hAnsi="Arial"/>
          <w:sz w:val="17"/>
          <w:szCs w:val="17"/>
          <w:color w:val="auto"/>
        </w:rPr>
        <w:t>—The Company had the following series of Cumulative Redeemable Preferred Stock outstanding as of September 30, 2012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gridSpan w:val="4"/>
          </w:tcPr>
          <w:p>
            <w:pPr>
              <w:jc w:val="right"/>
              <w:ind w:right="717"/>
              <w:spacing w:after="0"/>
              <w:rPr>
                <w:sz w:val="20"/>
                <w:szCs w:val="20"/>
                <w:color w:val="auto"/>
              </w:rPr>
            </w:pPr>
            <w:r>
              <w:rPr>
                <w:rFonts w:ascii="Arial" w:cs="Arial" w:eastAsia="Arial" w:hAnsi="Arial"/>
                <w:sz w:val="14"/>
                <w:szCs w:val="14"/>
                <w:b w:val="1"/>
                <w:bCs w:val="1"/>
                <w:color w:val="auto"/>
              </w:rPr>
              <w:t>Cumulative Preferential Cash</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Borders>
              <w:bottom w:val="single" w:sz="8" w:color="auto"/>
            </w:tcBorders>
            <w:gridSpan w:val="4"/>
          </w:tcPr>
          <w:p>
            <w:pPr>
              <w:jc w:val="right"/>
              <w:ind w:right="1157"/>
              <w:spacing w:after="0"/>
              <w:rPr>
                <w:sz w:val="20"/>
                <w:szCs w:val="20"/>
                <w:color w:val="auto"/>
              </w:rPr>
            </w:pPr>
            <w:r>
              <w:rPr>
                <w:rFonts w:ascii="Arial" w:cs="Arial" w:eastAsia="Arial" w:hAnsi="Arial"/>
                <w:sz w:val="14"/>
                <w:szCs w:val="14"/>
                <w:b w:val="1"/>
                <w:bCs w:val="1"/>
                <w:color w:val="auto"/>
              </w:rPr>
              <w:t>Dividends(1)(2)</w:t>
            </w: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Shares Issued and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Rate per Annum</w:t>
            </w:r>
          </w:p>
        </w:tc>
        <w:tc>
          <w:tcPr>
            <w:tcW w:w="220" w:type="dxa"/>
            <w:vAlign w:val="bottom"/>
          </w:tcPr>
          <w:p>
            <w:pPr>
              <w:spacing w:after="0"/>
              <w:rPr>
                <w:sz w:val="13"/>
                <w:szCs w:val="13"/>
                <w:color w:val="auto"/>
              </w:rPr>
            </w:pPr>
          </w:p>
        </w:tc>
        <w:tc>
          <w:tcPr>
            <w:tcW w:w="142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5"/>
              </w:rPr>
              <w:t>Equivalent to</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 the $25.00</w:t>
            </w:r>
          </w:p>
        </w:tc>
        <w:tc>
          <w:tcPr>
            <w:tcW w:w="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Series</w:t>
            </w:r>
          </w:p>
        </w:tc>
        <w:tc>
          <w:tcPr>
            <w:tcW w:w="100" w:type="dxa"/>
            <w:vAlign w:val="bottom"/>
            <w:vMerge w:val="restart"/>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Par Value</w:t>
            </w:r>
          </w:p>
        </w:tc>
        <w:tc>
          <w:tcPr>
            <w:tcW w:w="120" w:type="dxa"/>
            <w:vAlign w:val="bottom"/>
            <w:vMerge w:val="restart"/>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Liquidation</w:t>
            </w:r>
          </w:p>
        </w:tc>
        <w:tc>
          <w:tcPr>
            <w:tcW w:w="220" w:type="dxa"/>
            <w:vAlign w:val="bottom"/>
          </w:tcPr>
          <w:p>
            <w:pPr>
              <w:spacing w:after="0"/>
              <w:rPr>
                <w:sz w:val="12"/>
                <w:szCs w:val="12"/>
                <w:color w:val="auto"/>
              </w:rPr>
            </w:pPr>
          </w:p>
        </w:tc>
        <w:tc>
          <w:tcPr>
            <w:tcW w:w="14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5"/>
              </w:rPr>
              <w:t>Fixed Annual</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Preference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Rate (per share)</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w:t>
            </w:r>
          </w:p>
        </w:tc>
        <w:tc>
          <w:tcPr>
            <w:tcW w:w="1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E</w:t>
            </w:r>
          </w:p>
        </w:tc>
        <w:tc>
          <w:tcPr>
            <w:tcW w:w="1740" w:type="dxa"/>
            <w:vAlign w:val="bottom"/>
          </w:tcPr>
          <w:p>
            <w:pPr>
              <w:jc w:val="right"/>
              <w:ind w:right="16"/>
              <w:spacing w:after="0"/>
              <w:rPr>
                <w:sz w:val="20"/>
                <w:szCs w:val="20"/>
                <w:color w:val="auto"/>
              </w:rPr>
            </w:pPr>
            <w:r>
              <w:rPr>
                <w:rFonts w:ascii="Arial" w:cs="Arial" w:eastAsia="Arial" w:hAnsi="Arial"/>
                <w:sz w:val="18"/>
                <w:szCs w:val="18"/>
                <w:color w:val="auto"/>
              </w:rPr>
              <w:t>5,600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7.875%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w:t>
            </w:r>
          </w:p>
        </w:tc>
        <w:tc>
          <w:tcPr>
            <w:tcW w:w="1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G</w:t>
            </w:r>
          </w:p>
        </w:tc>
        <w:tc>
          <w:tcPr>
            <w:tcW w:w="1740" w:type="dxa"/>
            <w:vAlign w:val="bottom"/>
          </w:tcPr>
          <w:p>
            <w:pPr>
              <w:jc w:val="right"/>
              <w:ind w:right="16"/>
              <w:spacing w:after="0"/>
              <w:rPr>
                <w:sz w:val="20"/>
                <w:szCs w:val="20"/>
                <w:color w:val="auto"/>
              </w:rPr>
            </w:pPr>
            <w:r>
              <w:rPr>
                <w:rFonts w:ascii="Arial" w:cs="Arial" w:eastAsia="Arial" w:hAnsi="Arial"/>
                <w:sz w:val="18"/>
                <w:szCs w:val="18"/>
                <w:color w:val="auto"/>
              </w:rPr>
              <w:t>3,200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w:t>
            </w:r>
          </w:p>
        </w:tc>
        <w:tc>
          <w:tcPr>
            <w:tcW w:w="1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21,800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right="80" w:hanging="652"/>
        <w:spacing w:after="0" w:line="244"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Holders of shares of the Series D, E, F, G and I preferred stock are entitled to receive dividends, when and as declared by the Board of Directors, out of funds legally available for the payment of dividends. Dividends are cumulative from the date of original issue and are payable quarterly in arrears on or before the 15th day of each March, June, September and December or, if not a business day, the next succeeding business day. Any dividend payable on the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Board of Directors of the Company for the payment of dividends that is not more than 30 nor less than 10 days prior to the dividend payment date.</w:t>
      </w:r>
    </w:p>
    <w:p>
      <w:pPr>
        <w:spacing w:after="0" w:line="2" w:lineRule="exact"/>
        <w:rPr>
          <w:rFonts w:ascii="Arial" w:cs="Arial" w:eastAsia="Arial" w:hAnsi="Arial"/>
          <w:sz w:val="14"/>
          <w:szCs w:val="14"/>
          <w:color w:val="auto"/>
        </w:rPr>
      </w:pPr>
    </w:p>
    <w:p>
      <w:pPr>
        <w:ind w:left="660" w:right="160" w:hanging="652"/>
        <w:spacing w:after="0" w:line="255"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declared and paid dividends aggregating $6.0 million, $8.3 million, $5.9 million, $4.6 million and $7.0 million on its Series D, E, F, G and I preferred stock, respectively, during the nine months ended September 30, 2012. There are no dividend arrearages on any of the preferred shares currently outstanding.</w:t>
      </w:r>
    </w:p>
    <w:p>
      <w:pPr>
        <w:spacing w:after="0" w:line="132"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b w:val="1"/>
          <w:bCs w:val="1"/>
          <w:color w:val="auto"/>
        </w:rPr>
        <w:t>Dividends</w:t>
      </w:r>
      <w:r>
        <w:rPr>
          <w:rFonts w:ascii="Arial" w:cs="Arial" w:eastAsia="Arial" w:hAnsi="Arial"/>
          <w:sz w:val="16"/>
          <w:szCs w:val="16"/>
          <w:color w:val="auto"/>
        </w:rPr>
        <w:t>—In order to maintain its election to qualify as a REIT, the Company must currently distribute, at a minimum, an amount equal to 90% of its</w:t>
      </w:r>
      <w:r>
        <w:rPr>
          <w:rFonts w:ascii="Arial" w:cs="Arial" w:eastAsia="Arial" w:hAnsi="Arial"/>
          <w:sz w:val="16"/>
          <w:szCs w:val="16"/>
          <w:b w:val="1"/>
          <w:bCs w:val="1"/>
          <w:color w:val="auto"/>
        </w:rPr>
        <w:t xml:space="preserve"> </w:t>
      </w:r>
      <w:r>
        <w:rPr>
          <w:rFonts w:ascii="Arial" w:cs="Arial" w:eastAsia="Arial" w:hAnsi="Arial"/>
          <w:sz w:val="16"/>
          <w:szCs w:val="16"/>
          <w:color w:val="auto"/>
        </w:rPr>
        <w:t>taxable income, excluding net capital gains, and must distribute 100% of its taxable income (including net capital gains) to avoid paying corporate federal income taxes. The Company has recorded net operating losses and may record net operating losses in the future, which may reduce its taxable income in future periods and lower or eliminate entirely the Company's obligation to pay dividends for such periods in order to maintain its REIT qualification. As of December 31, 2011, the Company had $423.9 million of net operating loss carryforwards at the corporate REIT level that can generally be used to offset both ordinary and capital taxable income in future years and will expire through 2031 if unused. Because taxable income differs from cash flow from operations due to non-cash revenues and expenses (such as depreciation and certain asset impairments), in certain circumstances, the Company may generate operating cash flow in excess of its dividends or, alternatively, may need to make dividend payments in excess of operating cash flows. The Company's 2012 Secured Credit Facilities and 2011 Secured Credit Facilities permit the Company to distribute 100% of its REIT taxable income on an annual basis, for so long as the Company maintains its qualification as a REIT. The 2012 and 2011 Secured Credit Facilities restrict the Company from paying any common dividends if it ceases to qualify as a REIT. The Company did not declare or pay any Common Stock dividends for the nine months ended September 30, 2012 and 2011.</w:t>
      </w:r>
    </w:p>
    <w:p>
      <w:pPr>
        <w:spacing w:after="0" w:line="164"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Stock Repurchase Programs</w:t>
      </w:r>
      <w:r>
        <w:rPr>
          <w:rFonts w:ascii="Arial" w:cs="Arial" w:eastAsia="Arial" w:hAnsi="Arial"/>
          <w:sz w:val="18"/>
          <w:szCs w:val="18"/>
          <w:color w:val="auto"/>
        </w:rPr>
        <w:t>—On May 16, 2012, the Company's Board of Directors approved a stock repurchase program that authorized the</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of up to $20.0 million of its Common Stock from time to time in open market and privately negotiated purchases, including pursuant to one or more trading plans.</w:t>
      </w:r>
    </w:p>
    <w:p>
      <w:pPr>
        <w:spacing w:after="0" w:line="18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nine months ended September 30, 2012, the Company repurchased 0.8 million shares of its outstanding Common Stock for approximately $4.6 million, at an average cost of $5.69 per share. As of September 30, 2012, the Company had $16.0 million of Common Stock available to repurchase under its Board authorized stock repurchase programs.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Accumulated Other Comprehensive Income (Loss)</w:t>
      </w:r>
      <w:r>
        <w:rPr>
          <w:rFonts w:ascii="Arial" w:cs="Arial" w:eastAsia="Arial" w:hAnsi="Arial"/>
          <w:sz w:val="18"/>
          <w:szCs w:val="18"/>
          <w:color w:val="auto"/>
        </w:rPr>
        <w:t>—"Accumulated other comprehensive income (loss)" reflected in the Company's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is comprised of the following ($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20" w:type="dxa"/>
            <w:vAlign w:val="bottom"/>
            <w:tcBorders>
              <w:bottom w:val="single" w:sz="8" w:color="auto"/>
            </w:tcBorders>
          </w:tcPr>
          <w:p>
            <w:pPr>
              <w:spacing w:after="0"/>
              <w:rPr>
                <w:sz w:val="16"/>
                <w:szCs w:val="16"/>
                <w:color w:val="auto"/>
              </w:rPr>
            </w:pPr>
          </w:p>
        </w:tc>
      </w:tr>
      <w:tr>
        <w:trPr>
          <w:trHeight w:val="264"/>
        </w:trPr>
        <w:tc>
          <w:tcPr>
            <w:tcW w:w="7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2012</w:t>
            </w:r>
          </w:p>
        </w:tc>
        <w:tc>
          <w:tcPr>
            <w:tcW w:w="180" w:type="dxa"/>
            <w:vAlign w:val="bottom"/>
          </w:tcPr>
          <w:p>
            <w:pPr>
              <w:spacing w:after="0"/>
              <w:rPr>
                <w:sz w:val="22"/>
                <w:szCs w:val="22"/>
                <w:color w:val="auto"/>
              </w:rPr>
            </w:pPr>
          </w:p>
        </w:tc>
        <w:tc>
          <w:tcPr>
            <w:tcW w:w="152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December 31, 2011</w:t>
            </w: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on available-for-sale securities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589</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Unrealized gains on cash flow hedges</w:t>
            </w:r>
          </w:p>
        </w:tc>
        <w:tc>
          <w:tcPr>
            <w:tcW w:w="2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1,986</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on cumulative translation adjustment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r>
      <w:tr>
        <w:trPr>
          <w:trHeight w:val="257"/>
        </w:trPr>
        <w:tc>
          <w:tcPr>
            <w:tcW w:w="7860" w:type="dxa"/>
            <w:vAlign w:val="bottom"/>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13—Stock-Based Compensation Plans and Employee Benefits</w:t>
      </w:r>
    </w:p>
    <w:p>
      <w:pPr>
        <w:spacing w:after="0" w:line="22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Company recorded stock-based compensation expense of $3.5 million and $11.6 million for the three and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September 30, 2012, respectively, and $7.2 million and $15.6 million for the three and nine months ended September 30, 2011, respectively, in "General and administrative" on the Company's Consolidated Statements of Operations. As of September 30, 2012, there was $13.5 million of total unrecognized compensation cost related to all unvested restricted stock units that is expected to be recognized over a weighted average remaining vesting/service period of 0.83 years. As of September 30, 2012, an aggregate of 4.1 million shares remain available for issuance pursuant to future awards under the Company's 2006 and 2009 Long-Term Incentive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b w:val="1"/>
          <w:bCs w:val="1"/>
          <w:i w:val="1"/>
          <w:iCs w:val="1"/>
          <w:color w:val="auto"/>
        </w:rPr>
        <w:t>2012 Activity</w:t>
      </w:r>
      <w:r>
        <w:rPr>
          <w:rFonts w:ascii="Arial" w:cs="Arial" w:eastAsia="Arial" w:hAnsi="Arial"/>
          <w:sz w:val="17"/>
          <w:szCs w:val="17"/>
          <w:color w:val="auto"/>
        </w:rPr>
        <w:t>—During the nine months ended September 30, 2012, 4,349,387 restricted stock units vested and were issued to employees, net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statutory minimum required tax withholdings. These vested restricted stock units were primarily comprised of 1,947,551 Amended Units which vested on January 1, 2012 (see below), 1,340,620 service-based restricted stock units granted to employees in February 2010 that cliff vested on February 17, 2012, and 806,518 performance-based restricted stock units granted to the Company's Chairman and Chief Executive Officer in March 2010, that cliff vested on March 2, 2012. The performance-based units had certain performance and service conditions, relating to reductions in the Company's general and administrative expenses, retirement of debt and continued employment, which were satisfied during the year ended December 31, 2010.</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2012, the Company had the following restricted stock awards outstanding:</w:t>
      </w:r>
    </w:p>
    <w:p>
      <w:pPr>
        <w:spacing w:after="0" w:line="225" w:lineRule="exact"/>
        <w:rPr>
          <w:sz w:val="20"/>
          <w:szCs w:val="20"/>
          <w:color w:val="auto"/>
        </w:rPr>
      </w:pPr>
    </w:p>
    <w:p>
      <w:pPr>
        <w:jc w:val="both"/>
        <w:ind w:left="660" w:hanging="328"/>
        <w:spacing w:after="0" w:line="279"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1,200,000 service-based restricted stock units granted to the Company's Chairman and Chief Executive Officer that will vest in two equal installments on June 15 of 2013 and 2014. Upon vesting of these units, the holder will receive shares of the Company's Common Stock in the amount of the vested units, net of statutory minimum required tax withholdings. These awards carry dividend equivalent rights that entitle the holder to receive dividend payments prior to vesting, if and when dividends are paid on shares of the Company's Common Stock.</w:t>
      </w:r>
    </w:p>
    <w:p>
      <w:pPr>
        <w:spacing w:after="0" w:line="171" w:lineRule="exact"/>
        <w:rPr>
          <w:rFonts w:ascii="Arial" w:cs="Arial" w:eastAsia="Arial" w:hAnsi="Arial"/>
          <w:sz w:val="17"/>
          <w:szCs w:val="17"/>
          <w:color w:val="auto"/>
        </w:rPr>
      </w:pPr>
    </w:p>
    <w:p>
      <w:pPr>
        <w:jc w:val="both"/>
        <w:ind w:left="660" w:hanging="328"/>
        <w:spacing w:after="0" w:line="271"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3,669,347 restricted stock units originally granted to executives and other officers of the Company on December 19, 2008 (the "Original Units") and subsequently modified in July 2011 (the "Amended Units"). The number of Amended Units is equal to 75% of the Original Units granted to an employee </w:t>
      </w:r>
      <w:r>
        <w:rPr>
          <w:rFonts w:ascii="Arial" w:cs="Arial" w:eastAsia="Arial" w:hAnsi="Arial"/>
          <w:sz w:val="17"/>
          <w:szCs w:val="17"/>
          <w:i w:val="1"/>
          <w:iCs w:val="1"/>
          <w:color w:val="auto"/>
        </w:rPr>
        <w:t>less</w:t>
      </w:r>
      <w:r>
        <w:rPr>
          <w:rFonts w:ascii="Arial" w:cs="Arial" w:eastAsia="Arial" w:hAnsi="Arial"/>
          <w:sz w:val="17"/>
          <w:szCs w:val="17"/>
          <w:color w:val="auto"/>
        </w:rPr>
        <w:t>, in the case of each executive level employee, the number of restricted stock units granted to the executive in March 2011. The remaining Amended Units will vest in two equal installments on January 1, 2013 and 2014, so long as the employee remains employed by the Company on the vesting dates, subject to certain accelerated vesting rights in the event of termination of employment without cause. Upon vesting of these units, holders will receive shares of the Company's Common Stock in the amount of the vested units, net of statutory minimum required tax withholdings. These awards carry dividend equivalent rights that entitle the holders to receive dividend payments prior to vesting, if and when dividends are paid on shares of the Company's Common Stock.</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6" w:lineRule="exact"/>
        <w:rPr>
          <w:sz w:val="20"/>
          <w:szCs w:val="20"/>
          <w:color w:val="auto"/>
        </w:rPr>
      </w:pPr>
    </w:p>
    <w:p>
      <w:pPr>
        <w:ind w:left="660" w:right="14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666,374 service-based restricted stock units granted to employees with original vesting terms ranging from two years to five years. Upon vesting of these units, holders will receive shares of the Company's Common Stock in the amount of the vested units, net of statutory minimum required tax withholdings. These awards carry dividend equivalent rights that entitle the holders to receive dividend payments prior to vesting, if and when dividends are paid on shares of the Company's Common Stock.</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—All remaining stock options expired during the nine months ended September 30, 2012.</w:t>
      </w:r>
    </w:p>
    <w:p>
      <w:pPr>
        <w:spacing w:after="0" w:line="225"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7"/>
          <w:szCs w:val="17"/>
          <w:b w:val="1"/>
          <w:bCs w:val="1"/>
          <w:color w:val="auto"/>
        </w:rPr>
        <w:t>Directors' Awards</w:t>
      </w:r>
      <w:r>
        <w:rPr>
          <w:rFonts w:ascii="Arial" w:cs="Arial" w:eastAsia="Arial" w:hAnsi="Arial"/>
          <w:sz w:val="17"/>
          <w:szCs w:val="17"/>
          <w:color w:val="auto"/>
        </w:rPr>
        <w:t>—During the nine months ended September 30, 2012, the Company awarded to Directors 77,113 common share equivalents</w:t>
      </w:r>
      <w:r>
        <w:rPr>
          <w:rFonts w:ascii="Arial" w:cs="Arial" w:eastAsia="Arial" w:hAnsi="Arial"/>
          <w:sz w:val="17"/>
          <w:szCs w:val="17"/>
          <w:b w:val="1"/>
          <w:bCs w:val="1"/>
          <w:color w:val="auto"/>
        </w:rPr>
        <w:t xml:space="preserve"> </w:t>
      </w:r>
      <w:r>
        <w:rPr>
          <w:rFonts w:ascii="Arial" w:cs="Arial" w:eastAsia="Arial" w:hAnsi="Arial"/>
          <w:sz w:val="17"/>
          <w:szCs w:val="17"/>
          <w:color w:val="auto"/>
        </w:rPr>
        <w:t>("CSEs") and restricted shares at a fair value per share of $5.67 at the time of grant. These CSEs and restricted shares have a one year vesting period and pay dividends in an amount equal to the dividends paid on the equivalent number of shares of the Company's Common stock from the date of grant, as and when dividends are paid on Common Stock. In addition, during the nine months ended September 30, 2012, the Company issued 35,476 shares to a former director in settlement of previously vested CSE awards. As of September 30, 2012, there were 384,751 CSEs and restricted shares granted to members of the Company's Board of Directors that remained outstanding with an aggregate intrinsic value of $3.2 million.</w:t>
      </w:r>
    </w:p>
    <w:p>
      <w:pPr>
        <w:spacing w:after="0" w:line="174" w:lineRule="exact"/>
        <w:rPr>
          <w:sz w:val="20"/>
          <w:szCs w:val="20"/>
          <w:color w:val="auto"/>
        </w:rPr>
      </w:pPr>
    </w:p>
    <w:p>
      <w:pPr>
        <w:jc w:val="both"/>
        <w:ind w:firstLine="432"/>
        <w:spacing w:after="0" w:line="347" w:lineRule="auto"/>
        <w:rPr>
          <w:sz w:val="20"/>
          <w:szCs w:val="20"/>
          <w:color w:val="auto"/>
        </w:rPr>
      </w:pPr>
      <w:r>
        <w:rPr>
          <w:rFonts w:ascii="Arial" w:cs="Arial" w:eastAsia="Arial" w:hAnsi="Arial"/>
          <w:sz w:val="16"/>
          <w:szCs w:val="16"/>
          <w:b w:val="1"/>
          <w:bCs w:val="1"/>
          <w:color w:val="auto"/>
        </w:rPr>
        <w:t>401(k) Plan</w:t>
      </w:r>
      <w:r>
        <w:rPr>
          <w:rFonts w:ascii="Arial" w:cs="Arial" w:eastAsia="Arial" w:hAnsi="Arial"/>
          <w:sz w:val="16"/>
          <w:szCs w:val="16"/>
          <w:color w:val="auto"/>
        </w:rPr>
        <w:t>—The Company made gross contributions to its 401(k) Plan of approximately $0.1 million and $0.8 million for the three and nine months</w:t>
      </w:r>
      <w:r>
        <w:rPr>
          <w:rFonts w:ascii="Arial" w:cs="Arial" w:eastAsia="Arial" w:hAnsi="Arial"/>
          <w:sz w:val="16"/>
          <w:szCs w:val="16"/>
          <w:b w:val="1"/>
          <w:bCs w:val="1"/>
          <w:color w:val="auto"/>
        </w:rPr>
        <w:t xml:space="preserve"> </w:t>
      </w:r>
      <w:r>
        <w:rPr>
          <w:rFonts w:ascii="Arial" w:cs="Arial" w:eastAsia="Arial" w:hAnsi="Arial"/>
          <w:sz w:val="16"/>
          <w:szCs w:val="16"/>
          <w:color w:val="auto"/>
        </w:rPr>
        <w:t>ended September 30, 2012, respectively, and $0.2 million and $0.6 million for the three and nine months ended September 30, 2011,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14—Earnings Per Share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a reconciliation of income (loss) from continuing operations used in the basic and diluted earnings per share calculations ($ in thousands, except for per share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For the Three Months</w:t>
            </w:r>
          </w:p>
        </w:tc>
        <w:tc>
          <w:tcPr>
            <w:tcW w:w="340" w:type="dxa"/>
            <w:vAlign w:val="bottom"/>
          </w:tcPr>
          <w:p>
            <w:pPr>
              <w:spacing w:after="0"/>
              <w:rPr>
                <w:sz w:val="14"/>
                <w:szCs w:val="14"/>
                <w:color w:val="auto"/>
              </w:rPr>
            </w:pPr>
          </w:p>
        </w:tc>
        <w:tc>
          <w:tcPr>
            <w:tcW w:w="2500" w:type="dxa"/>
            <w:vAlign w:val="bottom"/>
            <w:gridSpan w:val="4"/>
          </w:tcPr>
          <w:p>
            <w:pPr>
              <w:ind w:left="44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Ended September 30,</w:t>
            </w:r>
          </w:p>
        </w:tc>
        <w:tc>
          <w:tcPr>
            <w:tcW w:w="340" w:type="dxa"/>
            <w:vAlign w:val="bottom"/>
          </w:tcPr>
          <w:p>
            <w:pPr>
              <w:spacing w:after="0"/>
              <w:rPr>
                <w:sz w:val="16"/>
                <w:szCs w:val="16"/>
                <w:color w:val="auto"/>
              </w:rPr>
            </w:pPr>
          </w:p>
        </w:tc>
        <w:tc>
          <w:tcPr>
            <w:tcW w:w="2500" w:type="dxa"/>
            <w:vAlign w:val="bottom"/>
            <w:gridSpan w:val="4"/>
          </w:tcPr>
          <w:p>
            <w:pPr>
              <w:ind w:left="44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6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residential property</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15,584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35,583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Preferred dividends</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(31,740)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Income (loss) from continuing operations attributable to iStar Financial Inc.</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and allocable to common shareholders, HPU holders and Participating</w:t>
            </w:r>
          </w:p>
        </w:tc>
        <w:tc>
          <w:tcPr>
            <w:tcW w:w="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(74,222)</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(88,354)</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(220,650)</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(53,630)</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Security Holders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6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29</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For the Three Months</w:t>
            </w:r>
          </w:p>
        </w:tc>
        <w:tc>
          <w:tcPr>
            <w:tcW w:w="340" w:type="dxa"/>
            <w:vAlign w:val="bottom"/>
          </w:tcPr>
          <w:p>
            <w:pPr>
              <w:spacing w:after="0"/>
              <w:rPr>
                <w:sz w:val="14"/>
                <w:szCs w:val="14"/>
                <w:color w:val="auto"/>
              </w:rPr>
            </w:pPr>
          </w:p>
        </w:tc>
        <w:tc>
          <w:tcPr>
            <w:tcW w:w="2500" w:type="dxa"/>
            <w:vAlign w:val="bottom"/>
            <w:gridSpan w:val="4"/>
          </w:tcPr>
          <w:p>
            <w:pPr>
              <w:ind w:left="44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Ended September 30,</w:t>
            </w:r>
          </w:p>
        </w:tc>
        <w:tc>
          <w:tcPr>
            <w:tcW w:w="340" w:type="dxa"/>
            <w:vAlign w:val="bottom"/>
          </w:tcPr>
          <w:p>
            <w:pPr>
              <w:spacing w:after="0"/>
              <w:rPr>
                <w:sz w:val="16"/>
                <w:szCs w:val="16"/>
                <w:color w:val="auto"/>
              </w:rPr>
            </w:pPr>
          </w:p>
        </w:tc>
        <w:tc>
          <w:tcPr>
            <w:tcW w:w="2500" w:type="dxa"/>
            <w:vAlign w:val="bottom"/>
            <w:gridSpan w:val="4"/>
          </w:tcPr>
          <w:p>
            <w:pPr>
              <w:ind w:left="44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allocable to common shares: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Numerator for basic earnings per share:</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Income (loss) from continuing operations attributable to iStar Financial Inc.</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allocable to common shareholders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(71,786)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(213,419)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(52,009)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from discontinued operations</w:t>
            </w: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26,364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21,527</w:t>
            </w: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 attributable to iStar Financial Inc. and allocable to</w:t>
            </w:r>
          </w:p>
        </w:tc>
        <w:tc>
          <w:tcPr>
            <w:tcW w:w="3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(71,784)</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(62,231)</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(185,573)</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(27,117)</w:t>
            </w:r>
          </w:p>
        </w:tc>
        <w:tc>
          <w:tcPr>
            <w:tcW w:w="0" w:type="dxa"/>
            <w:vAlign w:val="bottom"/>
          </w:tcPr>
          <w:p>
            <w:pPr>
              <w:spacing w:after="0"/>
              <w:rPr>
                <w:sz w:val="1"/>
                <w:szCs w:val="1"/>
                <w:color w:val="auto"/>
              </w:rPr>
            </w:pPr>
          </w:p>
        </w:tc>
      </w:tr>
      <w:tr>
        <w:trPr>
          <w:trHeight w:val="27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common shareholders</w:t>
            </w:r>
          </w:p>
        </w:tc>
        <w:tc>
          <w:tcPr>
            <w:tcW w:w="36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 for diluted earnings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3"/>
              </w:rPr>
              <w:t>Income (loss) from continuing operations attributable to iStar Financial Inc.</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and allocable to common shareholders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(71,786)</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(85,592)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(213,419)</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(52,009)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from discontinued operations</w:t>
            </w: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21,504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26,364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21,527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iStar Financial Inc. and allocable to</w:t>
            </w:r>
          </w:p>
        </w:tc>
        <w:tc>
          <w:tcPr>
            <w:tcW w:w="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(71,784)</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(62,231)</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(185,573)</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(27,117)</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shareholders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Denominator for basic and diluted earnings per share:</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for basic earnings per</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w:t>
            </w: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83,629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87,951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83,765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91,020</w:t>
            </w: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9"/>
              </w:rPr>
              <w:t>Add: effect of assumed shared issued under treasury stock method for</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3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effect of joint venture shares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w w:val="98"/>
              </w:rPr>
              <w:t>Weighted average common shares outstanding for diluted earnings per</w:t>
            </w: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83,629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87,951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83,765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91,020</w:t>
            </w:r>
          </w:p>
        </w:tc>
        <w:tc>
          <w:tcPr>
            <w:tcW w:w="0" w:type="dxa"/>
            <w:vAlign w:val="bottom"/>
          </w:tcPr>
          <w:p>
            <w:pPr>
              <w:spacing w:after="0"/>
              <w:rPr>
                <w:sz w:val="1"/>
                <w:szCs w:val="1"/>
                <w:color w:val="auto"/>
              </w:rPr>
            </w:pPr>
          </w:p>
        </w:tc>
      </w:tr>
      <w:tr>
        <w:trPr>
          <w:trHeight w:val="27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common share</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common share:</w:t>
            </w: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3"/>
              </w:rPr>
              <w:t>Income (loss) from continuing operations attributable to iStar Financial Inc.</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and allocable to common shareholders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from discontinued operations</w:t>
            </w: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iStar Financial Inc. and allocable to</w:t>
            </w:r>
          </w:p>
        </w:tc>
        <w:tc>
          <w:tcPr>
            <w:tcW w:w="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shareholders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Diluted earnings per common share:</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Income (loss) from continuing operations attributable to iStar Financial Inc.</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allocable to common shareholders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from discontinued operations</w:t>
            </w: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 attributable to iStar Financial Inc. and allocable to</w:t>
            </w:r>
          </w:p>
        </w:tc>
        <w:tc>
          <w:tcPr>
            <w:tcW w:w="3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2"/>
        </w:trPr>
        <w:tc>
          <w:tcPr>
            <w:tcW w:w="5620" w:type="dxa"/>
            <w:vAlign w:val="bottom"/>
          </w:tcPr>
          <w:p>
            <w:pPr>
              <w:ind w:left="40"/>
              <w:spacing w:after="0"/>
              <w:rPr>
                <w:sz w:val="20"/>
                <w:szCs w:val="20"/>
                <w:color w:val="auto"/>
              </w:rPr>
            </w:pPr>
            <w:r>
              <w:rPr>
                <w:rFonts w:ascii="Arial" w:cs="Arial" w:eastAsia="Arial" w:hAnsi="Arial"/>
                <w:sz w:val="18"/>
                <w:szCs w:val="18"/>
                <w:color w:val="auto"/>
              </w:rPr>
              <w:t>common shareholders</w:t>
            </w:r>
          </w:p>
        </w:tc>
        <w:tc>
          <w:tcPr>
            <w:tcW w:w="3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6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30</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For the Three Months</w:t>
            </w:r>
          </w:p>
        </w:tc>
        <w:tc>
          <w:tcPr>
            <w:tcW w:w="340" w:type="dxa"/>
            <w:vAlign w:val="bottom"/>
          </w:tcPr>
          <w:p>
            <w:pPr>
              <w:spacing w:after="0"/>
              <w:rPr>
                <w:sz w:val="14"/>
                <w:szCs w:val="14"/>
                <w:color w:val="auto"/>
              </w:rPr>
            </w:pPr>
          </w:p>
        </w:tc>
        <w:tc>
          <w:tcPr>
            <w:tcW w:w="2500" w:type="dxa"/>
            <w:vAlign w:val="bottom"/>
            <w:gridSpan w:val="4"/>
          </w:tcPr>
          <w:p>
            <w:pPr>
              <w:ind w:left="44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Ended September 30,</w:t>
            </w:r>
          </w:p>
        </w:tc>
        <w:tc>
          <w:tcPr>
            <w:tcW w:w="340" w:type="dxa"/>
            <w:vAlign w:val="bottom"/>
          </w:tcPr>
          <w:p>
            <w:pPr>
              <w:spacing w:after="0"/>
              <w:rPr>
                <w:sz w:val="16"/>
                <w:szCs w:val="16"/>
                <w:color w:val="auto"/>
              </w:rPr>
            </w:pPr>
          </w:p>
        </w:tc>
        <w:tc>
          <w:tcPr>
            <w:tcW w:w="2500" w:type="dxa"/>
            <w:vAlign w:val="bottom"/>
            <w:gridSpan w:val="4"/>
          </w:tcPr>
          <w:p>
            <w:pPr>
              <w:ind w:left="44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allocable to High Performance Units: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Numerator for basic earnings per HPU share: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Income (loss) from continuing operations attributable to iStar Financial Inc.</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allocable to HPU holders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w w:val="95"/>
              </w:rPr>
              <w:t>Net income (loss) attributable to iStar Financial Inc. and allocable to HPU</w:t>
            </w: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(6,288)</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7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holders</w:t>
            </w:r>
          </w:p>
        </w:tc>
        <w:tc>
          <w:tcPr>
            <w:tcW w:w="32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 for diluted earnings per HPU share: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3"/>
              </w:rPr>
              <w:t>Income (loss) from continuing operations attributable to iStar Financial Inc.</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and allocable to HPU holders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(2,762)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(7,231)</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from discontinued operations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Net income (loss) attributable to iStar Financial Inc. and allocable to HPU</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holders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Denominator for basic and diluted earnings per HPU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Weighted average High Performance Units outstanding for basic and diluted</w:t>
            </w:r>
          </w:p>
        </w:tc>
        <w:tc>
          <w:tcPr>
            <w:tcW w:w="32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Basic earnings per HPU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Income (loss) from continuing operations attributable to iStar Financial Inc.</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allocable to HPU holders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(482.06)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w w:val="95"/>
              </w:rPr>
              <w:t>Net income (loss) attributable to iStar Financial Inc. and allocable to HPU</w:t>
            </w: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(162.40)</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(133.87)</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(419.20)</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(56.33)</w:t>
            </w:r>
          </w:p>
        </w:tc>
        <w:tc>
          <w:tcPr>
            <w:tcW w:w="0" w:type="dxa"/>
            <w:vAlign w:val="bottom"/>
          </w:tcPr>
          <w:p>
            <w:pPr>
              <w:spacing w:after="0"/>
              <w:rPr>
                <w:sz w:val="1"/>
                <w:szCs w:val="1"/>
                <w:color w:val="auto"/>
              </w:rPr>
            </w:pPr>
          </w:p>
        </w:tc>
      </w:tr>
      <w:tr>
        <w:trPr>
          <w:trHeight w:val="27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holders</w:t>
            </w:r>
          </w:p>
        </w:tc>
        <w:tc>
          <w:tcPr>
            <w:tcW w:w="32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HPU share: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3"/>
              </w:rPr>
              <w:t>Income (loss) from continuing operations attributable to iStar Financial Inc.</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and allocable to HPU holders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(162.40)</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(184.14)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(482.06)</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(108.06)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from discontinued operations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46.27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59.53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Net income (loss) attributable to iStar Financial Inc. and allocable to HPU</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(162.40)</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(133.87)</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(419.20)</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(56.33)</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holders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and nine months ended September 30, 2012 and 2011, the following shares were anti-dilutive ($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0" w:type="dxa"/>
            <w:vAlign w:val="bottom"/>
            <w:gridSpan w:val="4"/>
          </w:tcPr>
          <w:p>
            <w:pPr>
              <w:jc w:val="center"/>
              <w:ind w:left="408"/>
              <w:spacing w:after="0"/>
              <w:rPr>
                <w:sz w:val="20"/>
                <w:szCs w:val="20"/>
                <w:color w:val="auto"/>
              </w:rPr>
            </w:pPr>
            <w:r>
              <w:rPr>
                <w:rFonts w:ascii="Arial" w:cs="Arial" w:eastAsia="Arial" w:hAnsi="Arial"/>
                <w:sz w:val="14"/>
                <w:szCs w:val="14"/>
                <w:b w:val="1"/>
                <w:bCs w:val="1"/>
                <w:color w:val="auto"/>
                <w:w w:val="94"/>
              </w:rPr>
              <w:t>For the Three Months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4"/>
          </w:tcPr>
          <w:p>
            <w:pPr>
              <w:ind w:left="740"/>
              <w:spacing w:after="0"/>
              <w:rPr>
                <w:sz w:val="20"/>
                <w:szCs w:val="20"/>
                <w:color w:val="auto"/>
              </w:rPr>
            </w:pPr>
            <w:r>
              <w:rPr>
                <w:rFonts w:ascii="Arial" w:cs="Arial" w:eastAsia="Arial" w:hAnsi="Arial"/>
                <w:sz w:val="14"/>
                <w:szCs w:val="14"/>
                <w:b w:val="1"/>
                <w:bCs w:val="1"/>
                <w:color w:val="auto"/>
              </w:rPr>
              <w:t>For the Nine Months</w:t>
            </w:r>
          </w:p>
        </w:tc>
        <w:tc>
          <w:tcPr>
            <w:tcW w:w="46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2400" w:type="dxa"/>
            <w:vAlign w:val="bottom"/>
            <w:tcBorders>
              <w:bottom w:val="single" w:sz="8" w:color="auto"/>
            </w:tcBorders>
            <w:gridSpan w:val="4"/>
          </w:tcPr>
          <w:p>
            <w:pPr>
              <w:jc w:val="center"/>
              <w:ind w:left="408"/>
              <w:spacing w:after="0"/>
              <w:rPr>
                <w:sz w:val="20"/>
                <w:szCs w:val="20"/>
                <w:color w:val="auto"/>
              </w:rPr>
            </w:pPr>
            <w:r>
              <w:rPr>
                <w:rFonts w:ascii="Arial" w:cs="Arial" w:eastAsia="Arial" w:hAnsi="Arial"/>
                <w:sz w:val="14"/>
                <w:szCs w:val="14"/>
                <w:b w:val="1"/>
                <w:bCs w:val="1"/>
                <w:color w:val="auto"/>
                <w:w w:val="92"/>
              </w:rPr>
              <w:t>Ended September 30,</w:t>
            </w: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Ended September 30,</w:t>
            </w:r>
          </w:p>
        </w:tc>
        <w:tc>
          <w:tcPr>
            <w:tcW w:w="46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22"/>
                <w:szCs w:val="2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Joint venture shares</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gridSpan w:val="3"/>
          </w:tcPr>
          <w:p>
            <w:pPr>
              <w:jc w:val="right"/>
              <w:ind w:right="1088"/>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60" w:type="dxa"/>
            <w:vAlign w:val="bottom"/>
            <w:gridSpan w:val="3"/>
          </w:tcPr>
          <w:p>
            <w:pPr>
              <w:jc w:val="right"/>
              <w:ind w:right="1028"/>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44</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Values</w:t>
      </w:r>
    </w:p>
    <w:p>
      <w:pPr>
        <w:spacing w:after="0" w:line="22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spacing w:after="0" w:line="147" w:lineRule="exact"/>
        <w:rPr>
          <w:sz w:val="20"/>
          <w:szCs w:val="20"/>
          <w:color w:val="auto"/>
        </w:rPr>
      </w:pPr>
    </w:p>
    <w:p>
      <w:pPr>
        <w:ind w:left="800"/>
        <w:spacing w:after="0"/>
        <w:tabs>
          <w:tab w:leader="none" w:pos="15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225" w:lineRule="exact"/>
        <w:rPr>
          <w:sz w:val="20"/>
          <w:szCs w:val="20"/>
          <w:color w:val="auto"/>
        </w:rPr>
      </w:pPr>
    </w:p>
    <w:p>
      <w:pPr>
        <w:jc w:val="both"/>
        <w:ind w:right="20" w:firstLine="783"/>
        <w:spacing w:after="0" w:line="277"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spacing w:after="0" w:line="170" w:lineRule="exact"/>
        <w:rPr>
          <w:sz w:val="20"/>
          <w:szCs w:val="20"/>
          <w:color w:val="auto"/>
        </w:rPr>
      </w:pPr>
    </w:p>
    <w:p>
      <w:pPr>
        <w:jc w:val="both"/>
        <w:ind w:right="20" w:firstLine="783"/>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7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Certain of the Company's assets and liabilities are recorded at fair value either on a recurring or non-recurring basis. Assets required to be marked-to-market and reported at fair value every reporting period are classified as being valued on a recurring basis. Other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fair value hierarchy table summarizes the Company's assets and liabilities recorded at fair value on a recurring and non-recurring basis by the above categories ($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Fair Value Using</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Quoted market</w:t>
            </w:r>
          </w:p>
        </w:tc>
        <w:tc>
          <w:tcPr>
            <w:tcW w:w="18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Significant other</w:t>
            </w:r>
          </w:p>
        </w:tc>
        <w:tc>
          <w:tcPr>
            <w:tcW w:w="220" w:type="dxa"/>
            <w:vAlign w:val="bottom"/>
          </w:tcPr>
          <w:p>
            <w:pPr>
              <w:spacing w:after="0"/>
              <w:rPr>
                <w:sz w:val="13"/>
                <w:szCs w:val="13"/>
                <w:color w:val="auto"/>
              </w:rPr>
            </w:pPr>
          </w:p>
        </w:tc>
        <w:tc>
          <w:tcPr>
            <w:tcW w:w="126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prices in</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26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2"/>
                <w:szCs w:val="12"/>
                <w:color w:val="auto"/>
              </w:rPr>
            </w:pPr>
          </w:p>
        </w:tc>
        <w:tc>
          <w:tcPr>
            <w:tcW w:w="126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26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2012</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Recurring basis: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Derivative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7,392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Non-recurring basis: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Impaired loans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138,500</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Impaired OREO</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Impaired net lease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2011</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Recurring basis: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Derivative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Non-recurring basis: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Impaired loans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271,968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271,968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Impaired OREO</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43,660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43,660</w:t>
            </w:r>
          </w:p>
        </w:tc>
        <w:tc>
          <w:tcPr>
            <w:tcW w:w="0" w:type="dxa"/>
            <w:vAlign w:val="bottom"/>
          </w:tcPr>
          <w:p>
            <w:pPr>
              <w:spacing w:after="0"/>
              <w:rPr>
                <w:sz w:val="1"/>
                <w:szCs w:val="1"/>
                <w:color w:val="auto"/>
              </w:rPr>
            </w:pPr>
          </w:p>
        </w:tc>
      </w:tr>
      <w:tr>
        <w:trPr>
          <w:trHeight w:val="675"/>
        </w:trPr>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provides quantitative information about Level 3 fair value measures of the Company's non-recurring financial and non-financial assets ($ in thousands):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Quantitative Information about Level 3 Fair Value Measurements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188"/>
              <w:spacing w:after="0"/>
              <w:rPr>
                <w:sz w:val="20"/>
                <w:szCs w:val="20"/>
                <w:color w:val="auto"/>
              </w:rPr>
            </w:pPr>
            <w:r>
              <w:rPr>
                <w:rFonts w:ascii="Arial" w:cs="Arial" w:eastAsia="Arial" w:hAnsi="Arial"/>
                <w:sz w:val="14"/>
                <w:szCs w:val="14"/>
                <w:b w:val="1"/>
                <w:bCs w:val="1"/>
                <w:color w:val="auto"/>
              </w:rPr>
              <w:t>Fair Value as of</w:t>
            </w:r>
          </w:p>
        </w:tc>
        <w:tc>
          <w:tcPr>
            <w:tcW w:w="100" w:type="dxa"/>
            <w:vAlign w:val="bottom"/>
          </w:tcPr>
          <w:p>
            <w:pPr>
              <w:spacing w:after="0"/>
              <w:rPr>
                <w:sz w:val="14"/>
                <w:szCs w:val="14"/>
                <w:color w:val="auto"/>
              </w:rPr>
            </w:pPr>
          </w:p>
        </w:tc>
        <w:tc>
          <w:tcPr>
            <w:tcW w:w="2260" w:type="dxa"/>
            <w:vAlign w:val="bottom"/>
            <w:gridSpan w:val="2"/>
          </w:tcPr>
          <w:p>
            <w:pPr>
              <w:ind w:left="780"/>
              <w:spacing w:after="0"/>
              <w:rPr>
                <w:sz w:val="20"/>
                <w:szCs w:val="20"/>
                <w:color w:val="auto"/>
              </w:rPr>
            </w:pPr>
            <w:r>
              <w:rPr>
                <w:rFonts w:ascii="Arial" w:cs="Arial" w:eastAsia="Arial" w:hAnsi="Arial"/>
                <w:sz w:val="14"/>
                <w:szCs w:val="14"/>
                <w:b w:val="1"/>
                <w:bCs w:val="1"/>
                <w:color w:val="auto"/>
              </w:rPr>
              <w:t>Valuation</w:t>
            </w:r>
          </w:p>
        </w:tc>
        <w:tc>
          <w:tcPr>
            <w:tcW w:w="4000" w:type="dxa"/>
            <w:vAlign w:val="bottom"/>
            <w:vMerge w:val="restart"/>
          </w:tcPr>
          <w:p>
            <w:pPr>
              <w:jc w:val="right"/>
              <w:ind w:right="1308"/>
              <w:spacing w:after="0"/>
              <w:rPr>
                <w:sz w:val="20"/>
                <w:szCs w:val="20"/>
                <w:color w:val="auto"/>
              </w:rPr>
            </w:pPr>
            <w:r>
              <w:rPr>
                <w:rFonts w:ascii="Arial" w:cs="Arial" w:eastAsia="Arial" w:hAnsi="Arial"/>
                <w:sz w:val="14"/>
                <w:szCs w:val="14"/>
                <w:b w:val="1"/>
                <w:bCs w:val="1"/>
                <w:color w:val="auto"/>
              </w:rPr>
              <w:t>Unobservable Input</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1"/>
              </w:rPr>
              <w:t>September 30, 2012</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Technique(s)</w:t>
            </w:r>
          </w:p>
        </w:tc>
        <w:tc>
          <w:tcPr>
            <w:tcW w:w="100" w:type="dxa"/>
            <w:vAlign w:val="bottom"/>
            <w:tcBorders>
              <w:bottom w:val="single" w:sz="8" w:color="CCEEFF"/>
            </w:tcBorders>
          </w:tcPr>
          <w:p>
            <w:pPr>
              <w:spacing w:after="0"/>
              <w:rPr>
                <w:sz w:val="16"/>
                <w:szCs w:val="16"/>
                <w:color w:val="auto"/>
              </w:rPr>
            </w:pPr>
          </w:p>
        </w:tc>
        <w:tc>
          <w:tcPr>
            <w:tcW w:w="4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Impaired loans—other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73,100</w:t>
            </w:r>
          </w:p>
        </w:tc>
        <w:tc>
          <w:tcPr>
            <w:tcW w:w="100" w:type="dxa"/>
            <w:vAlign w:val="bottom"/>
            <w:shd w:val="clear" w:color="auto" w:fill="CCEEFF"/>
          </w:tcPr>
          <w:p>
            <w:pPr>
              <w:spacing w:after="0"/>
              <w:rPr>
                <w:sz w:val="22"/>
                <w:szCs w:val="22"/>
                <w:color w:val="auto"/>
              </w:rPr>
            </w:pPr>
          </w:p>
        </w:tc>
        <w:tc>
          <w:tcPr>
            <w:tcW w:w="2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Discounted cash flow</w:t>
            </w:r>
          </w:p>
        </w:tc>
        <w:tc>
          <w:tcPr>
            <w:tcW w:w="4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Discount rate</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100" w:type="dxa"/>
            <w:vAlign w:val="bottom"/>
            <w:gridSpan w:val="2"/>
          </w:tcPr>
          <w:p>
            <w:pPr>
              <w:jc w:val="right"/>
              <w:ind w:right="140"/>
              <w:spacing w:after="0"/>
              <w:rPr>
                <w:sz w:val="20"/>
                <w:szCs w:val="20"/>
                <w:color w:val="auto"/>
              </w:rPr>
            </w:pPr>
            <w:r>
              <w:rPr>
                <w:rFonts w:ascii="Arial" w:cs="Arial" w:eastAsia="Arial" w:hAnsi="Arial"/>
                <w:sz w:val="14"/>
                <w:szCs w:val="14"/>
                <w:color w:val="auto"/>
              </w:rPr>
              <w:t>Average annual revenue growth</w:t>
            </w: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Remaining inventory sell out period (in years)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46,300</w:t>
            </w:r>
          </w:p>
        </w:tc>
        <w:tc>
          <w:tcPr>
            <w:tcW w:w="100" w:type="dxa"/>
            <w:vAlign w:val="bottom"/>
          </w:tcPr>
          <w:p>
            <w:pPr>
              <w:spacing w:after="0"/>
              <w:rPr>
                <w:sz w:val="22"/>
                <w:szCs w:val="22"/>
                <w:color w:val="auto"/>
              </w:rPr>
            </w:pPr>
          </w:p>
        </w:tc>
        <w:tc>
          <w:tcPr>
            <w:tcW w:w="2260" w:type="dxa"/>
            <w:vAlign w:val="bottom"/>
            <w:gridSpan w:val="2"/>
          </w:tcPr>
          <w:p>
            <w:pPr>
              <w:jc w:val="right"/>
              <w:ind w:right="120"/>
              <w:spacing w:after="0"/>
              <w:rPr>
                <w:sz w:val="20"/>
                <w:szCs w:val="20"/>
                <w:color w:val="auto"/>
              </w:rPr>
            </w:pPr>
            <w:r>
              <w:rPr>
                <w:rFonts w:ascii="Arial" w:cs="Arial" w:eastAsia="Arial" w:hAnsi="Arial"/>
                <w:sz w:val="14"/>
                <w:szCs w:val="14"/>
                <w:color w:val="auto"/>
              </w:rPr>
              <w:t>Various(1)</w:t>
            </w:r>
          </w:p>
        </w:tc>
        <w:tc>
          <w:tcPr>
            <w:tcW w:w="4100" w:type="dxa"/>
            <w:vAlign w:val="bottom"/>
            <w:gridSpan w:val="2"/>
          </w:tcPr>
          <w:p>
            <w:pPr>
              <w:jc w:val="right"/>
              <w:ind w:right="140"/>
              <w:spacing w:after="0"/>
              <w:rPr>
                <w:sz w:val="20"/>
                <w:szCs w:val="20"/>
                <w:color w:val="auto"/>
              </w:rPr>
            </w:pPr>
            <w:r>
              <w:rPr>
                <w:rFonts w:ascii="Arial" w:cs="Arial" w:eastAsia="Arial" w:hAnsi="Arial"/>
                <w:sz w:val="14"/>
                <w:szCs w:val="14"/>
                <w:color w:val="auto"/>
              </w:rPr>
              <w:t>Discount rate</w:t>
            </w: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Capitalization rate</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100" w:type="dxa"/>
            <w:vAlign w:val="bottom"/>
            <w:gridSpan w:val="2"/>
          </w:tcPr>
          <w:p>
            <w:pPr>
              <w:jc w:val="right"/>
              <w:ind w:right="140"/>
              <w:spacing w:after="0"/>
              <w:rPr>
                <w:sz w:val="20"/>
                <w:szCs w:val="20"/>
                <w:color w:val="auto"/>
              </w:rPr>
            </w:pPr>
            <w:r>
              <w:rPr>
                <w:rFonts w:ascii="Arial" w:cs="Arial" w:eastAsia="Arial" w:hAnsi="Arial"/>
                <w:sz w:val="14"/>
                <w:szCs w:val="14"/>
                <w:color w:val="auto"/>
              </w:rPr>
              <w:t>Average annual percentage market rate growth</w:t>
            </w: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Average annual increase in occupancy</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100" w:type="dxa"/>
            <w:vAlign w:val="bottom"/>
            <w:gridSpan w:val="2"/>
          </w:tcPr>
          <w:p>
            <w:pPr>
              <w:jc w:val="right"/>
              <w:ind w:right="140"/>
              <w:spacing w:after="0"/>
              <w:rPr>
                <w:sz w:val="20"/>
                <w:szCs w:val="20"/>
                <w:color w:val="auto"/>
              </w:rPr>
            </w:pPr>
            <w:r>
              <w:rPr>
                <w:rFonts w:ascii="Arial" w:cs="Arial" w:eastAsia="Arial" w:hAnsi="Arial"/>
                <w:sz w:val="14"/>
                <w:szCs w:val="14"/>
                <w:color w:val="auto"/>
              </w:rPr>
              <w:t>Price per Acre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19,100</w:t>
            </w:r>
          </w:p>
        </w:tc>
        <w:tc>
          <w:tcPr>
            <w:tcW w:w="100" w:type="dxa"/>
            <w:vAlign w:val="bottom"/>
            <w:shd w:val="clear" w:color="auto" w:fill="CCEEFF"/>
          </w:tcPr>
          <w:p>
            <w:pPr>
              <w:spacing w:after="0"/>
              <w:rPr>
                <w:sz w:val="23"/>
                <w:szCs w:val="23"/>
                <w:color w:val="auto"/>
              </w:rPr>
            </w:pPr>
          </w:p>
        </w:tc>
        <w:tc>
          <w:tcPr>
            <w:tcW w:w="2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Comparable sales</w:t>
            </w:r>
          </w:p>
        </w:tc>
        <w:tc>
          <w:tcPr>
            <w:tcW w:w="4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Price per Acre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138,500</w:t>
            </w: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right="100" w:hanging="571"/>
        <w:spacing w:after="0" w:line="273"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probability weighted average was used to value this asset based on two appraisals of the property serving as collateral for the loan, one of which relied on market comparables and one of which used a discounted cash flow approach, and a discounted pay-off offer by the borrower.</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book and estimated fair values of financial instruments were as follows ($ in thousands)(1):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2012</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2011</w:t>
            </w:r>
          </w:p>
        </w:tc>
        <w:tc>
          <w:tcPr>
            <w:tcW w:w="920" w:type="dxa"/>
            <w:vAlign w:val="bottom"/>
            <w:tcBorders>
              <w:bottom w:val="single" w:sz="8" w:color="auto"/>
            </w:tcBorders>
          </w:tcPr>
          <w:p>
            <w:pPr>
              <w:spacing w:after="0"/>
              <w:rPr>
                <w:sz w:val="22"/>
                <w:szCs w:val="22"/>
                <w:color w:val="auto"/>
              </w:rPr>
            </w:pPr>
          </w:p>
        </w:tc>
      </w:tr>
      <w:tr>
        <w:trPr>
          <w:trHeight w:val="152"/>
        </w:trPr>
        <w:tc>
          <w:tcPr>
            <w:tcW w:w="5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Book</w:t>
            </w:r>
          </w:p>
        </w:tc>
        <w:tc>
          <w:tcPr>
            <w:tcW w:w="560" w:type="dxa"/>
            <w:vAlign w:val="bottom"/>
          </w:tcPr>
          <w:p>
            <w:pPr>
              <w:spacing w:after="0"/>
              <w:rPr>
                <w:sz w:val="13"/>
                <w:szCs w:val="13"/>
                <w:color w:val="auto"/>
              </w:rPr>
            </w:pPr>
          </w:p>
        </w:tc>
        <w:tc>
          <w:tcPr>
            <w:tcW w:w="1020" w:type="dxa"/>
            <w:vAlign w:val="bottom"/>
            <w:gridSpan w:val="2"/>
          </w:tcPr>
          <w:p>
            <w:pPr>
              <w:jc w:val="center"/>
              <w:ind w:right="680"/>
              <w:spacing w:after="0" w:line="153"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3"/>
                <w:szCs w:val="13"/>
                <w:color w:val="auto"/>
              </w:rPr>
            </w:pPr>
          </w:p>
        </w:tc>
        <w:tc>
          <w:tcPr>
            <w:tcW w:w="124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Book</w:t>
            </w:r>
          </w:p>
        </w:tc>
        <w:tc>
          <w:tcPr>
            <w:tcW w:w="560" w:type="dxa"/>
            <w:vAlign w:val="bottom"/>
          </w:tcPr>
          <w:p>
            <w:pPr>
              <w:spacing w:after="0"/>
              <w:rPr>
                <w:sz w:val="13"/>
                <w:szCs w:val="13"/>
                <w:color w:val="auto"/>
              </w:rPr>
            </w:pPr>
          </w:p>
        </w:tc>
        <w:tc>
          <w:tcPr>
            <w:tcW w:w="920" w:type="dxa"/>
            <w:vAlign w:val="bottom"/>
          </w:tcPr>
          <w:p>
            <w:pPr>
              <w:jc w:val="right"/>
              <w:ind w:right="539"/>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Value</w:t>
            </w:r>
          </w:p>
        </w:tc>
        <w:tc>
          <w:tcPr>
            <w:tcW w:w="560" w:type="dxa"/>
            <w:vAlign w:val="bottom"/>
          </w:tcPr>
          <w:p>
            <w:pPr>
              <w:spacing w:after="0"/>
              <w:rPr>
                <w:sz w:val="16"/>
                <w:szCs w:val="16"/>
                <w:color w:val="auto"/>
              </w:rPr>
            </w:pPr>
          </w:p>
        </w:tc>
        <w:tc>
          <w:tcPr>
            <w:tcW w:w="10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6"/>
              </w:rPr>
              <w:t>Value</w:t>
            </w:r>
          </w:p>
        </w:tc>
        <w:tc>
          <w:tcPr>
            <w:tcW w:w="340" w:type="dxa"/>
            <w:vAlign w:val="bottom"/>
          </w:tcPr>
          <w:p>
            <w:pPr>
              <w:spacing w:after="0"/>
              <w:rPr>
                <w:sz w:val="16"/>
                <w:szCs w:val="16"/>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Value</w:t>
            </w:r>
          </w:p>
        </w:tc>
        <w:tc>
          <w:tcPr>
            <w:tcW w:w="560" w:type="dxa"/>
            <w:vAlign w:val="bottom"/>
          </w:tcPr>
          <w:p>
            <w:pPr>
              <w:spacing w:after="0"/>
              <w:rPr>
                <w:sz w:val="16"/>
                <w:szCs w:val="16"/>
                <w:color w:val="auto"/>
              </w:rPr>
            </w:pPr>
          </w:p>
        </w:tc>
        <w:tc>
          <w:tcPr>
            <w:tcW w:w="920" w:type="dxa"/>
            <w:vAlign w:val="bottom"/>
          </w:tcPr>
          <w:p>
            <w:pPr>
              <w:jc w:val="right"/>
              <w:ind w:right="479"/>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Loans and other lending investments,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41"/>
              <w:spacing w:after="0"/>
              <w:rPr>
                <w:sz w:val="20"/>
                <w:szCs w:val="20"/>
                <w:color w:val="auto"/>
              </w:rPr>
            </w:pPr>
            <w:r>
              <w:rPr>
                <w:rFonts w:ascii="Arial" w:cs="Arial" w:eastAsia="Arial" w:hAnsi="Arial"/>
                <w:sz w:val="18"/>
                <w:szCs w:val="18"/>
                <w:color w:val="auto"/>
              </w:rPr>
              <w:t>2,118,723</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41"/>
              <w:spacing w:after="0"/>
              <w:rPr>
                <w:sz w:val="20"/>
                <w:szCs w:val="20"/>
                <w:color w:val="auto"/>
              </w:rPr>
            </w:pPr>
            <w:r>
              <w:rPr>
                <w:rFonts w:ascii="Arial" w:cs="Arial" w:eastAsia="Arial" w:hAnsi="Arial"/>
                <w:sz w:val="18"/>
                <w:szCs w:val="18"/>
                <w:color w:val="auto"/>
                <w:w w:val="97"/>
              </w:rPr>
              <w:t>2,186,117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2,860,762</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w w:val="97"/>
              </w:rPr>
              <w:t>2,786,595</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Debt obligations,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41"/>
              <w:spacing w:after="0"/>
              <w:rPr>
                <w:sz w:val="20"/>
                <w:szCs w:val="20"/>
                <w:color w:val="auto"/>
              </w:rPr>
            </w:pPr>
            <w:r>
              <w:rPr>
                <w:rFonts w:ascii="Arial" w:cs="Arial" w:eastAsia="Arial" w:hAnsi="Arial"/>
                <w:sz w:val="18"/>
                <w:szCs w:val="18"/>
                <w:color w:val="auto"/>
              </w:rPr>
              <w:t>5,388,860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41"/>
              <w:spacing w:after="0"/>
              <w:rPr>
                <w:sz w:val="20"/>
                <w:szCs w:val="20"/>
                <w:color w:val="auto"/>
              </w:rPr>
            </w:pPr>
            <w:r>
              <w:rPr>
                <w:rFonts w:ascii="Arial" w:cs="Arial" w:eastAsia="Arial" w:hAnsi="Arial"/>
                <w:sz w:val="18"/>
                <w:szCs w:val="18"/>
                <w:color w:val="auto"/>
                <w:w w:val="97"/>
              </w:rPr>
              <w:t>5,503,168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5,837,540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w w:val="97"/>
              </w:rPr>
              <w:t>5,495,197</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571"/>
        <w:spacing w:after="0" w:line="257"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carrying values of other financial instruments including cash and cash equivalents, restricted cash, accrued interest receivable and accounts payable, approximate the fair values of the instruments. Cash and cash equivalents and restricted cash values are considered Level 1 on the fair value hierarchy. The fair value of other financial instruments, including derivative assets and liabilities and marketable securities are included in the previous fair value hierarchy table.</w:t>
      </w:r>
    </w:p>
    <w:p>
      <w:pPr>
        <w:spacing w:after="0" w:line="13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Given the nature of certain assets and liabilities, clearly determinable market based valuation inputs are often not available, therefore, these assets and liabilities are valued using internal valuation techniques. Subjectivity exists with respect to these internal valuation techniques, therefore, the fair values disclosed may not ultimately be realized by the Company if the assets were sold or the liabilities were settled with third parties. The methods the Company used to estimate the fair values presented in the three tables above are described more fully below for each type of asset and liability.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b w:val="1"/>
          <w:bCs w:val="1"/>
          <w:color w:val="auto"/>
        </w:rPr>
        <w:t>Derivatives</w:t>
      </w:r>
      <w:r>
        <w:rPr>
          <w:rFonts w:ascii="Arial" w:cs="Arial" w:eastAsia="Arial" w:hAnsi="Arial"/>
          <w:sz w:val="18"/>
          <w:szCs w:val="18"/>
          <w:color w:val="auto"/>
        </w:rPr>
        <w:t>—The Company uses interest rate swaps and foreign currency derivatives to manage its interest rate and foreign currency risk.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valuation of these instruments is determined using discounted cash flow analysis on the expected cash flows of each derivative. This analysis reflects the contractual terms of the derivatives, including the period to maturity, and uses observable market-based inputs, including interest rate curves, foreign exchange rates, and implied volatilities.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addition, upon adoption of ASU 2011-04, the Company made an accounting policy election to measure derivative financial instruments subject to master netting agreements on a net basis. The Company has determined that the significant inputs used to value its derivatives fall within Level 2 of the fair value hierarchy.</w:t>
      </w:r>
    </w:p>
    <w:p>
      <w:pPr>
        <w:spacing w:after="0" w:line="1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b w:val="1"/>
          <w:bCs w:val="1"/>
          <w:color w:val="auto"/>
        </w:rPr>
        <w:t>Impaired loans</w:t>
      </w:r>
      <w:r>
        <w:rPr>
          <w:rFonts w:ascii="Arial" w:cs="Arial" w:eastAsia="Arial" w:hAnsi="Arial"/>
          <w:sz w:val="17"/>
          <w:szCs w:val="17"/>
          <w:color w:val="auto"/>
        </w:rPr>
        <w:t>—The Company's loans identified as being impaired are nearly all collateral dependent loans and are evaluated for impairment by</w:t>
      </w:r>
      <w:r>
        <w:rPr>
          <w:rFonts w:ascii="Arial" w:cs="Arial" w:eastAsia="Arial" w:hAnsi="Arial"/>
          <w:sz w:val="17"/>
          <w:szCs w:val="17"/>
          <w:b w:val="1"/>
          <w:bCs w:val="1"/>
          <w:color w:val="auto"/>
        </w:rPr>
        <w:t xml:space="preserve"> </w:t>
      </w:r>
      <w:r>
        <w:rPr>
          <w:rFonts w:ascii="Arial" w:cs="Arial" w:eastAsia="Arial" w:hAnsi="Arial"/>
          <w:sz w:val="17"/>
          <w:szCs w:val="17"/>
          <w:color w:val="auto"/>
        </w:rPr>
        <w:t>comparing the estimated fair value of the underlying collateral, less costs to sell, to the carrying value of each loan. Due to the nature of the individual properties collateralizing the Company's loans, the Company generally uses a discounted cash flow methodology through internally developed valuation models to estimate the fair value of the collateral. This approach requires the Company to make judgments in respect to significant unobservable inputs, which may include discount rates, capitalization rates and the timing and amounts of estimated future cash flows. For income producing properties, cash flows generally include property revenues, operating costs and capital expenditures that are based on current observable market rates and estimates for market rate growth and occupancy levels. For other real estate, cash flows may include lot and unit sales that are based on current observable market rates and estimates for annual revenue growth, operating costs and costs of completion and the remaining inventory sell out periods. In more limited cases, the Company obtains external "as is" appraisals for loan collateral, generally when third party participations exist, and appraised values may be discounted when real estate markets rapidly deteriorate.</w:t>
      </w:r>
    </w:p>
    <w:p>
      <w:pPr>
        <w:spacing w:after="0" w:line="17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b w:val="1"/>
          <w:bCs w:val="1"/>
          <w:color w:val="auto"/>
        </w:rPr>
        <w:t>Impaired OREO assets</w:t>
      </w:r>
      <w:r>
        <w:rPr>
          <w:rFonts w:ascii="Arial" w:cs="Arial" w:eastAsia="Arial" w:hAnsi="Arial"/>
          <w:sz w:val="17"/>
          <w:szCs w:val="17"/>
          <w:color w:val="auto"/>
        </w:rPr>
        <w:t>—If the Company determines an OREO asset is impaired it records an impairment charge to adjust the asset to its estimated</w:t>
      </w:r>
      <w:r>
        <w:rPr>
          <w:rFonts w:ascii="Arial" w:cs="Arial" w:eastAsia="Arial" w:hAnsi="Arial"/>
          <w:sz w:val="17"/>
          <w:szCs w:val="17"/>
          <w:b w:val="1"/>
          <w:bCs w:val="1"/>
          <w:color w:val="auto"/>
        </w:rPr>
        <w:t xml:space="preserve"> </w:t>
      </w:r>
      <w:r>
        <w:rPr>
          <w:rFonts w:ascii="Arial" w:cs="Arial" w:eastAsia="Arial" w:hAnsi="Arial"/>
          <w:sz w:val="17"/>
          <w:szCs w:val="17"/>
          <w:color w:val="auto"/>
        </w:rPr>
        <w:t>fair market value less costs to sell. Due to the nature of the individual properties in the OREO portfolio, the Company generally uses a discounted cash flow methodology through internally developed valuation models to estimate the fair value of the assets. This approach requires the Company to make judgments with respect to significant unobservable inputs, which may include discount rates, capitalization rates and the timing and amounts of estimated future cash flows. For income producing properties, cash flows generally include property revenues, operating costs and capital expenditures that are based on current observable market rates and estimates for market rate growth and occupancy levels. For other real estate, cash flows may include lot and unit sales that are based on current observable market rates and estimates for annual market rate growth, operating costs and costs of completion and the remaining inventory sell out periods. In more limited cases, the Company obtains external "as is" appraisals for real estate assets and appraised values may be discounted when real estate markets rapidly deteriorate. In some cases, if the Company is under contract to sell an asset it will mark the asset to the contracted sales price less costs to sell.</w:t>
      </w:r>
    </w:p>
    <w:p>
      <w:pPr>
        <w:spacing w:after="0" w:line="17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b w:val="1"/>
          <w:bCs w:val="1"/>
          <w:color w:val="auto"/>
        </w:rPr>
        <w:t>Impaired net lease assets</w:t>
      </w:r>
      <w:r>
        <w:rPr>
          <w:rFonts w:ascii="Arial" w:cs="Arial" w:eastAsia="Arial" w:hAnsi="Arial"/>
          <w:sz w:val="17"/>
          <w:szCs w:val="17"/>
          <w:color w:val="auto"/>
        </w:rPr>
        <w:t>—If the Company determines a net lease asset is impaired it records an impairment charge to mark the asset to its estimated</w:t>
      </w:r>
      <w:r>
        <w:rPr>
          <w:rFonts w:ascii="Arial" w:cs="Arial" w:eastAsia="Arial" w:hAnsi="Arial"/>
          <w:sz w:val="17"/>
          <w:szCs w:val="17"/>
          <w:b w:val="1"/>
          <w:bCs w:val="1"/>
          <w:color w:val="auto"/>
        </w:rPr>
        <w:t xml:space="preserve"> </w:t>
      </w:r>
      <w:r>
        <w:rPr>
          <w:rFonts w:ascii="Arial" w:cs="Arial" w:eastAsia="Arial" w:hAnsi="Arial"/>
          <w:sz w:val="17"/>
          <w:szCs w:val="17"/>
          <w:color w:val="auto"/>
        </w:rPr>
        <w:t>fair market value. Due to the nature of the individual properties in the net lease asset portfolio, the Company generally uses a discounted cash flow methodology through internally developed valuation models to estimate the fair value of the assets. This approach requires the Company to make judgments with respect to significant unobservable inputs, which may include discount rates, capitalization rates and the timing and amounts of estimated future cash flows. These cash flows are primarily based on expected future leasing rates and operating costs. In more limited cases, the Company obtains external "as is" appraisals for real estate assets and appraised values may be discounted when real estate markets rapidly deteriorate. In some cases, if the Company is under contract to sell an asset it will mark the asset to the contracted sales price less costs to sell.</w:t>
      </w:r>
    </w:p>
    <w:p>
      <w:pPr>
        <w:spacing w:after="0" w:line="172"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Loans and other lending investments</w:t>
      </w:r>
      <w:r>
        <w:rPr>
          <w:rFonts w:ascii="Arial" w:cs="Arial" w:eastAsia="Arial" w:hAnsi="Arial"/>
          <w:sz w:val="18"/>
          <w:szCs w:val="18"/>
          <w:color w:val="auto"/>
        </w:rPr>
        <w:t>—The Company estimates the fair value of its performing loans and other lending investments using a</w:t>
      </w:r>
      <w:r>
        <w:rPr>
          <w:rFonts w:ascii="Arial" w:cs="Arial" w:eastAsia="Arial" w:hAnsi="Arial"/>
          <w:sz w:val="18"/>
          <w:szCs w:val="18"/>
          <w:b w:val="1"/>
          <w:bCs w:val="1"/>
          <w:color w:val="auto"/>
        </w:rPr>
        <w:t xml:space="preserve"> </w:t>
      </w:r>
      <w:r>
        <w:rPr>
          <w:rFonts w:ascii="Arial" w:cs="Arial" w:eastAsia="Arial" w:hAnsi="Arial"/>
          <w:sz w:val="18"/>
          <w:szCs w:val="18"/>
          <w:color w:val="auto"/>
        </w:rPr>
        <w:t>discounted cash flow methodology. This method discounts estimated future cash flows using rates management determines best reflect current market interest rates that would be offered for loans with similar characteristics and credit quality. The Company determined that the significant inputs used to value its loans and other lending investments fall within Level 3 of the fair value hierarchy.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Debt obligations, net</w:t>
      </w:r>
      <w:r>
        <w:rPr>
          <w:rFonts w:ascii="Arial" w:cs="Arial" w:eastAsia="Arial" w:hAnsi="Arial"/>
          <w:sz w:val="18"/>
          <w:szCs w:val="18"/>
          <w:color w:val="auto"/>
        </w:rPr>
        <w:t>—For debt obligations traded in secondary markets, the Company uses market quotes, to the extent they are available, to</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fair value. For debt obligations not traded in secondary markets, the Company determines fair value using a discounted cash flow methodology, whereby contractual cash flows are discounted at rates that management determines best reflect current market interest rates that would be charged for debt with similar characteristics and credit quality. The Company has determined that the inputs used to value its debt obligations under the discounted cash flow methodology fall within Level 3 of the fair value hierarchy.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Reporting</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evaluates performance based on the following financial measures for each segment ($ in thousands):</w:t>
      </w:r>
    </w:p>
    <w:p>
      <w:pPr>
        <w:sectPr>
          <w:pgSz w:w="11900" w:h="16838" w:orient="portrait"/>
          <w:cols w:equalWidth="0" w:num="1">
            <w:col w:w="11420"/>
          </w:cols>
          <w:pgMar w:left="240" w:top="122" w:right="239" w:bottom="1440" w:gutter="0" w:footer="0" w:header="0"/>
        </w:sectPr>
      </w:pP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311"/>
              <w:spacing w:after="0"/>
              <w:rPr>
                <w:sz w:val="20"/>
                <w:szCs w:val="20"/>
                <w:color w:val="auto"/>
              </w:rPr>
            </w:pPr>
            <w:r>
              <w:rPr>
                <w:rFonts w:ascii="Arial" w:cs="Arial" w:eastAsia="Arial" w:hAnsi="Arial"/>
                <w:sz w:val="14"/>
                <w:szCs w:val="14"/>
                <w:b w:val="1"/>
                <w:bCs w:val="1"/>
                <w:color w:val="auto"/>
              </w:rPr>
              <w:t>Real Estate</w:t>
            </w:r>
          </w:p>
        </w:tc>
        <w:tc>
          <w:tcPr>
            <w:tcW w:w="220" w:type="dxa"/>
            <w:vAlign w:val="bottom"/>
          </w:tcPr>
          <w:p>
            <w:pPr>
              <w:spacing w:after="0"/>
              <w:rPr>
                <w:sz w:val="14"/>
                <w:szCs w:val="14"/>
                <w:color w:val="auto"/>
              </w:rPr>
            </w:pPr>
          </w:p>
        </w:tc>
      </w:tr>
      <w:tr>
        <w:trPr>
          <w:trHeight w:val="192"/>
        </w:trPr>
        <w:tc>
          <w:tcPr>
            <w:tcW w:w="3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Lending</w:t>
            </w:r>
          </w:p>
        </w:tc>
        <w:tc>
          <w:tcPr>
            <w:tcW w:w="220" w:type="dxa"/>
            <w:vAlign w:val="bottom"/>
          </w:tcPr>
          <w:p>
            <w:pPr>
              <w:spacing w:after="0"/>
              <w:rPr>
                <w:sz w:val="16"/>
                <w:szCs w:val="16"/>
                <w:color w:val="auto"/>
              </w:rPr>
            </w:pPr>
          </w:p>
        </w:tc>
      </w:tr>
      <w:tr>
        <w:trPr>
          <w:trHeight w:val="243"/>
        </w:trPr>
        <w:tc>
          <w:tcPr>
            <w:tcW w:w="3500" w:type="dxa"/>
            <w:vAlign w:val="bottom"/>
          </w:tcPr>
          <w:p>
            <w:pPr>
              <w:spacing w:after="0"/>
              <w:rPr>
                <w:sz w:val="20"/>
                <w:szCs w:val="20"/>
                <w:color w:val="auto"/>
              </w:rPr>
            </w:pPr>
            <w:r>
              <w:rPr>
                <w:rFonts w:ascii="Arial" w:cs="Arial" w:eastAsia="Arial" w:hAnsi="Arial"/>
                <w:sz w:val="18"/>
                <w:szCs w:val="18"/>
                <w:b w:val="1"/>
                <w:bCs w:val="1"/>
                <w:color w:val="auto"/>
                <w:w w:val="97"/>
              </w:rPr>
              <w:t>Three Months Ended September 30, 2012:</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Total revenue(2)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32,471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Earnings from equity method investments</w:t>
            </w:r>
          </w:p>
        </w:tc>
        <w:tc>
          <w:tcPr>
            <w:tcW w:w="26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Income from sales of residential property</w:t>
            </w:r>
          </w:p>
        </w:tc>
        <w:tc>
          <w:tcPr>
            <w:tcW w:w="26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Operating costs</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(1,479)</w:t>
            </w:r>
          </w:p>
        </w:tc>
        <w:tc>
          <w:tcPr>
            <w:tcW w:w="220" w:type="dxa"/>
            <w:vAlign w:val="bottom"/>
          </w:tcPr>
          <w:p>
            <w:pPr>
              <w:spacing w:after="0"/>
              <w:rPr>
                <w:sz w:val="23"/>
                <w:szCs w:val="23"/>
                <w:color w:val="auto"/>
              </w:rPr>
            </w:pPr>
          </w:p>
        </w:tc>
      </w:tr>
      <w:tr>
        <w:trPr>
          <w:trHeight w:val="27"/>
        </w:trPr>
        <w:tc>
          <w:tcPr>
            <w:tcW w:w="3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500" w:type="dxa"/>
            <w:vAlign w:val="bottom"/>
          </w:tcPr>
          <w:p>
            <w:pPr>
              <w:ind w:left="140"/>
              <w:spacing w:after="0"/>
              <w:rPr>
                <w:sz w:val="20"/>
                <w:szCs w:val="20"/>
                <w:color w:val="auto"/>
              </w:rPr>
            </w:pPr>
            <w:r>
              <w:rPr>
                <w:rFonts w:ascii="Arial" w:cs="Arial" w:eastAsia="Arial" w:hAnsi="Arial"/>
                <w:sz w:val="18"/>
                <w:szCs w:val="18"/>
                <w:color w:val="auto"/>
              </w:rPr>
              <w:t>Direct segment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30,992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Allocated interest expense</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(32,362)</w:t>
            </w:r>
          </w:p>
        </w:tc>
        <w:tc>
          <w:tcPr>
            <w:tcW w:w="220" w:type="dxa"/>
            <w:vAlign w:val="bottom"/>
          </w:tcPr>
          <w:p>
            <w:pPr>
              <w:spacing w:after="0"/>
              <w:rPr>
                <w:sz w:val="23"/>
                <w:szCs w:val="23"/>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Allocated general and administrative(3)</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(3,484)</w:t>
            </w:r>
          </w:p>
        </w:tc>
        <w:tc>
          <w:tcPr>
            <w:tcW w:w="220" w:type="dxa"/>
            <w:vAlign w:val="bottom"/>
          </w:tcPr>
          <w:p>
            <w:pPr>
              <w:spacing w:after="0"/>
              <w:rPr>
                <w:sz w:val="23"/>
                <w:szCs w:val="23"/>
                <w:color w:val="auto"/>
              </w:rPr>
            </w:pPr>
          </w:p>
        </w:tc>
      </w:tr>
      <w:tr>
        <w:trPr>
          <w:trHeight w:val="27"/>
        </w:trPr>
        <w:tc>
          <w:tcPr>
            <w:tcW w:w="3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500" w:type="dxa"/>
            <w:vAlign w:val="bottom"/>
          </w:tcPr>
          <w:p>
            <w:pPr>
              <w:ind w:left="140"/>
              <w:spacing w:after="0"/>
              <w:rPr>
                <w:sz w:val="20"/>
                <w:szCs w:val="20"/>
                <w:color w:val="auto"/>
              </w:rPr>
            </w:pPr>
            <w:r>
              <w:rPr>
                <w:rFonts w:ascii="Arial" w:cs="Arial" w:eastAsia="Arial" w:hAnsi="Arial"/>
                <w:sz w:val="18"/>
                <w:szCs w:val="18"/>
                <w:color w:val="auto"/>
              </w:rPr>
              <w:t>Segment profit (loss)(4)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Other significant non-cash items:</w:t>
            </w: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3500" w:type="dxa"/>
            <w:vAlign w:val="bottom"/>
          </w:tcPr>
          <w:p>
            <w:pPr>
              <w:ind w:left="140"/>
              <w:spacing w:after="0"/>
              <w:rPr>
                <w:sz w:val="20"/>
                <w:szCs w:val="20"/>
                <w:color w:val="auto"/>
              </w:rPr>
            </w:pPr>
            <w:r>
              <w:rPr>
                <w:rFonts w:ascii="Arial" w:cs="Arial" w:eastAsia="Arial" w:hAnsi="Arial"/>
                <w:sz w:val="18"/>
                <w:szCs w:val="18"/>
                <w:color w:val="auto"/>
              </w:rPr>
              <w:t>Provision for loan losses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16,834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ind w:left="140"/>
              <w:spacing w:after="0"/>
              <w:rPr>
                <w:sz w:val="20"/>
                <w:szCs w:val="20"/>
                <w:color w:val="auto"/>
              </w:rPr>
            </w:pPr>
            <w:r>
              <w:rPr>
                <w:rFonts w:ascii="Arial" w:cs="Arial" w:eastAsia="Arial" w:hAnsi="Arial"/>
                <w:sz w:val="18"/>
                <w:szCs w:val="18"/>
                <w:color w:val="auto"/>
              </w:rPr>
              <w:t>Impairment of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Capitalized expenditures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b w:val="1"/>
                <w:bCs w:val="1"/>
                <w:color w:val="auto"/>
                <w:w w:val="97"/>
              </w:rPr>
              <w:t>Three Months Ended September 30, 2011:</w:t>
            </w: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Total revenue(2)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47,290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w w:val="91"/>
              </w:rPr>
              <w:t>Earnings (loss) from equity method investments</w:t>
            </w:r>
          </w:p>
        </w:tc>
        <w:tc>
          <w:tcPr>
            <w:tcW w:w="26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Operating costs</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(1,382)</w:t>
            </w:r>
          </w:p>
        </w:tc>
        <w:tc>
          <w:tcPr>
            <w:tcW w:w="220" w:type="dxa"/>
            <w:vAlign w:val="bottom"/>
          </w:tcPr>
          <w:p>
            <w:pPr>
              <w:spacing w:after="0"/>
              <w:rPr>
                <w:sz w:val="23"/>
                <w:szCs w:val="23"/>
                <w:color w:val="auto"/>
              </w:rPr>
            </w:pPr>
          </w:p>
        </w:tc>
      </w:tr>
      <w:tr>
        <w:trPr>
          <w:trHeight w:val="27"/>
        </w:trPr>
        <w:tc>
          <w:tcPr>
            <w:tcW w:w="3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500" w:type="dxa"/>
            <w:vAlign w:val="bottom"/>
          </w:tcPr>
          <w:p>
            <w:pPr>
              <w:ind w:left="140"/>
              <w:spacing w:after="0"/>
              <w:rPr>
                <w:sz w:val="20"/>
                <w:szCs w:val="20"/>
                <w:color w:val="auto"/>
              </w:rPr>
            </w:pPr>
            <w:r>
              <w:rPr>
                <w:rFonts w:ascii="Arial" w:cs="Arial" w:eastAsia="Arial" w:hAnsi="Arial"/>
                <w:sz w:val="18"/>
                <w:szCs w:val="18"/>
                <w:color w:val="auto"/>
              </w:rPr>
              <w:t>Direct segment profit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45,908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Allocated interest expense</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(41,858)</w:t>
            </w:r>
          </w:p>
        </w:tc>
        <w:tc>
          <w:tcPr>
            <w:tcW w:w="220" w:type="dxa"/>
            <w:vAlign w:val="bottom"/>
          </w:tcPr>
          <w:p>
            <w:pPr>
              <w:spacing w:after="0"/>
              <w:rPr>
                <w:sz w:val="23"/>
                <w:szCs w:val="23"/>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Allocated general and administrative(3)</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(4,801)</w:t>
            </w:r>
          </w:p>
        </w:tc>
        <w:tc>
          <w:tcPr>
            <w:tcW w:w="220" w:type="dxa"/>
            <w:vAlign w:val="bottom"/>
          </w:tcPr>
          <w:p>
            <w:pPr>
              <w:spacing w:after="0"/>
              <w:rPr>
                <w:sz w:val="23"/>
                <w:szCs w:val="23"/>
                <w:color w:val="auto"/>
              </w:rPr>
            </w:pPr>
          </w:p>
        </w:tc>
      </w:tr>
      <w:tr>
        <w:trPr>
          <w:trHeight w:val="27"/>
        </w:trPr>
        <w:tc>
          <w:tcPr>
            <w:tcW w:w="3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500" w:type="dxa"/>
            <w:vAlign w:val="bottom"/>
          </w:tcPr>
          <w:p>
            <w:pPr>
              <w:ind w:left="140"/>
              <w:spacing w:after="0"/>
              <w:rPr>
                <w:sz w:val="20"/>
                <w:szCs w:val="20"/>
                <w:color w:val="auto"/>
              </w:rPr>
            </w:pPr>
            <w:r>
              <w:rPr>
                <w:rFonts w:ascii="Arial" w:cs="Arial" w:eastAsia="Arial" w:hAnsi="Arial"/>
                <w:sz w:val="18"/>
                <w:szCs w:val="18"/>
                <w:color w:val="auto"/>
              </w:rPr>
              <w:t>Segment profit (loss)(4)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Other significant non-cash items:</w:t>
            </w: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3500" w:type="dxa"/>
            <w:vAlign w:val="bottom"/>
          </w:tcPr>
          <w:p>
            <w:pPr>
              <w:ind w:left="140"/>
              <w:spacing w:after="0"/>
              <w:rPr>
                <w:sz w:val="20"/>
                <w:szCs w:val="20"/>
                <w:color w:val="auto"/>
              </w:rPr>
            </w:pPr>
            <w:r>
              <w:rPr>
                <w:rFonts w:ascii="Arial" w:cs="Arial" w:eastAsia="Arial" w:hAnsi="Arial"/>
                <w:sz w:val="18"/>
                <w:szCs w:val="18"/>
                <w:color w:val="auto"/>
              </w:rPr>
              <w:t>Provision for loan losses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9,232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ind w:left="140"/>
              <w:spacing w:after="0"/>
              <w:rPr>
                <w:sz w:val="20"/>
                <w:szCs w:val="20"/>
                <w:color w:val="auto"/>
              </w:rPr>
            </w:pPr>
            <w:r>
              <w:rPr>
                <w:rFonts w:ascii="Arial" w:cs="Arial" w:eastAsia="Arial" w:hAnsi="Arial"/>
                <w:sz w:val="18"/>
                <w:szCs w:val="18"/>
                <w:color w:val="auto"/>
              </w:rPr>
              <w:t>Impairment of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Capitalized expenditures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b w:val="1"/>
                <w:bCs w:val="1"/>
                <w:color w:val="auto"/>
              </w:rPr>
              <w:t>Nine Months Ended September 30, 2012:</w:t>
            </w: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Total revenue(2)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112,984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jc w:val="right"/>
              <w:ind w:right="631"/>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Real Estate</w:t>
            </w:r>
          </w:p>
        </w:tc>
        <w:tc>
          <w:tcPr>
            <w:tcW w:w="260" w:type="dxa"/>
            <w:vAlign w:val="bottom"/>
          </w:tcPr>
          <w:p>
            <w:pPr>
              <w:spacing w:after="0"/>
              <w:rPr>
                <w:sz w:val="14"/>
                <w:szCs w:val="14"/>
                <w:color w:val="auto"/>
              </w:rPr>
            </w:pPr>
          </w:p>
        </w:tc>
        <w:tc>
          <w:tcPr>
            <w:tcW w:w="1240" w:type="dxa"/>
            <w:vAlign w:val="bottom"/>
            <w:tcBorders>
              <w:right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51"/>
              <w:spacing w:after="0"/>
              <w:rPr>
                <w:sz w:val="20"/>
                <w:szCs w:val="20"/>
                <w:color w:val="auto"/>
              </w:rPr>
            </w:pPr>
            <w:r>
              <w:rPr>
                <w:rFonts w:ascii="Arial" w:cs="Arial" w:eastAsia="Arial" w:hAnsi="Arial"/>
                <w:sz w:val="14"/>
                <w:szCs w:val="14"/>
                <w:b w:val="1"/>
                <w:bCs w:val="1"/>
                <w:color w:val="auto"/>
              </w:rPr>
              <w:t>Company</w:t>
            </w:r>
          </w:p>
        </w:tc>
      </w:tr>
      <w:tr>
        <w:trPr>
          <w:trHeight w:val="192"/>
        </w:trPr>
        <w:tc>
          <w:tcPr>
            <w:tcW w:w="1080" w:type="dxa"/>
            <w:vAlign w:val="bottom"/>
          </w:tcPr>
          <w:p>
            <w:pPr>
              <w:jc w:val="right"/>
              <w:ind w:right="511"/>
              <w:spacing w:after="0"/>
              <w:rPr>
                <w:sz w:val="20"/>
                <w:szCs w:val="20"/>
                <w:color w:val="auto"/>
              </w:rPr>
            </w:pPr>
            <w:r>
              <w:rPr>
                <w:rFonts w:ascii="Arial" w:cs="Arial" w:eastAsia="Arial" w:hAnsi="Arial"/>
                <w:sz w:val="14"/>
                <w:szCs w:val="14"/>
                <w:b w:val="1"/>
                <w:bCs w:val="1"/>
                <w:color w:val="auto"/>
                <w:w w:val="86"/>
              </w:rPr>
              <w:t>Leasing</w:t>
            </w:r>
          </w:p>
        </w:tc>
        <w:tc>
          <w:tcPr>
            <w:tcW w:w="26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Investment</w:t>
            </w:r>
          </w:p>
        </w:tc>
        <w:tc>
          <w:tcPr>
            <w:tcW w:w="260" w:type="dxa"/>
            <w:vAlign w:val="bottom"/>
          </w:tcPr>
          <w:p>
            <w:pPr>
              <w:spacing w:after="0"/>
              <w:rPr>
                <w:sz w:val="16"/>
                <w:szCs w:val="16"/>
                <w:color w:val="auto"/>
              </w:rPr>
            </w:pPr>
          </w:p>
        </w:tc>
        <w:tc>
          <w:tcPr>
            <w:tcW w:w="1240" w:type="dxa"/>
            <w:vAlign w:val="bottom"/>
            <w:tcBorders>
              <w:right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Other(1)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513"/>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38,582</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14,276</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4"/>
                <w:szCs w:val="24"/>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86,247</w:t>
            </w:r>
          </w:p>
        </w:tc>
      </w:tr>
      <w:tr>
        <w:trPr>
          <w:trHeight w:val="27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667</w:t>
            </w: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20,499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22,719</w:t>
            </w:r>
          </w:p>
        </w:tc>
      </w:tr>
      <w:tr>
        <w:trPr>
          <w:trHeight w:val="27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15,584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15,584</w:t>
            </w:r>
          </w:p>
        </w:tc>
      </w:tr>
      <w:tr>
        <w:trPr>
          <w:trHeight w:val="270"/>
        </w:trPr>
        <w:tc>
          <w:tcPr>
            <w:tcW w:w="1080" w:type="dxa"/>
            <w:vAlign w:val="bottom"/>
          </w:tcPr>
          <w:p>
            <w:pPr>
              <w:jc w:val="right"/>
              <w:ind w:right="51"/>
              <w:spacing w:after="0"/>
              <w:rPr>
                <w:sz w:val="20"/>
                <w:szCs w:val="20"/>
                <w:color w:val="auto"/>
              </w:rPr>
            </w:pPr>
            <w:r>
              <w:rPr>
                <w:rFonts w:ascii="Arial" w:cs="Arial" w:eastAsia="Arial" w:hAnsi="Arial"/>
                <w:sz w:val="18"/>
                <w:szCs w:val="18"/>
                <w:color w:val="auto"/>
              </w:rPr>
              <w:t>(5,548)</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(32,396)</w:t>
            </w:r>
          </w:p>
        </w:tc>
      </w:tr>
      <w:tr>
        <w:trPr>
          <w:trHeight w:val="27"/>
        </w:trPr>
        <w:tc>
          <w:tcPr>
            <w:tcW w:w="1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33,701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6,959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20,502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92,154</w:t>
            </w:r>
          </w:p>
        </w:tc>
      </w:tr>
      <w:tr>
        <w:trPr>
          <w:trHeight w:val="270"/>
        </w:trPr>
        <w:tc>
          <w:tcPr>
            <w:tcW w:w="1080" w:type="dxa"/>
            <w:vAlign w:val="bottom"/>
          </w:tcPr>
          <w:p>
            <w:pPr>
              <w:jc w:val="right"/>
              <w:ind w:right="51"/>
              <w:spacing w:after="0"/>
              <w:rPr>
                <w:sz w:val="20"/>
                <w:szCs w:val="20"/>
                <w:color w:val="auto"/>
              </w:rPr>
            </w:pPr>
            <w:r>
              <w:rPr>
                <w:rFonts w:ascii="Arial" w:cs="Arial" w:eastAsia="Arial" w:hAnsi="Arial"/>
                <w:sz w:val="18"/>
                <w:szCs w:val="18"/>
                <w:color w:val="auto"/>
              </w:rPr>
              <w:t>(24,325)</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(91,777)</w:t>
            </w:r>
          </w:p>
        </w:tc>
      </w:tr>
      <w:tr>
        <w:trPr>
          <w:trHeight w:val="270"/>
        </w:trPr>
        <w:tc>
          <w:tcPr>
            <w:tcW w:w="1080" w:type="dxa"/>
            <w:vAlign w:val="bottom"/>
          </w:tcPr>
          <w:p>
            <w:pPr>
              <w:jc w:val="right"/>
              <w:ind w:right="51"/>
              <w:spacing w:after="0"/>
              <w:rPr>
                <w:sz w:val="20"/>
                <w:szCs w:val="20"/>
                <w:color w:val="auto"/>
              </w:rPr>
            </w:pPr>
            <w:r>
              <w:rPr>
                <w:rFonts w:ascii="Arial" w:cs="Arial" w:eastAsia="Arial" w:hAnsi="Arial"/>
                <w:sz w:val="18"/>
                <w:szCs w:val="18"/>
                <w:color w:val="auto"/>
              </w:rPr>
              <w:t>(2,619)</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(6,218)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(15,525)</w:t>
            </w:r>
          </w:p>
        </w:tc>
      </w:tr>
      <w:tr>
        <w:trPr>
          <w:trHeight w:val="27"/>
        </w:trPr>
        <w:tc>
          <w:tcPr>
            <w:tcW w:w="1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6,757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(26,009)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8,958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(15,148)</w:t>
            </w:r>
          </w:p>
        </w:tc>
      </w:tr>
      <w:tr>
        <w:trPr>
          <w:trHeight w:val="54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16,834</w:t>
            </w:r>
          </w:p>
        </w:tc>
      </w:tr>
      <w:tr>
        <w:trPr>
          <w:trHeight w:val="27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3,562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6,542</w:t>
            </w:r>
          </w:p>
        </w:tc>
      </w:tr>
      <w:tr>
        <w:trPr>
          <w:trHeight w:val="27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11,821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4,639</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16,787</w:t>
            </w:r>
          </w:p>
        </w:tc>
      </w:tr>
      <w:tr>
        <w:trPr>
          <w:trHeight w:val="27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2,577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10,445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13,022</w:t>
            </w:r>
          </w:p>
        </w:tc>
      </w:tr>
      <w:tr>
        <w:trPr>
          <w:trHeight w:val="54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38,322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8,207</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94,313</w:t>
            </w:r>
          </w:p>
        </w:tc>
      </w:tr>
      <w:tr>
        <w:trPr>
          <w:trHeight w:val="27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650</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11,434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10,817</w:t>
            </w:r>
          </w:p>
        </w:tc>
      </w:tr>
      <w:tr>
        <w:trPr>
          <w:trHeight w:val="270"/>
        </w:trPr>
        <w:tc>
          <w:tcPr>
            <w:tcW w:w="1080" w:type="dxa"/>
            <w:vAlign w:val="bottom"/>
          </w:tcPr>
          <w:p>
            <w:pPr>
              <w:jc w:val="right"/>
              <w:ind w:right="51"/>
              <w:spacing w:after="0"/>
              <w:rPr>
                <w:sz w:val="20"/>
                <w:szCs w:val="20"/>
                <w:color w:val="auto"/>
              </w:rPr>
            </w:pPr>
            <w:r>
              <w:rPr>
                <w:rFonts w:ascii="Arial" w:cs="Arial" w:eastAsia="Arial" w:hAnsi="Arial"/>
                <w:sz w:val="18"/>
                <w:szCs w:val="18"/>
                <w:color w:val="auto"/>
              </w:rPr>
              <w:t>(4,845)</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(28,611)</w:t>
            </w:r>
          </w:p>
        </w:tc>
      </w:tr>
      <w:tr>
        <w:trPr>
          <w:trHeight w:val="27"/>
        </w:trPr>
        <w:tc>
          <w:tcPr>
            <w:tcW w:w="1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34,127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(12,852)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9,336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76,519</w:t>
            </w:r>
          </w:p>
        </w:tc>
      </w:tr>
      <w:tr>
        <w:trPr>
          <w:trHeight w:val="270"/>
        </w:trPr>
        <w:tc>
          <w:tcPr>
            <w:tcW w:w="1080" w:type="dxa"/>
            <w:vAlign w:val="bottom"/>
          </w:tcPr>
          <w:p>
            <w:pPr>
              <w:jc w:val="right"/>
              <w:ind w:right="51"/>
              <w:spacing w:after="0"/>
              <w:rPr>
                <w:sz w:val="20"/>
                <w:szCs w:val="20"/>
                <w:color w:val="auto"/>
              </w:rPr>
            </w:pPr>
            <w:r>
              <w:rPr>
                <w:rFonts w:ascii="Arial" w:cs="Arial" w:eastAsia="Arial" w:hAnsi="Arial"/>
                <w:sz w:val="18"/>
                <w:szCs w:val="18"/>
                <w:color w:val="auto"/>
              </w:rPr>
              <w:t>(21,797)</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(20,387)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(6,617)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(90,659)</w:t>
            </w:r>
          </w:p>
        </w:tc>
      </w:tr>
      <w:tr>
        <w:trPr>
          <w:trHeight w:val="270"/>
        </w:trPr>
        <w:tc>
          <w:tcPr>
            <w:tcW w:w="1080" w:type="dxa"/>
            <w:vAlign w:val="bottom"/>
          </w:tcPr>
          <w:p>
            <w:pPr>
              <w:jc w:val="right"/>
              <w:ind w:right="51"/>
              <w:spacing w:after="0"/>
              <w:rPr>
                <w:sz w:val="20"/>
                <w:szCs w:val="20"/>
                <w:color w:val="auto"/>
              </w:rPr>
            </w:pPr>
            <w:r>
              <w:rPr>
                <w:rFonts w:ascii="Arial" w:cs="Arial" w:eastAsia="Arial" w:hAnsi="Arial"/>
                <w:sz w:val="18"/>
                <w:szCs w:val="18"/>
                <w:color w:val="auto"/>
              </w:rPr>
              <w:t>(2,628)</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(19,825)</w:t>
            </w:r>
          </w:p>
        </w:tc>
      </w:tr>
      <w:tr>
        <w:trPr>
          <w:trHeight w:val="27"/>
        </w:trPr>
        <w:tc>
          <w:tcPr>
            <w:tcW w:w="1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9,702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(35,577)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(7,339)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(33,965)</w:t>
            </w:r>
          </w:p>
        </w:tc>
      </w:tr>
      <w:tr>
        <w:trPr>
          <w:trHeight w:val="54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9,232</w:t>
            </w:r>
          </w:p>
        </w:tc>
      </w:tr>
      <w:tr>
        <w:trPr>
          <w:trHeight w:val="27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650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9,262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9,912</w:t>
            </w:r>
          </w:p>
        </w:tc>
      </w:tr>
      <w:tr>
        <w:trPr>
          <w:trHeight w:val="27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12,683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13,953</w:t>
            </w:r>
          </w:p>
        </w:tc>
      </w:tr>
      <w:tr>
        <w:trPr>
          <w:trHeight w:val="27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6,237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18,949</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25,186</w:t>
            </w:r>
          </w:p>
        </w:tc>
      </w:tr>
      <w:tr>
        <w:trPr>
          <w:trHeight w:val="54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114,990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43,425</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274,937</w:t>
            </w:r>
          </w:p>
        </w:tc>
      </w:tr>
      <w:tr>
        <w:trPr>
          <w:trHeight w:val="27"/>
        </w:trPr>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-4664710</wp:posOffset>
            </wp:positionV>
            <wp:extent cx="72294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-4321810</wp:posOffset>
            </wp:positionV>
            <wp:extent cx="7229475" cy="43224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432244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-5016500</wp:posOffset>
            </wp:positionV>
            <wp:extent cx="7229475"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380"/>
            <w:col w:w="5760"/>
          </w:cols>
          <w:pgMar w:left="240" w:top="122"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2"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Earnings from equity method investments</w:t>
            </w:r>
          </w:p>
        </w:tc>
        <w:tc>
          <w:tcPr>
            <w:tcW w:w="4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Income from sales of residential property</w:t>
            </w:r>
          </w:p>
        </w:tc>
        <w:tc>
          <w:tcPr>
            <w:tcW w:w="4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Operating costs</w:t>
            </w:r>
          </w:p>
        </w:tc>
        <w:tc>
          <w:tcPr>
            <w:tcW w:w="4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(3,906)</w:t>
            </w:r>
          </w:p>
        </w:tc>
        <w:tc>
          <w:tcPr>
            <w:tcW w:w="220" w:type="dxa"/>
            <w:vAlign w:val="bottom"/>
          </w:tcPr>
          <w:p>
            <w:pPr>
              <w:spacing w:after="0"/>
              <w:rPr>
                <w:sz w:val="23"/>
                <w:szCs w:val="23"/>
                <w:color w:val="auto"/>
              </w:rPr>
            </w:pPr>
          </w:p>
        </w:tc>
      </w:tr>
      <w:tr>
        <w:trPr>
          <w:trHeight w:val="27"/>
        </w:trPr>
        <w:tc>
          <w:tcPr>
            <w:tcW w:w="35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500" w:type="dxa"/>
            <w:vAlign w:val="bottom"/>
          </w:tcPr>
          <w:p>
            <w:pPr>
              <w:ind w:left="140"/>
              <w:spacing w:after="0"/>
              <w:rPr>
                <w:sz w:val="20"/>
                <w:szCs w:val="20"/>
                <w:color w:val="auto"/>
              </w:rPr>
            </w:pPr>
            <w:r>
              <w:rPr>
                <w:rFonts w:ascii="Arial" w:cs="Arial" w:eastAsia="Arial" w:hAnsi="Arial"/>
                <w:sz w:val="18"/>
                <w:szCs w:val="18"/>
                <w:color w:val="auto"/>
              </w:rPr>
              <w:t>Direct segment profit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109,078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Allocated interest expense</w:t>
            </w:r>
          </w:p>
        </w:tc>
        <w:tc>
          <w:tcPr>
            <w:tcW w:w="4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(101,975)</w:t>
            </w:r>
          </w:p>
        </w:tc>
        <w:tc>
          <w:tcPr>
            <w:tcW w:w="220" w:type="dxa"/>
            <w:vAlign w:val="bottom"/>
          </w:tcPr>
          <w:p>
            <w:pPr>
              <w:spacing w:after="0"/>
              <w:rPr>
                <w:sz w:val="23"/>
                <w:szCs w:val="23"/>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Allocated general and administrative(3)</w:t>
            </w:r>
          </w:p>
        </w:tc>
        <w:tc>
          <w:tcPr>
            <w:tcW w:w="4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(11,903)</w:t>
            </w:r>
          </w:p>
        </w:tc>
        <w:tc>
          <w:tcPr>
            <w:tcW w:w="220" w:type="dxa"/>
            <w:vAlign w:val="bottom"/>
          </w:tcPr>
          <w:p>
            <w:pPr>
              <w:spacing w:after="0"/>
              <w:rPr>
                <w:sz w:val="23"/>
                <w:szCs w:val="23"/>
                <w:color w:val="auto"/>
              </w:rPr>
            </w:pPr>
          </w:p>
        </w:tc>
      </w:tr>
      <w:tr>
        <w:trPr>
          <w:trHeight w:val="27"/>
        </w:trPr>
        <w:tc>
          <w:tcPr>
            <w:tcW w:w="35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500" w:type="dxa"/>
            <w:vAlign w:val="bottom"/>
          </w:tcPr>
          <w:p>
            <w:pPr>
              <w:ind w:left="140"/>
              <w:spacing w:after="0"/>
              <w:rPr>
                <w:sz w:val="20"/>
                <w:szCs w:val="20"/>
                <w:color w:val="auto"/>
              </w:rPr>
            </w:pPr>
            <w:r>
              <w:rPr>
                <w:rFonts w:ascii="Arial" w:cs="Arial" w:eastAsia="Arial" w:hAnsi="Arial"/>
                <w:sz w:val="18"/>
                <w:szCs w:val="18"/>
                <w:color w:val="auto"/>
              </w:rPr>
              <w:t>Segment profit (loss)(4)</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Other significant non-cash items:</w:t>
            </w: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3500" w:type="dxa"/>
            <w:vAlign w:val="bottom"/>
          </w:tcPr>
          <w:p>
            <w:pPr>
              <w:ind w:left="140"/>
              <w:spacing w:after="0"/>
              <w:rPr>
                <w:sz w:val="20"/>
                <w:szCs w:val="20"/>
                <w:color w:val="auto"/>
              </w:rPr>
            </w:pPr>
            <w:r>
              <w:rPr>
                <w:rFonts w:ascii="Arial" w:cs="Arial" w:eastAsia="Arial" w:hAnsi="Arial"/>
                <w:sz w:val="18"/>
                <w:szCs w:val="18"/>
                <w:color w:val="auto"/>
              </w:rPr>
              <w:t>Provision for loan losses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60,865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ind w:left="140"/>
              <w:spacing w:after="0"/>
              <w:rPr>
                <w:sz w:val="20"/>
                <w:szCs w:val="20"/>
                <w:color w:val="auto"/>
              </w:rPr>
            </w:pPr>
            <w:r>
              <w:rPr>
                <w:rFonts w:ascii="Arial" w:cs="Arial" w:eastAsia="Arial" w:hAnsi="Arial"/>
                <w:sz w:val="18"/>
                <w:szCs w:val="18"/>
                <w:color w:val="auto"/>
              </w:rPr>
              <w:t>Impairment of assets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Capitalized expenditures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b w:val="1"/>
                <w:bCs w:val="1"/>
                <w:color w:val="auto"/>
              </w:rPr>
              <w:t>Nine Months Ended September 30, 2011:</w:t>
            </w: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Total revenue(2)</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189,273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w w:val="91"/>
              </w:rPr>
              <w:t>Earnings (loss) from equity method investments</w:t>
            </w:r>
          </w:p>
        </w:tc>
        <w:tc>
          <w:tcPr>
            <w:tcW w:w="4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Operating costs</w:t>
            </w:r>
          </w:p>
        </w:tc>
        <w:tc>
          <w:tcPr>
            <w:tcW w:w="4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(1,697)</w:t>
            </w:r>
          </w:p>
        </w:tc>
        <w:tc>
          <w:tcPr>
            <w:tcW w:w="220" w:type="dxa"/>
            <w:vAlign w:val="bottom"/>
          </w:tcPr>
          <w:p>
            <w:pPr>
              <w:spacing w:after="0"/>
              <w:rPr>
                <w:sz w:val="23"/>
                <w:szCs w:val="23"/>
                <w:color w:val="auto"/>
              </w:rPr>
            </w:pPr>
          </w:p>
        </w:tc>
      </w:tr>
      <w:tr>
        <w:trPr>
          <w:trHeight w:val="27"/>
        </w:trPr>
        <w:tc>
          <w:tcPr>
            <w:tcW w:w="35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500" w:type="dxa"/>
            <w:vAlign w:val="bottom"/>
          </w:tcPr>
          <w:p>
            <w:pPr>
              <w:ind w:left="140"/>
              <w:spacing w:after="0"/>
              <w:rPr>
                <w:sz w:val="20"/>
                <w:szCs w:val="20"/>
                <w:color w:val="auto"/>
              </w:rPr>
            </w:pPr>
            <w:r>
              <w:rPr>
                <w:rFonts w:ascii="Arial" w:cs="Arial" w:eastAsia="Arial" w:hAnsi="Arial"/>
                <w:sz w:val="18"/>
                <w:szCs w:val="18"/>
                <w:color w:val="auto"/>
              </w:rPr>
              <w:t>Direct segment profit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187,576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Allocated interest expense</w:t>
            </w:r>
          </w:p>
        </w:tc>
        <w:tc>
          <w:tcPr>
            <w:tcW w:w="4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(127,105)</w:t>
            </w:r>
          </w:p>
        </w:tc>
        <w:tc>
          <w:tcPr>
            <w:tcW w:w="220" w:type="dxa"/>
            <w:vAlign w:val="bottom"/>
          </w:tcPr>
          <w:p>
            <w:pPr>
              <w:spacing w:after="0"/>
              <w:rPr>
                <w:sz w:val="23"/>
                <w:szCs w:val="23"/>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Allocated general and administrative(3)</w:t>
            </w:r>
          </w:p>
        </w:tc>
        <w:tc>
          <w:tcPr>
            <w:tcW w:w="4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(15,750)</w:t>
            </w:r>
          </w:p>
        </w:tc>
        <w:tc>
          <w:tcPr>
            <w:tcW w:w="220" w:type="dxa"/>
            <w:vAlign w:val="bottom"/>
          </w:tcPr>
          <w:p>
            <w:pPr>
              <w:spacing w:after="0"/>
              <w:rPr>
                <w:sz w:val="23"/>
                <w:szCs w:val="23"/>
                <w:color w:val="auto"/>
              </w:rPr>
            </w:pPr>
          </w:p>
        </w:tc>
      </w:tr>
      <w:tr>
        <w:trPr>
          <w:trHeight w:val="27"/>
        </w:trPr>
        <w:tc>
          <w:tcPr>
            <w:tcW w:w="35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500" w:type="dxa"/>
            <w:vAlign w:val="bottom"/>
          </w:tcPr>
          <w:p>
            <w:pPr>
              <w:ind w:left="140"/>
              <w:spacing w:after="0"/>
              <w:rPr>
                <w:sz w:val="20"/>
                <w:szCs w:val="20"/>
                <w:color w:val="auto"/>
              </w:rPr>
            </w:pPr>
            <w:r>
              <w:rPr>
                <w:rFonts w:ascii="Arial" w:cs="Arial" w:eastAsia="Arial" w:hAnsi="Arial"/>
                <w:sz w:val="18"/>
                <w:szCs w:val="18"/>
                <w:color w:val="auto"/>
              </w:rPr>
              <w:t>Segment profit (loss)(4)</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44,721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Other significant non-cash items:</w:t>
            </w: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3500" w:type="dxa"/>
            <w:vAlign w:val="bottom"/>
          </w:tcPr>
          <w:p>
            <w:pPr>
              <w:ind w:left="140"/>
              <w:spacing w:after="0"/>
              <w:rPr>
                <w:sz w:val="20"/>
                <w:szCs w:val="20"/>
                <w:color w:val="auto"/>
              </w:rPr>
            </w:pPr>
            <w:r>
              <w:rPr>
                <w:rFonts w:ascii="Arial" w:cs="Arial" w:eastAsia="Arial" w:hAnsi="Arial"/>
                <w:sz w:val="18"/>
                <w:szCs w:val="18"/>
                <w:color w:val="auto"/>
              </w:rPr>
              <w:t>Provision for loan losses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30,462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ind w:left="140"/>
              <w:spacing w:after="0"/>
              <w:rPr>
                <w:sz w:val="20"/>
                <w:szCs w:val="20"/>
                <w:color w:val="auto"/>
              </w:rPr>
            </w:pPr>
            <w:r>
              <w:rPr>
                <w:rFonts w:ascii="Arial" w:cs="Arial" w:eastAsia="Arial" w:hAnsi="Arial"/>
                <w:sz w:val="18"/>
                <w:szCs w:val="18"/>
                <w:color w:val="auto"/>
              </w:rPr>
              <w:t>Impairment of assets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Capitalized expenditures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b w:val="1"/>
                <w:bCs w:val="1"/>
                <w:color w:val="auto"/>
              </w:rPr>
              <w:t>As of September 30, 2012</w:t>
            </w: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2,146,287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b w:val="1"/>
                <w:bCs w:val="1"/>
                <w:color w:val="auto"/>
              </w:rPr>
              <w:t>As of December 31, 2011</w:t>
            </w: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2,892,240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1,962</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15,747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58,216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75,925</w:t>
            </w:r>
          </w:p>
        </w:tc>
      </w:tr>
      <w:tr>
        <w:trPr>
          <w:trHeight w:val="263"/>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35,583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35,583</w:t>
            </w:r>
          </w:p>
        </w:tc>
      </w:tr>
      <w:tr>
        <w:trPr>
          <w:trHeight w:val="27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(13,676)</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(68,952)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(89,382)</w:t>
            </w:r>
          </w:p>
        </w:tc>
      </w:tr>
      <w:tr>
        <w:trPr>
          <w:trHeight w:val="27"/>
        </w:trPr>
        <w:tc>
          <w:tcPr>
            <w:tcW w:w="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103,276</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25,803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58,906</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297,063</w:t>
            </w:r>
          </w:p>
        </w:tc>
      </w:tr>
      <w:tr>
        <w:trPr>
          <w:trHeight w:val="27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(70,526)</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(83,507)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(15,587)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(271,595)</w:t>
            </w:r>
          </w:p>
        </w:tc>
      </w:tr>
      <w:tr>
        <w:trPr>
          <w:trHeight w:val="27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(8,356)</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(9,747)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(20,043)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(50,049)</w:t>
            </w:r>
          </w:p>
        </w:tc>
      </w:tr>
      <w:tr>
        <w:trPr>
          <w:trHeight w:val="27"/>
        </w:trPr>
        <w:tc>
          <w:tcPr>
            <w:tcW w:w="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24,394</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(67,451)</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23,276</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(24,581)</w:t>
            </w:r>
          </w:p>
        </w:tc>
      </w:tr>
      <w:tr>
        <w:trPr>
          <w:trHeight w:val="54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60,865</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23,263</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5,301</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29,541</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34,781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13,079</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50,263</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5,565</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40,171</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45,736</w:t>
            </w:r>
          </w:p>
        </w:tc>
      </w:tr>
      <w:tr>
        <w:trPr>
          <w:trHeight w:val="54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114,075</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22,356</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327,293</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1,919</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(6,718)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59,680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54,881</w:t>
            </w:r>
          </w:p>
        </w:tc>
      </w:tr>
      <w:tr>
        <w:trPr>
          <w:trHeight w:val="27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(13,515)</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(55,582)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(5,459)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(76,253)</w:t>
            </w:r>
          </w:p>
        </w:tc>
      </w:tr>
      <w:tr>
        <w:trPr>
          <w:trHeight w:val="27"/>
        </w:trPr>
        <w:tc>
          <w:tcPr>
            <w:tcW w:w="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102,479</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(39,944)</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55,810</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305,921</w:t>
            </w:r>
          </w:p>
        </w:tc>
      </w:tr>
      <w:tr>
        <w:trPr>
          <w:trHeight w:val="27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(58,159)</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(53,080)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(17,161)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(255,505)</w:t>
            </w:r>
          </w:p>
        </w:tc>
      </w:tr>
      <w:tr>
        <w:trPr>
          <w:trHeight w:val="27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(7,538)</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(6,577)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(31,590)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(61,455)</w:t>
            </w:r>
          </w:p>
        </w:tc>
      </w:tr>
      <w:tr>
        <w:trPr>
          <w:trHeight w:val="27"/>
        </w:trPr>
        <w:tc>
          <w:tcPr>
            <w:tcW w:w="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36,782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(99,601)</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7,059</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(11,039)</w:t>
            </w:r>
          </w:p>
        </w:tc>
      </w:tr>
      <w:tr>
        <w:trPr>
          <w:trHeight w:val="54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30,462</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650</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12,643</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14,165</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37,897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4,315</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43,777</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11,138</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34,915</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46,053</w:t>
            </w:r>
          </w:p>
        </w:tc>
      </w:tr>
      <w:tr>
        <w:trPr>
          <w:trHeight w:val="54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1,683,434</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2,061,782</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1,048,916</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6,940,419</w:t>
            </w:r>
          </w:p>
        </w:tc>
      </w:tr>
      <w:tr>
        <w:trPr>
          <w:trHeight w:val="54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1,837,425</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1,982,420</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805,752</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7,517,837</w:t>
            </w:r>
          </w:p>
        </w:tc>
      </w:tr>
      <w:tr>
        <w:trPr>
          <w:trHeight w:val="27"/>
        </w:trPr>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-4836160</wp:posOffset>
            </wp:positionV>
            <wp:extent cx="72294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-4493260</wp:posOffset>
            </wp:positionV>
            <wp:extent cx="7229475" cy="43224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9475" cy="432244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5280" w:space="540"/>
            <w:col w:w="5600"/>
          </w:cols>
          <w:pgMar w:left="240" w:top="122" w:right="2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line="245"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Corporate/Other represents all corporate level and unallocated items including any intercompany eliminations necessary to reconcile to consolidated Company totals. This caption also includes the Company's joint venture investments and strategic investments that are not related to the other reportable segments above, including the Company's equity investment in LNR of $180.7 million and $159.8 million, as of September 30, 2012 and December 31, 2011, respectively, and the Company's share of equity in earnings from LNR of $15.2 million and $36.0 million, for the three and nine months ended September 30, 2012, respectively, and $12.5 million and $36.6 million for the three and nine months ended September 30, 2011. See Note 7 for further details on the Company's investment in LNR and summarized financial information of LNR.</w:t>
      </w:r>
    </w:p>
    <w:p>
      <w:pPr>
        <w:ind w:left="660" w:right="160" w:hanging="652"/>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Total revenue represents all revenue earned during the period related to the assets in each segment. Revenue from the Real Estate Lending segment primarily represents interest income, revenue from the Net Leasing segment primarily represents operating lease income and revenue from Real Estate Investment primarily represents operating revenues from REHI properties.</w:t>
      </w:r>
    </w:p>
    <w:p>
      <w:pPr>
        <w:spacing w:after="0" w:line="1" w:lineRule="exact"/>
        <w:rPr>
          <w:rFonts w:ascii="Arial" w:cs="Arial" w:eastAsia="Arial" w:hAnsi="Arial"/>
          <w:sz w:val="14"/>
          <w:szCs w:val="14"/>
          <w:color w:val="auto"/>
        </w:rPr>
      </w:pPr>
    </w:p>
    <w:p>
      <w:pPr>
        <w:ind w:left="660" w:right="40" w:hanging="652"/>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General and administrative excludes stock-based compensation expense of $3.5 million and $11.6 million for the three and nine months ended September 30, 2012, respectively, and $7.2 million and $15.6 million for the three and nine months ended September 30, 2011 respectively.</w:t>
      </w:r>
    </w:p>
    <w:p>
      <w:pPr>
        <w:ind w:left="660" w:hanging="652"/>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following is a reconciliation of segment profit (loss) to income (loss) from continuing operations ($ in thousands):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w w:val="93"/>
              </w:rPr>
              <w:t>For the Three Months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Nine Months</w:t>
            </w:r>
          </w:p>
        </w:tc>
        <w:tc>
          <w:tcPr>
            <w:tcW w:w="880" w:type="dxa"/>
            <w:vAlign w:val="bottom"/>
          </w:tcPr>
          <w:p>
            <w:pPr>
              <w:spacing w:after="0"/>
              <w:rPr>
                <w:sz w:val="14"/>
                <w:szCs w:val="14"/>
                <w:color w:val="auto"/>
              </w:rPr>
            </w:pPr>
          </w:p>
        </w:tc>
      </w:tr>
      <w:tr>
        <w:trPr>
          <w:trHeight w:val="192"/>
        </w:trPr>
        <w:tc>
          <w:tcPr>
            <w:tcW w:w="51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w w:val="92"/>
              </w:rPr>
              <w:t>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Ended September 30,</w:t>
            </w:r>
          </w:p>
        </w:tc>
      </w:tr>
      <w:tr>
        <w:trPr>
          <w:trHeight w:val="264"/>
        </w:trPr>
        <w:tc>
          <w:tcPr>
            <w:tcW w:w="51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w w:val="83"/>
              </w:rPr>
              <w:t>2011</w:t>
            </w:r>
          </w:p>
        </w:tc>
      </w:tr>
      <w:tr>
        <w:trPr>
          <w:trHeight w:val="256"/>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Segment profit (loss)</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5"/>
              </w:rPr>
              <w:t>(15,148)</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1"/>
              </w:rPr>
              <w:t>(33,965)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(24,581)</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(11,039)</w:t>
            </w:r>
          </w:p>
        </w:tc>
      </w:tr>
      <w:tr>
        <w:trPr>
          <w:trHeight w:val="264"/>
        </w:trPr>
        <w:tc>
          <w:tcPr>
            <w:tcW w:w="5140" w:type="dxa"/>
            <w:vAlign w:val="bottom"/>
          </w:tcPr>
          <w:p>
            <w:pPr>
              <w:ind w:left="40"/>
              <w:spacing w:after="0"/>
              <w:rPr>
                <w:sz w:val="20"/>
                <w:szCs w:val="20"/>
                <w:color w:val="auto"/>
              </w:rPr>
            </w:pPr>
            <w:r>
              <w:rPr>
                <w:rFonts w:ascii="Arial" w:cs="Arial" w:eastAsia="Arial" w:hAnsi="Arial"/>
                <w:sz w:val="14"/>
                <w:szCs w:val="14"/>
                <w:color w:val="auto"/>
              </w:rPr>
              <w:t>Less: Provision for loan losses</w:t>
            </w:r>
          </w:p>
        </w:tc>
        <w:tc>
          <w:tcPr>
            <w:tcW w:w="90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w w:val="95"/>
              </w:rPr>
              <w:t>(16,834)</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(9,232)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(60,865)</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(30,462)</w:t>
            </w:r>
          </w:p>
        </w:tc>
      </w:tr>
      <w:tr>
        <w:trPr>
          <w:trHeight w:val="276"/>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Impairment of assets</w:t>
            </w: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(6,542)</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(9,912)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(29,541)</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(14,165)</w:t>
            </w:r>
          </w:p>
        </w:tc>
      </w:tr>
      <w:tr>
        <w:trPr>
          <w:trHeight w:val="264"/>
        </w:trPr>
        <w:tc>
          <w:tcPr>
            <w:tcW w:w="5140" w:type="dxa"/>
            <w:vAlign w:val="bottom"/>
          </w:tcPr>
          <w:p>
            <w:pPr>
              <w:ind w:left="40"/>
              <w:spacing w:after="0"/>
              <w:rPr>
                <w:sz w:val="20"/>
                <w:szCs w:val="20"/>
                <w:color w:val="auto"/>
              </w:rPr>
            </w:pPr>
            <w:r>
              <w:rPr>
                <w:rFonts w:ascii="Arial" w:cs="Arial" w:eastAsia="Arial" w:hAnsi="Arial"/>
                <w:sz w:val="14"/>
                <w:szCs w:val="14"/>
                <w:color w:val="auto"/>
              </w:rPr>
              <w:t>Less: Stock-based compensation expense</w:t>
            </w:r>
          </w:p>
        </w:tc>
        <w:tc>
          <w:tcPr>
            <w:tcW w:w="90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(3,512)</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(7,153)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(11,625)</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(15,622)</w:t>
            </w:r>
          </w:p>
        </w:tc>
      </w:tr>
      <w:tr>
        <w:trPr>
          <w:trHeight w:val="276"/>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Depreciation and amortization</w:t>
            </w: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5"/>
              </w:rPr>
              <w:t>(16,787)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1"/>
              </w:rPr>
              <w:t>(13,953)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(50,263)</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(43,777)</w:t>
            </w:r>
          </w:p>
        </w:tc>
      </w:tr>
      <w:tr>
        <w:trPr>
          <w:trHeight w:val="264"/>
        </w:trPr>
        <w:tc>
          <w:tcPr>
            <w:tcW w:w="5140" w:type="dxa"/>
            <w:vAlign w:val="bottom"/>
          </w:tcPr>
          <w:p>
            <w:pPr>
              <w:ind w:left="40"/>
              <w:spacing w:after="0"/>
              <w:rPr>
                <w:sz w:val="20"/>
                <w:szCs w:val="20"/>
                <w:color w:val="auto"/>
              </w:rPr>
            </w:pPr>
            <w:r>
              <w:rPr>
                <w:rFonts w:ascii="Arial" w:cs="Arial" w:eastAsia="Arial" w:hAnsi="Arial"/>
                <w:sz w:val="14"/>
                <w:szCs w:val="14"/>
                <w:color w:val="auto"/>
              </w:rPr>
              <w:t>Less: Income tax expense</w:t>
            </w:r>
          </w:p>
        </w:tc>
        <w:tc>
          <w:tcPr>
            <w:tcW w:w="90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(1,791)</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(1,354)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(6,540)</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(9,731)</w:t>
            </w:r>
          </w:p>
        </w:tc>
      </w:tr>
      <w:tr>
        <w:trPr>
          <w:trHeight w:val="276"/>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Income from sales of residential property</w:t>
            </w: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5"/>
              </w:rPr>
              <w:t>(15,584)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(35,583)</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Add: Gain (loss) on early extinguishment of debt, net</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(3,694)</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(3,207)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(6,858)</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102,348</w:t>
            </w:r>
          </w:p>
        </w:tc>
      </w:tr>
      <w:tr>
        <w:trPr>
          <w:trHeight w:val="243"/>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 (loss) from continuing operations</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5"/>
              </w:rPr>
              <w:t>(79,892)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1"/>
              </w:rPr>
              <w:t>(78,776)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(225,856)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(22,448)</w:t>
            </w:r>
          </w:p>
        </w:tc>
      </w:tr>
      <w:tr>
        <w:trPr>
          <w:trHeight w:val="20"/>
        </w:trPr>
        <w:tc>
          <w:tcPr>
            <w:tcW w:w="5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17—Subsequent Events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October 1, 2012, the Company repaid, upon maturity, the $460.7 million remaining principal balance of its LIBOR + 0.50% senior unsecured convertible notes primarily with cash restricted for the repayment of indebtedness.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October 15, 2012, the Company entered into a $1.82 billion senior secured credit agreement due October 15, 2017 (the “New Credit Facility”). The New Credit Facility bears interest at a rate of LIBOR + 4.50%, with a 1.25% LIBOR floor, and was issued at 99.0% of par. Proceeds from the New Credit Facility were used to refinance the remaining outstanding balances of the Company’s existing 2011 Secured Credit Facilities.</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Borrowings under the New Credit Facility are collateralized by a first lien on a fixed pool of assets, with required minimum collateral coverage of not less than 125% of outstanding borrowings. If collateral coverage is less than 137.5% of outstanding borrowings, 100% of the proceeds from principal repayments and sales of collateral will be applied to repay outstanding borrowings under the New Credit Facility. For so long as collateral coverage is between 137.5% and 150% of outstanding borrowings, 50% of proceeds from principal repayments and sales of collateral will be applied to repay outstanding borrowings under the New Credit Facility and for so long as collateral coverage is greater than 150% of outstanding borrowings, the Company may retain all proceeds from principal repayments and sales of collateral. The Company retains proceeds from interest, rent, lease payments and fee income in all cases. The New Credit Facility contains certain covenants relating to the collateral, among other matters, but does not contain corporate level financial covenants. For so long as the Company maintains its qualification as a REIT, it is permitted to distribute 100% of its REIT taxable income on an annual basis. In addition, the Company may distribute to its stockholders real estate assets, or interests therein, having an aggregate equity value not to exceed $200 million, that are not collateral securing the borrowings under the New Credit Facility. Except for the distribution of real estate assets described in the preceding sentence, the Company may not pay common dividends if it ceases to qualify as a REIT.</w:t>
      </w:r>
    </w:p>
    <w:p>
      <w:pPr>
        <w:spacing w:after="0" w:line="1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After giving effect to the convertible debt repayment and the refinancing of the 2011 Secured Credit Facilities subsequent to quarter end, the Company's future scheduled maturities of outstanding long-term debt obligations are as follows ($ in thousands):</w:t>
      </w:r>
    </w:p>
    <w:p>
      <w:pPr>
        <w:spacing w:after="0" w:line="320" w:lineRule="exact"/>
        <w:rPr>
          <w:sz w:val="20"/>
          <w:szCs w:val="20"/>
          <w:color w:val="auto"/>
        </w:rPr>
      </w:pPr>
    </w:p>
    <w:tbl>
      <w:tblPr>
        <w:tblLayout w:type="fixed"/>
        <w:tblInd w:w="1700" w:type="dxa"/>
        <w:tblCellMar>
          <w:top w:w="0" w:type="dxa"/>
          <w:left w:w="0" w:type="dxa"/>
          <w:bottom w:w="0" w:type="dxa"/>
          <w:right w:w="0" w:type="dxa"/>
        </w:tblCellMar>
      </w:tblPr>
      <w:tr>
        <w:trPr>
          <w:trHeight w:val="264"/>
        </w:trPr>
        <w:tc>
          <w:tcPr>
            <w:tcW w:w="30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98"/>
              </w:rPr>
              <w:t>Unsecured Debt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b w:val="1"/>
                <w:bCs w:val="1"/>
                <w:color w:val="auto"/>
                <w:w w:val="93"/>
              </w:rPr>
              <w:t>Secured Debt</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2012 (remaining three months)</w:t>
            </w:r>
          </w:p>
        </w:tc>
        <w:tc>
          <w:tcPr>
            <w:tcW w:w="14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4,550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1,017,209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1,035,409</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2014</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200,601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75,453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276,054</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205,965</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2016</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261,403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141,200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402,603</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474,722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2,450,802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2,925,524</w:t>
            </w:r>
          </w:p>
        </w:tc>
        <w:tc>
          <w:tcPr>
            <w:tcW w:w="0" w:type="dxa"/>
            <w:vAlign w:val="bottom"/>
          </w:tcPr>
          <w:p>
            <w:pPr>
              <w:spacing w:after="0"/>
              <w:rPr>
                <w:sz w:val="1"/>
                <w:szCs w:val="1"/>
                <w:color w:val="auto"/>
              </w:rPr>
            </w:pPr>
          </w:p>
        </w:tc>
      </w:tr>
      <w:tr>
        <w:trPr>
          <w:trHeight w:val="257"/>
        </w:trPr>
        <w:tc>
          <w:tcPr>
            <w:tcW w:w="3080" w:type="dxa"/>
            <w:vAlign w:val="bottom"/>
          </w:tcPr>
          <w:p>
            <w:pPr>
              <w:ind w:left="20"/>
              <w:spacing w:after="0"/>
              <w:rPr>
                <w:sz w:val="20"/>
                <w:szCs w:val="20"/>
                <w:color w:val="auto"/>
              </w:rPr>
            </w:pPr>
            <w:r>
              <w:rPr>
                <w:rFonts w:ascii="Arial" w:cs="Arial" w:eastAsia="Arial" w:hAnsi="Arial"/>
                <w:sz w:val="18"/>
                <w:szCs w:val="18"/>
                <w:color w:val="auto"/>
              </w:rPr>
              <w:t>Total principal maturities</w:t>
            </w:r>
          </w:p>
        </w:tc>
        <w:tc>
          <w:tcPr>
            <w:tcW w:w="1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2,059,700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2,790,405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4,850,105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20" w:type="dxa"/>
            <w:vAlign w:val="bottom"/>
            <w:vMerge w:val="restart"/>
          </w:tcPr>
          <w:p>
            <w:pPr>
              <w:jc w:val="right"/>
              <w:ind w:right="110"/>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30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November 7, 2012, the Company priced two public offerings of debt securities: $300 million of unsecured 7.125% Senior Notes due 2018 and $175 million of unsecured 3.0% Convertible Senior Notes due 2016 (plus up to an additional $25 million of Convertible Senior Notes if the underwriters exercise their option to purchase additional notes in full). The Convertible Senior Notes are convertible into shares of our common stock at a conversion rate of 84.9582 shares per $1,000 principal amount of notes, which is equal to a conversion price of approximately $11.77 per share, subject to adjustment. The Company intends to use the net proceeds of the offerings to redeem its $67.1 million aggregate principal amount of 6.5% unsecured Senior Notes due 2013 and the remainder of the net proceeds to redeem a portion of its 8.625% unsecured Senior Notes due 2013. The offerings are not contingent on one another. The closings of the transactions are subject to customary closing conditions and there can be no assurance that either or both transactions will be completed.</w:t>
      </w:r>
    </w:p>
    <w:p>
      <w:pPr>
        <w:spacing w:after="0" w:line="16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East Coast of the United States has been significantly affected by Hurricane Sandy. The Company has been actively monitoring the impact of the hurricane on its assets located in the affected areas and as of the date of this report, the Company has not identified any physical damage to its assets that would reasonably be expected to have a material adverse effect on its business, and the Company has not been advised by any borrowers or tenants that they have suffered damages that would reasonably be expected to have a material adverse effect on the Company. The hurricane happened very recently, however, and there can be no assurance that the Company will not identify additional effects of the hurricane on its business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iStar Financial Inc.'s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10-Q and the uncertainties and risks described in Item 1A—"Risk Factors" in our 2011 Annual Report (as defined below), all of which could affect our future results of operations, financial condition and liquidity. For purposes of Management's Discussion and Analysis of Financial Condition and Results of Operations, the terms "we," "our" and "us" refer to iStar Financial Inc. and its consolidated subsidiaries, unless the context indicates otherwise.</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discussion below should be read in conjunction with our consolidated financial statements and related notes in this quarterly report on Form 10-Q and our annual report on Form 10-K for the year ended December 31, 2011 (the "2011 Annual Report"). These historical financial statements may not be indicative of our future performance. We have reclassified certain items in our consolidated financial statements of prior periods to conform to our current financial statements presentation.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iStar Financial Inc. is a fully-integrated finance and investment company focused on the commercial real estate industry. We provide custom-tailored investment capital to high-end private and corporate owners of real estate and invest directly across a range of real estate sectors. We are taxed as a real estate investment trust, or "REIT," and have invested more than $35 billion over the past two decades. Our primary business segments are lending, net leasing and real estate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For the quarter ended September 30, 2012, we recorded a net loss allocable to common shareholders of $(71.8) million, compared to a loss of $(62.2) million for the same period last year. Adjusted income (loss) allocable to common shareholders was $(26.0) million for the third quarter 2012, compared to $(19.0) million for the prior year. Both net income (loss) and adjusted income (loss) for the third quarter 2011 included $22.2 million of gains from discontinued operations. Excluding these gains, the year over year increase was due to income we are now generating from sales of residential property units, increased earnings from equity method investments, as well as a reduction in general and administrative costs. These improvements were partially offset by decreasing interest income from an overall smaller real estate finance portfolio and increased interest expense due to an elevated cost of capital which has impacted and will continue to impact earnings.</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quarter ended September 30, 2012, we generated a total of $318.0 million in proceeds from our portfolio, comprised primarily of $157.9 million in loan principal repayments, $146.6 million from sales of OREO assets, and $13.4 million from other investments. We used proceeds from asset sales and loan repayments to repay $147.7 million on the 2011 Tranche A-1 Facility and $66.4 million on the 2012 Tranche A-1 Facility. During the quarter, we funded a total of $28.4 million in investments.</w:t>
      </w:r>
    </w:p>
    <w:p>
      <w:pPr>
        <w:spacing w:after="0" w:line="18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As of September 30, 2012, we had $739.3 million of cash and restricted cash reserved for the repayment of debt. Subsequent to quarter end, we repaid the remaining $460.7 million balance on our senior unsecured convertible notes due October 2012 at maturity primarily with cash reserved for the repayment of indebtedness. In addition, subsequent to quarter end, we refinanced the balance of our 2011 Secured Credit Facilities with a new $1.82 billion senior secured credit facility. This new facility improves our debt maturity profile by extending the maturity from 2013 to October 2017, significantly reduces minimum amortization requirements and has a lower effective interest rate than the facilities it refinanced.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After giving effect to the convertible debt repayment and the refinancing of the 2011 Secured Credit Facilities subsequent to quarter end, our remaining debt maturities through 2013 total $1.04 billion. Consistent with how we have managed debt maturities in recent years, we expect to address these maturities with a combination of unrestricted cash, proceeds from asset repayments and sales and capital market transactions. We also expect to continue to strengthen our balance sheet through deleveraging and will make additional investments in our real estate portfolio to maximize its value.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September 30, 2012 compared to the Three Months Ended September 30, 2011</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4"/>
                <w:szCs w:val="14"/>
                <w:b w:val="1"/>
                <w:bCs w:val="1"/>
                <w:color w:val="auto"/>
                <w:w w:val="95"/>
              </w:rPr>
              <w:t>For the Three Months Ended September 30,</w:t>
            </w: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6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45,851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Operating lease income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38,582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38,322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260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86,247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94,313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91,777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90,659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Operating costs—net lease assets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5,548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4,845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703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costs—REHI and OREO</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4,662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16,787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13,953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2,834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16,834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9,232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7,602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82 %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183,373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179,345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Gain (loss) on early extinguishment of debt, net</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equity method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11,902</w:t>
            </w:r>
          </w:p>
        </w:tc>
        <w:tc>
          <w:tcPr>
            <w:tcW w:w="172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&gt;100%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32 %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72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&lt;100%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Gain from discontinued operations</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22,198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(22,198)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residential property</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15,584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(64,306)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(54,661)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—The decrease in interest income was primarily due to a decline in the average balance of performing loans to $1.59 billion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2012 from $2.42 billion for the same period in 2011. The decrease in performing loans was primarily due to loan repayments and sales as well as performing loans moving to non-performing status (see Risk Management below). For the three months ended September 30, 2012, performing loans generated a weighted average effective yield of 7.51% as compared to 7.15% in 2011.</w:t>
      </w:r>
    </w:p>
    <w:p>
      <w:pPr>
        <w:spacing w:after="0" w:line="18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As of September 30, 2012, net lease assets were 91.3% leased compared to 88.7% leased as of September 30, 2011. For the three months ended September 30, 2012, total net lease assets generated a weighted average effective yield of 8.6% compared to 8.5% during the same period in 2011.</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Within other income, revenue from REHI assets increased to $14.3 million during the three months ended September 30, 2012 from $8.2 million in the same period of 2011 due to an increase in the amount of REHI assets during the last 12 months.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Costs and expenses</w:t>
      </w:r>
      <w:r>
        <w:rPr>
          <w:rFonts w:ascii="Arial" w:cs="Arial" w:eastAsia="Arial" w:hAnsi="Arial"/>
          <w:sz w:val="18"/>
          <w:szCs w:val="18"/>
          <w:color w:val="auto"/>
        </w:rPr>
        <w:t>—Provisions for loan losses recorded during the three months ended September 30, 2012 included higher specific reserves on non-performing loans relative to the prior year; however, these were offset by a reduction in the general reserve primarily due to a reduction in the balance of performing loans outstanding during the current quarter.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Operating costs for REHI and OREO assets were greater during the three months ended September 30, 2012, primarily due to an increase in the number of properties held during the respective periods. In addition, due to the increase in REHI properties held, depreciation and amortization expense increased period to period.</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Interest expense increased primarily due to a higher weighted average cost of debt resulting from our 2012 Secured Credit Facility as well as our $275.0 million of 9.0% senior unsecured notes issued in May 2012, which refinanced debt with lower interest rates. Our weighted average effective cost of debt increased to 6.52% for the three months ended September 30, 2012 as compared to 5.79% during the same period in 2011. The increase was offset by a lower average outstanding balance of our debt which declined to $5.50 billion for the three months ended September 30, 2012 from $6.21 billion for the three months ended September 30, 2011.</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General and administrative expenses decreased primarily due to lower payroll and employee related costs resulting from staffing reductions as well as $3.6 million of lower stock-based compensation expense. Stock-based compensation expense was higher in 2011 due to the incremental expense associated with the July 2011 modification of our restricted stock units originally awarded on December 19, 2008.</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Impairments of assets for the three months ended September 30, 2012 primarily consisted of a $3.6 million impairment on an individual net lease asset.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Impairment of assets for the three months ended September 30, 2011 primarily consisted of $9.3 million on OREO assets.</w:t>
      </w:r>
    </w:p>
    <w:p>
      <w:pPr>
        <w:spacing w:after="0" w:line="2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Gain on early extinguishment of debt, net</w:t>
      </w:r>
      <w:r>
        <w:rPr>
          <w:rFonts w:ascii="Arial" w:cs="Arial" w:eastAsia="Arial" w:hAnsi="Arial"/>
          <w:sz w:val="18"/>
          <w:szCs w:val="18"/>
          <w:color w:val="auto"/>
        </w:rPr>
        <w:t>—During the three months ended September 30, 2012, we recorded a net loss on early extinguishment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of $3.7 million, related to the write-off of unamortized deferred financing fees resulting from repayments made on the A-1 Tranches of the 2011 and 2012 Secured Credit Facilities, as well as repurchases of our senior unsecured convertible notes. Losses related to the write-off of deferred financing fees were slightly lower during 2011 due to fewer early repayments of debt in that quarter.</w:t>
      </w:r>
    </w:p>
    <w:p>
      <w:pPr>
        <w:spacing w:after="0" w:line="18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b w:val="1"/>
          <w:bCs w:val="1"/>
          <w:i w:val="1"/>
          <w:iCs w:val="1"/>
          <w:color w:val="auto"/>
        </w:rPr>
        <w:t>Earnings from equity method investments</w:t>
      </w:r>
      <w:r>
        <w:rPr>
          <w:rFonts w:ascii="Arial" w:cs="Arial" w:eastAsia="Arial" w:hAnsi="Arial"/>
          <w:sz w:val="16"/>
          <w:szCs w:val="16"/>
          <w:color w:val="auto"/>
        </w:rPr>
        <w:t>—Earnings from equity method investments during the three months ended September 30, 2012, includes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$4.0 million of equity in earnings resulting from income from sales of residential property units recorded by one of our OREO investments where we hold an equity interest. The remaining increase was due to improved performance at certain of our strategic investments, primarily LNR and the Madison Funds.</w:t>
      </w:r>
    </w:p>
    <w:p>
      <w:pPr>
        <w:spacing w:after="0" w:line="14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Discontinued operations</w:t>
      </w:r>
      <w:r>
        <w:rPr>
          <w:rFonts w:ascii="Arial" w:cs="Arial" w:eastAsia="Arial" w:hAnsi="Arial"/>
          <w:sz w:val="18"/>
          <w:szCs w:val="18"/>
          <w:color w:val="auto"/>
        </w:rPr>
        <w:t>—During the three months ended September 30, 2011, we realized a $22.2 million gain from discontinued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deferred as part of the June 2010 sale of 32 net lease assets.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Income from sales of residential property</w:t>
      </w:r>
      <w:r>
        <w:rPr>
          <w:rFonts w:ascii="Arial" w:cs="Arial" w:eastAsia="Arial" w:hAnsi="Arial"/>
          <w:sz w:val="18"/>
          <w:szCs w:val="18"/>
          <w:color w:val="auto"/>
        </w:rPr>
        <w:t>—During the three months ended September 30, 2012, we sold OREO assets with a carrying value of $131.3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 portion of the properties sold were residential property units for which we recorded income of $15.6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Nine Months Ended September 30, 2012 compared to the Nine Months Ended September 30, 2011</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For the Nine Months Ended September 30,</w:t>
            </w: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6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104,822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186,805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(81,983)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Operating lease income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114,990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114,076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914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55,125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28,713</w:t>
            </w:r>
          </w:p>
        </w:tc>
        <w:tc>
          <w:tcPr>
            <w:tcW w:w="172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&gt;100%</w:t>
            </w: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274,937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327,293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(52,356)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271,595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255,505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16,090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Operating costs—net lease assets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13,676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13,515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161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costs—REHI and OREO</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68,952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50,263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43,777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6,486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61,674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77,077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60,865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30,462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30,403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15,376</w:t>
            </w:r>
          </w:p>
        </w:tc>
        <w:tc>
          <w:tcPr>
            <w:tcW w:w="172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&gt;100%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6,754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7,156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563,320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497,239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66,081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Gain (loss) on early extinguishment of debt, net</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102,348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(109,206)</w:t>
            </w:r>
          </w:p>
        </w:tc>
        <w:tc>
          <w:tcPr>
            <w:tcW w:w="1720" w:type="dxa"/>
            <w:vAlign w:val="bottom"/>
            <w:gridSpan w:val="2"/>
          </w:tcPr>
          <w:p>
            <w:pPr>
              <w:jc w:val="right"/>
              <w:ind w:right="188"/>
              <w:spacing w:after="0"/>
              <w:rPr>
                <w:sz w:val="20"/>
                <w:szCs w:val="20"/>
                <w:color w:val="auto"/>
              </w:rPr>
            </w:pPr>
            <w:r>
              <w:rPr>
                <w:rFonts w:ascii="Arial" w:cs="Arial" w:eastAsia="Arial" w:hAnsi="Arial"/>
                <w:sz w:val="18"/>
                <w:szCs w:val="18"/>
                <w:color w:val="auto"/>
              </w:rPr>
              <w:t>&lt;100%</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equity method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21,044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3,191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Gain from discontinued operations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27,257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22,198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5,059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23 %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residential property</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35,583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(161,484)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3,220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(164,704)</w:t>
            </w:r>
          </w:p>
        </w:tc>
        <w:tc>
          <w:tcPr>
            <w:tcW w:w="1720" w:type="dxa"/>
            <w:vAlign w:val="bottom"/>
            <w:gridSpan w:val="2"/>
          </w:tcPr>
          <w:p>
            <w:pPr>
              <w:jc w:val="right"/>
              <w:ind w:right="188"/>
              <w:spacing w:after="0"/>
              <w:rPr>
                <w:sz w:val="20"/>
                <w:szCs w:val="20"/>
                <w:color w:val="auto"/>
              </w:rPr>
            </w:pPr>
            <w:r>
              <w:rPr>
                <w:rFonts w:ascii="Arial" w:cs="Arial" w:eastAsia="Arial" w:hAnsi="Arial"/>
                <w:sz w:val="18"/>
                <w:szCs w:val="18"/>
                <w:color w:val="auto"/>
              </w:rPr>
              <w:t>&lt;100%</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—The decrease in interest income is primarily due to a decline in the average balance of performing loans to $1.74 billion for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2012 from $2.73 billion for the same period in 2011. The decrease in performing loans was primarily due to loan repayments and sales as well as performing loans moving to non-performing status (see Risk Management below). For the nine months ended September 30, 2012, performing loans generated a weighted average effective yield of 7.50% as compared to 7.49% in 2011. Additionally, during the nine months ended September 30, 2011, we recorded $26.3 million of interest income related to certain nonperforming loans that were resolved, including interest not previously recorded due to the loans being on non-accrual status.</w:t>
      </w:r>
    </w:p>
    <w:p>
      <w:pPr>
        <w:spacing w:after="0" w:line="193"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As of September 30, 2012, net lease assets were 91.3% leased compared to 88.7% leased as of September 30, 2011. For the nine months ended September 30, 2012, total net lease assets generated a weighted average effective yield of 8.7% compared to 8.3% during the same period in 2011.</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Within other income, revenue from REHI assets increased to $43.4 million during the nine months ended September 30, 2012 from $22.4 million in the same period of 2011 due to an increase in the amount of REHI assets during the last 12 months. In addition, during the nine months ended September 30, 2012, we recorded income of $6.4 million related to the sale of loans.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Costs and expenses</w:t>
      </w:r>
      <w:r>
        <w:rPr>
          <w:rFonts w:ascii="Arial" w:cs="Arial" w:eastAsia="Arial" w:hAnsi="Arial"/>
          <w:sz w:val="18"/>
          <w:szCs w:val="18"/>
          <w:color w:val="auto"/>
        </w:rPr>
        <w:t>—Provisions for loan losses recorded during the nine months ended September 30, 2012 included higher specific reserves on non-performing loans relative to the prior year as well as a reduction in the general reserve primarily due to a reduction in the balance of performing loans outstanding during that year.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Interest expense increased primarily due to a higher weighted average cost of debt resulting from our 2011 and 2012 Secured Credit Facilities as well as the $275.0 million of 9.0% senior unsecured notes issued in May 2012, which refinanced debt with lower interest rates. This increase was partially offset by lower average outstanding borrowings. Our weighted average effective cost of debt increased to 6.32% for the nine months ended September 30, 2012 as compared to 5.12% during the same period in 2011. The average outstanding balance of debt declined to $5.67 billion for the nine months ended September 30, 2012 from $6.65 billion for the nine months ended September 30, 2011.</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Impairments of assets for the nine months ended September 30, 2012 primarily consisted of $23.3 million of impairments on net lease assets, driven primarily by changes in business strategy for these assets and $5.3 million on OREO assets. For the nine months ended September 30, 2011 impairments consisted primarily of $12.6 million on OREO assets.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Operating costs for REHI and OREO were greater during the nine months ended September 30, 2012 primarily due to an increase in the number of properties held during the respective periods. In addition, due to the increase in REHI assets held, depreciation and amortization expense increased period to period.</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General and administrative expenses decreased primarily due to lower payroll and employee related costs resulting from staffing reductions as well as $4.0 million of lower stock-based compensation expense. Stock-based compensation expense was higher in 2011 due to the incremental expense associated with the July 2011 modification of our restricted stock units originally awarded on December 19, 2008.</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Gain on early extinguishment of debt, net</w:t>
      </w:r>
      <w:r>
        <w:rPr>
          <w:rFonts w:ascii="Arial" w:cs="Arial" w:eastAsia="Arial" w:hAnsi="Arial"/>
          <w:sz w:val="18"/>
          <w:szCs w:val="18"/>
          <w:color w:val="auto"/>
        </w:rPr>
        <w:t>—During the nine months ended September 30, 2012, net loss on early extinguishment of debt was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the write-off of deferred financing fees from repayments made on the A-1 Tranches of the 2011 and 2012 Secured Credit Facilities and repurchases of the senior unsecured convertible notes.</w:t>
      </w:r>
    </w:p>
    <w:p>
      <w:pPr>
        <w:spacing w:after="0" w:line="18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During the same period in 2011, we fully redeemed the $312.3 million remaining principal amount of 10% senior secured notes due June 2014 and recorded a $109.0 million gain on early extinguishment of debt. This was partially offset by losses on extinguishment of debt primarily related to the write-off of unamortized deferred financing fees resulting from repayments of our secured credit facilities and the 2011 Tranche A-1 facility.</w:t>
      </w:r>
    </w:p>
    <w:p>
      <w:pPr>
        <w:spacing w:after="0" w:line="16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Earnings from equity method investments</w:t>
      </w:r>
      <w:r>
        <w:rPr>
          <w:rFonts w:ascii="Arial" w:cs="Arial" w:eastAsia="Arial" w:hAnsi="Arial"/>
          <w:sz w:val="18"/>
          <w:szCs w:val="18"/>
          <w:color w:val="auto"/>
        </w:rPr>
        <w:t>—Earnings from equity method investments increased during the nine months ended September 30,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$22.2 million of equity in earnings resulting from income from sales of residential property units recorded by one of our OREO investments where we hold an equity interest. Earnings from certain of our other strategic investments increased due to better overall market performance. These increases were offset by the sale of our interests in Oak Hill Advisors, L.P. and related entities in October of 2011, which generated $8.8 million of earnings during the nine months ended September 30, 2011.</w:t>
      </w:r>
    </w:p>
    <w:p>
      <w:pPr>
        <w:spacing w:after="0" w:line="18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b w:val="1"/>
          <w:bCs w:val="1"/>
          <w:i w:val="1"/>
          <w:iCs w:val="1"/>
          <w:color w:val="auto"/>
        </w:rPr>
        <w:t>Income tax expense</w:t>
      </w:r>
      <w:r>
        <w:rPr>
          <w:rFonts w:ascii="Arial" w:cs="Arial" w:eastAsia="Arial" w:hAnsi="Arial"/>
          <w:sz w:val="16"/>
          <w:szCs w:val="16"/>
          <w:color w:val="auto"/>
        </w:rPr>
        <w:t>—Income tax expense for the nine months ended September 30, 2012 declined from the same period in the prior year primarily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our ability in the current year to utilize net operating loss carry forwards to offset much of the income generated by our taxable REIT subsidiaries.</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Discontinued operations</w:t>
      </w:r>
      <w:r>
        <w:rPr>
          <w:rFonts w:ascii="Arial" w:cs="Arial" w:eastAsia="Arial" w:hAnsi="Arial"/>
          <w:sz w:val="18"/>
          <w:szCs w:val="18"/>
          <w:color w:val="auto"/>
        </w:rPr>
        <w:t>—During the nine months ended September 30, 2012, we sold net lease assets with a carrying value of $115.5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a gain of $27.3 million. During the nine months ended September 30, 2011, we realized a $22.2 million gain from discontinued operations previously deferred as part of the June 2010 sale of a portfolio of 32 net lease assets. Income (loss) from discontinued operations includes operating results from net lease assets sold prior to September 30, 2012.</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Income from sales of residential property</w:t>
      </w:r>
      <w:r>
        <w:rPr>
          <w:rFonts w:ascii="Arial" w:cs="Arial" w:eastAsia="Arial" w:hAnsi="Arial"/>
          <w:sz w:val="18"/>
          <w:szCs w:val="18"/>
          <w:color w:val="auto"/>
        </w:rPr>
        <w:t>—During the nine months ended September 30, 2012, we sold OREO assets with a carrying value of $281.0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primarily comprised of sales of residential property units for which we recorded income of $35.6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 and Adjusted EBITDA</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addition to net income (loss), we use Adjusted income and Adjusted EBITDA to measure our operating performance. Adjusted income represents net income allocable to common shareholders, prior to the effect of depreciation and amortization, provision for loan losses, impairment of assets, stock-based compensation, and the gain (loss) on early extinguishment of debt. Adjusted EBITDA represents net income (loss) plus the sum of interest expense, income taxes, depreciation and amortization, provision for loan losses, impairment of assets and stock-based compensation expense, less the gain/loss on early extinguishment of debt.</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Adjusted income and Adjusted EBITDA are useful measures to consider, in addition to net income (loss), as they may help investors evaluate our core operating performance prior to certain non-cash items.</w:t>
      </w:r>
    </w:p>
    <w:p>
      <w:pPr>
        <w:spacing w:after="0" w:line="17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Adjusted income and Adjusted EBITDA should be examined in conjunction with net income (loss) as shown in our Consolidated Statements of Operations. Adjusted income and Adjusted EBITDA should not be considered as an alternative to net income (loss) (determined in accordance with GAAP), as an indicator of our performance, or to cash flows from operating activities (determined in accordance with GAAP) as a measure of our liquidity, nor are Adjusted income and Adjusted EBITDA indicative of funds available to fund our cash needs or available for distribution to shareholders. Rather, Adjusted income and Adjusted EBITDA are additional measures for us to use to analyze how our business is performing. It should be noted that our manner of calculating Adjusted income and Adjusted EBITDA may differ from the calculations of similarly-titled measures by other companies.</w:t>
      </w:r>
    </w:p>
    <w:p>
      <w:pPr>
        <w:spacing w:after="0" w:line="32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For the Three Months</w:t>
            </w:r>
          </w:p>
        </w:tc>
        <w:tc>
          <w:tcPr>
            <w:tcW w:w="220" w:type="dxa"/>
            <w:vAlign w:val="bottom"/>
          </w:tcPr>
          <w:p>
            <w:pPr>
              <w:spacing w:after="0"/>
              <w:rPr>
                <w:sz w:val="14"/>
                <w:szCs w:val="14"/>
                <w:color w:val="auto"/>
              </w:rPr>
            </w:pPr>
          </w:p>
        </w:tc>
        <w:tc>
          <w:tcPr>
            <w:tcW w:w="190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For the Nine Months</w:t>
            </w:r>
          </w:p>
        </w:tc>
      </w:tr>
      <w:tr>
        <w:trPr>
          <w:trHeight w:val="192"/>
        </w:trPr>
        <w:tc>
          <w:tcPr>
            <w:tcW w:w="4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Ended September 30,</w:t>
            </w:r>
          </w:p>
        </w:tc>
        <w:tc>
          <w:tcPr>
            <w:tcW w:w="220" w:type="dxa"/>
            <w:vAlign w:val="bottom"/>
          </w:tcPr>
          <w:p>
            <w:pPr>
              <w:spacing w:after="0"/>
              <w:rPr>
                <w:sz w:val="16"/>
                <w:szCs w:val="16"/>
                <w:color w:val="auto"/>
              </w:rPr>
            </w:pPr>
          </w:p>
        </w:tc>
        <w:tc>
          <w:tcPr>
            <w:tcW w:w="190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Ended September 30,</w:t>
            </w:r>
          </w:p>
        </w:tc>
      </w:tr>
      <w:tr>
        <w:trPr>
          <w:trHeight w:val="264"/>
        </w:trPr>
        <w:tc>
          <w:tcPr>
            <w:tcW w:w="44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2011</w:t>
            </w:r>
          </w:p>
        </w:tc>
      </w:tr>
      <w:tr>
        <w:trPr>
          <w:trHeight w:val="250"/>
        </w:trPr>
        <w:tc>
          <w:tcPr>
            <w:tcW w:w="4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income</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Net income (loss) allocable to common shareholders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(71,784)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(62,231)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8"/>
              </w:rPr>
              <w:t>(185,573)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(27,117)</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Depreciation and amortization (1)</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47,142</w:t>
            </w: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Add: Provision for loan losses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60,865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30,462</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Impairment of assets (2)</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14,140</w:t>
            </w: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Add: Stock-based compensation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7,153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11,625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15,622</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Less: (Gain)/loss on early extinguishment of debt,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(102,348)</w:t>
            </w: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Less: HPU/Participating Security allocation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4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Adjusted income (loss) allocable to common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(22,251)</w:t>
            </w:r>
          </w:p>
        </w:tc>
      </w:tr>
      <w:tr>
        <w:trPr>
          <w:trHeight w:val="20"/>
        </w:trPr>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right="20" w:hanging="652"/>
        <w:spacing w:after="0" w:line="269" w:lineRule="auto"/>
        <w:tabs>
          <w:tab w:leader="none" w:pos="6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For the nine months ended September 30, 2012, depreciation and amortization includes $943 of depreciation and amortization reclassified to discontinued operations. For the three and nine months ended September 30, 2011, depreciation and amortization includes $1,124 and $3,366, respectively, of depreciation and amortization reclassified to discontinued operations.</w:t>
      </w:r>
    </w:p>
    <w:p>
      <w:pPr>
        <w:spacing w:after="0" w:line="1" w:lineRule="exact"/>
        <w:rPr>
          <w:rFonts w:ascii="Arial" w:cs="Arial" w:eastAsia="Arial" w:hAnsi="Arial"/>
          <w:sz w:val="13"/>
          <w:szCs w:val="13"/>
          <w:color w:val="auto"/>
        </w:rPr>
      </w:pPr>
    </w:p>
    <w:p>
      <w:pPr>
        <w:ind w:left="660" w:hanging="652"/>
        <w:spacing w:after="0"/>
        <w:tabs>
          <w:tab w:leader="none" w:pos="6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For the nine months ended September 30, 2012 and 2011, impairment of assets includes $520 and $(25), respectively, of impairment of assets reclassified to discontinued operations.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5440" w:type="dxa"/>
            <w:vAlign w:val="bottom"/>
            <w:gridSpan w:val="2"/>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538"/>
        </w:trPr>
        <w:tc>
          <w:tcPr>
            <w:tcW w:w="1100" w:type="dxa"/>
            <w:vAlign w:val="bottom"/>
            <w:tcBorders>
              <w:top w:val="single" w:sz="8" w:color="0000FF"/>
            </w:tcBorders>
          </w:tcPr>
          <w:p>
            <w:pPr>
              <w:spacing w:after="0"/>
              <w:rPr>
                <w:sz w:val="24"/>
                <w:szCs w:val="24"/>
                <w:color w:val="auto"/>
              </w:rPr>
            </w:pPr>
          </w:p>
        </w:tc>
        <w:tc>
          <w:tcPr>
            <w:tcW w:w="4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6"/>
              </w:rPr>
              <w:t>For the Three Months</w:t>
            </w:r>
          </w:p>
        </w:tc>
        <w:tc>
          <w:tcPr>
            <w:tcW w:w="260" w:type="dxa"/>
            <w:vAlign w:val="bottom"/>
          </w:tcPr>
          <w:p>
            <w:pPr>
              <w:spacing w:after="0"/>
              <w:rPr>
                <w:sz w:val="24"/>
                <w:szCs w:val="24"/>
                <w:color w:val="auto"/>
              </w:rPr>
            </w:pPr>
          </w:p>
        </w:tc>
        <w:tc>
          <w:tcPr>
            <w:tcW w:w="230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94"/>
              </w:rPr>
              <w:t>For the Nine Months</w:t>
            </w:r>
          </w:p>
        </w:tc>
      </w:tr>
      <w:tr>
        <w:trPr>
          <w:trHeight w:val="192"/>
        </w:trPr>
        <w:tc>
          <w:tcPr>
            <w:tcW w:w="11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Ended September 30,</w:t>
            </w:r>
          </w:p>
        </w:tc>
        <w:tc>
          <w:tcPr>
            <w:tcW w:w="260" w:type="dxa"/>
            <w:vAlign w:val="bottom"/>
          </w:tcPr>
          <w:p>
            <w:pPr>
              <w:spacing w:after="0"/>
              <w:rPr>
                <w:sz w:val="16"/>
                <w:szCs w:val="16"/>
                <w:color w:val="auto"/>
              </w:rPr>
            </w:pPr>
          </w:p>
        </w:tc>
        <w:tc>
          <w:tcPr>
            <w:tcW w:w="230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w w:val="92"/>
              </w:rPr>
              <w:t>Ended September 30,</w:t>
            </w:r>
          </w:p>
        </w:tc>
      </w:tr>
      <w:tr>
        <w:trPr>
          <w:trHeight w:val="264"/>
        </w:trPr>
        <w:tc>
          <w:tcPr>
            <w:tcW w:w="110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r>
      <w:tr>
        <w:trPr>
          <w:trHeight w:val="196"/>
        </w:trPr>
        <w:tc>
          <w:tcPr>
            <w:tcW w:w="11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6"/>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544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(64,306)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(54,661)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(161,484)</w:t>
            </w:r>
          </w:p>
        </w:tc>
        <w:tc>
          <w:tcPr>
            <w:tcW w:w="100" w:type="dxa"/>
            <w:vAlign w:val="bottom"/>
          </w:tcPr>
          <w:p>
            <w:pPr>
              <w:spacing w:after="0"/>
              <w:rPr>
                <w:sz w:val="21"/>
                <w:szCs w:val="21"/>
                <w:color w:val="auto"/>
              </w:rPr>
            </w:pPr>
          </w:p>
        </w:tc>
        <w:tc>
          <w:tcPr>
            <w:tcW w:w="32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3,220</w:t>
            </w:r>
          </w:p>
        </w:tc>
      </w:tr>
      <w:tr>
        <w:trPr>
          <w:trHeight w:val="27"/>
        </w:trPr>
        <w:tc>
          <w:tcPr>
            <w:tcW w:w="1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 Interest expense(1)</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91,777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91,777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272,659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258,183</w:t>
            </w:r>
          </w:p>
        </w:tc>
      </w:tr>
      <w:tr>
        <w:trPr>
          <w:trHeight w:val="243"/>
        </w:trPr>
        <w:tc>
          <w:tcPr>
            <w:tcW w:w="5440" w:type="dxa"/>
            <w:vAlign w:val="bottom"/>
            <w:gridSpan w:val="2"/>
          </w:tcPr>
          <w:p>
            <w:pPr>
              <w:ind w:left="180"/>
              <w:spacing w:after="0"/>
              <w:rPr>
                <w:sz w:val="20"/>
                <w:szCs w:val="20"/>
                <w:color w:val="auto"/>
              </w:rPr>
            </w:pPr>
            <w:r>
              <w:rPr>
                <w:rFonts w:ascii="Arial" w:cs="Arial" w:eastAsia="Arial" w:hAnsi="Arial"/>
                <w:sz w:val="18"/>
                <w:szCs w:val="18"/>
                <w:color w:val="auto"/>
              </w:rPr>
              <w:t>Add: Income tax expense</w:t>
            </w: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1,791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6,540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9,731</w:t>
            </w:r>
          </w:p>
        </w:tc>
      </w:tr>
      <w:tr>
        <w:trPr>
          <w:trHeight w:val="27"/>
        </w:trPr>
        <w:tc>
          <w:tcPr>
            <w:tcW w:w="1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 Depreciation and amortization(2)</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16,787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51,205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47,142</w:t>
            </w:r>
          </w:p>
        </w:tc>
      </w:tr>
      <w:tr>
        <w:trPr>
          <w:trHeight w:val="237"/>
        </w:trPr>
        <w:tc>
          <w:tcPr>
            <w:tcW w:w="5440" w:type="dxa"/>
            <w:vAlign w:val="bottom"/>
            <w:gridSpan w:val="2"/>
          </w:tcPr>
          <w:p>
            <w:pPr>
              <w:ind w:left="180"/>
              <w:spacing w:after="0"/>
              <w:rPr>
                <w:sz w:val="20"/>
                <w:szCs w:val="20"/>
                <w:color w:val="auto"/>
              </w:rPr>
            </w:pPr>
            <w:r>
              <w:rPr>
                <w:rFonts w:ascii="Arial" w:cs="Arial" w:eastAsia="Arial" w:hAnsi="Arial"/>
                <w:sz w:val="18"/>
                <w:szCs w:val="18"/>
                <w:color w:val="auto"/>
              </w:rPr>
              <w:t>EBITDA</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46,049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53,547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168,920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318,276</w:t>
            </w:r>
          </w:p>
        </w:tc>
      </w:tr>
      <w:tr>
        <w:trPr>
          <w:trHeight w:val="27"/>
        </w:trPr>
        <w:tc>
          <w:tcPr>
            <w:tcW w:w="1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 Provision for loan losses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60,865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30,462</w:t>
            </w:r>
          </w:p>
        </w:tc>
      </w:tr>
      <w:tr>
        <w:trPr>
          <w:trHeight w:val="243"/>
        </w:trPr>
        <w:tc>
          <w:tcPr>
            <w:tcW w:w="5440" w:type="dxa"/>
            <w:vAlign w:val="bottom"/>
            <w:gridSpan w:val="2"/>
          </w:tcPr>
          <w:p>
            <w:pPr>
              <w:ind w:left="180"/>
              <w:spacing w:after="0"/>
              <w:rPr>
                <w:sz w:val="20"/>
                <w:szCs w:val="20"/>
                <w:color w:val="auto"/>
              </w:rPr>
            </w:pPr>
            <w:r>
              <w:rPr>
                <w:rFonts w:ascii="Arial" w:cs="Arial" w:eastAsia="Arial" w:hAnsi="Arial"/>
                <w:sz w:val="18"/>
                <w:szCs w:val="18"/>
                <w:color w:val="auto"/>
              </w:rPr>
              <w:t>Add: Impairment of assets(3)</w:t>
            </w: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6,542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9,912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30,061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14,140</w:t>
            </w:r>
          </w:p>
        </w:tc>
      </w:tr>
      <w:tr>
        <w:trPr>
          <w:trHeight w:val="27"/>
        </w:trPr>
        <w:tc>
          <w:tcPr>
            <w:tcW w:w="1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 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15,622</w:t>
            </w:r>
          </w:p>
        </w:tc>
      </w:tr>
      <w:tr>
        <w:trPr>
          <w:trHeight w:val="243"/>
        </w:trPr>
        <w:tc>
          <w:tcPr>
            <w:tcW w:w="5440" w:type="dxa"/>
            <w:vAlign w:val="bottom"/>
            <w:gridSpan w:val="2"/>
          </w:tcPr>
          <w:p>
            <w:pPr>
              <w:ind w:left="180"/>
              <w:spacing w:after="0"/>
              <w:rPr>
                <w:sz w:val="20"/>
                <w:szCs w:val="20"/>
                <w:color w:val="auto"/>
              </w:rPr>
            </w:pPr>
            <w:r>
              <w:rPr>
                <w:rFonts w:ascii="Arial" w:cs="Arial" w:eastAsia="Arial" w:hAnsi="Arial"/>
                <w:sz w:val="18"/>
                <w:szCs w:val="18"/>
                <w:color w:val="auto"/>
              </w:rPr>
              <w:t>Less: (Gain)/loss on early extinguishment of debt, net</w:t>
            </w: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3,694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6,858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(102,348)</w:t>
            </w:r>
          </w:p>
        </w:tc>
      </w:tr>
      <w:tr>
        <w:trPr>
          <w:trHeight w:val="27"/>
        </w:trPr>
        <w:tc>
          <w:tcPr>
            <w:tcW w:w="110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76,631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83,051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278,329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276,152</w:t>
            </w:r>
          </w:p>
        </w:tc>
      </w:tr>
      <w:tr>
        <w:trPr>
          <w:trHeight w:val="20"/>
        </w:trPr>
        <w:tc>
          <w:tcPr>
            <w:tcW w:w="11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line="250"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For the nine months ended September 30, 2012, interest expense includes $1,064 of interest expense reclassified to discontinued operations. For the three and nine months ended September 30, 2011, interest expense includes $1,118 and $2,678, respectively, of interest expense reclassified to discontinued operations.</w:t>
      </w:r>
    </w:p>
    <w:p>
      <w:pPr>
        <w:ind w:left="660" w:right="20" w:hanging="652"/>
        <w:spacing w:after="0" w:line="260" w:lineRule="auto"/>
        <w:tabs>
          <w:tab w:leader="none" w:pos="6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For the nine months ended September 30, 2012, depreciation and amortization includes $943 of depreciation and amortization reclassified to discontinued operations. For the three and nine months ended September 30, 2011, depreciation and amortization includes $1,124 and $3,366, respectively, of depreciation and amortization reclassified to discontinued operations.</w:t>
      </w:r>
    </w:p>
    <w:p>
      <w:pPr>
        <w:ind w:left="660" w:hanging="652"/>
        <w:spacing w:after="0"/>
        <w:tabs>
          <w:tab w:leader="none" w:pos="6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For the nine months ended September 30, 2012 and 2011, impairment of assets includes $520 and $(25), respectively, of impairment of assets reclassified to discontinued operations.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Loan Credit Statistics</w:t>
      </w:r>
      <w:r>
        <w:rPr>
          <w:rFonts w:ascii="Arial" w:cs="Arial" w:eastAsia="Arial" w:hAnsi="Arial"/>
          <w:sz w:val="18"/>
          <w:szCs w:val="18"/>
          <w:color w:val="auto"/>
        </w:rPr>
        <w:t>—The table below summarizes our non-performing loans, watch list loans and the reserves for loan losses associated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loans ($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auto"/>
            </w:tcBorders>
          </w:tcPr>
          <w:p>
            <w:pPr>
              <w:spacing w:after="0"/>
              <w:rPr>
                <w:sz w:val="16"/>
                <w:szCs w:val="16"/>
                <w:color w:val="auto"/>
              </w:rPr>
            </w:pPr>
          </w:p>
        </w:tc>
      </w:tr>
      <w:tr>
        <w:trPr>
          <w:trHeight w:val="264"/>
        </w:trPr>
        <w:tc>
          <w:tcPr>
            <w:tcW w:w="7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2012</w:t>
            </w:r>
          </w:p>
        </w:tc>
        <w:tc>
          <w:tcPr>
            <w:tcW w:w="220" w:type="dxa"/>
            <w:vAlign w:val="bottom"/>
          </w:tcPr>
          <w:p>
            <w:pPr>
              <w:spacing w:after="0"/>
              <w:rPr>
                <w:sz w:val="22"/>
                <w:szCs w:val="22"/>
                <w:color w:val="auto"/>
              </w:rPr>
            </w:pPr>
          </w:p>
        </w:tc>
        <w:tc>
          <w:tcPr>
            <w:tcW w:w="1560" w:type="dxa"/>
            <w:vAlign w:val="bottom"/>
          </w:tcPr>
          <w:p>
            <w:pPr>
              <w:jc w:val="right"/>
              <w:ind w:right="232"/>
              <w:spacing w:after="0"/>
              <w:rPr>
                <w:sz w:val="20"/>
                <w:szCs w:val="20"/>
                <w:color w:val="auto"/>
              </w:rPr>
            </w:pPr>
            <w:r>
              <w:rPr>
                <w:rFonts w:ascii="Arial" w:cs="Arial" w:eastAsia="Arial" w:hAnsi="Arial"/>
                <w:sz w:val="14"/>
                <w:szCs w:val="14"/>
                <w:b w:val="1"/>
                <w:bCs w:val="1"/>
                <w:color w:val="auto"/>
                <w:w w:val="96"/>
              </w:rPr>
              <w:t>December 31, 2011</w:t>
            </w:r>
          </w:p>
        </w:tc>
      </w:tr>
      <w:tr>
        <w:trPr>
          <w:trHeight w:val="250"/>
        </w:trPr>
        <w:tc>
          <w:tcPr>
            <w:tcW w:w="7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Non-performing loans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Carrying value(1)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4"/>
              <w:spacing w:after="0"/>
              <w:rPr>
                <w:sz w:val="20"/>
                <w:szCs w:val="20"/>
                <w:color w:val="auto"/>
              </w:rPr>
            </w:pPr>
            <w:r>
              <w:rPr>
                <w:rFonts w:ascii="Arial" w:cs="Arial" w:eastAsia="Arial" w:hAnsi="Arial"/>
                <w:sz w:val="18"/>
                <w:szCs w:val="18"/>
                <w:color w:val="auto"/>
              </w:rPr>
              <w:t>639,907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771,196</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a percentage of total carrying value of loans</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b w:val="1"/>
                <w:bCs w:val="1"/>
                <w:color w:val="auto"/>
              </w:rPr>
              <w:t>Watch list loans</w:t>
            </w: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18,796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136,006</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As a percentage of total carrying value of loans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Reserve for loan losses</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Total reserve for loan losses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4"/>
              <w:spacing w:after="0"/>
              <w:rPr>
                <w:sz w:val="20"/>
                <w:szCs w:val="20"/>
                <w:color w:val="auto"/>
              </w:rPr>
            </w:pPr>
            <w:r>
              <w:rPr>
                <w:rFonts w:ascii="Arial" w:cs="Arial" w:eastAsia="Arial" w:hAnsi="Arial"/>
                <w:sz w:val="18"/>
                <w:szCs w:val="18"/>
                <w:color w:val="auto"/>
              </w:rPr>
              <w:t>543,498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646,624</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 a percentage of total loans before loan loss reserves</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Non-performing loan asset-specific reserves for loan losses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4"/>
              <w:spacing w:after="0"/>
              <w:rPr>
                <w:sz w:val="20"/>
                <w:szCs w:val="20"/>
                <w:color w:val="auto"/>
              </w:rPr>
            </w:pPr>
            <w:r>
              <w:rPr>
                <w:rFonts w:ascii="Arial" w:cs="Arial" w:eastAsia="Arial" w:hAnsi="Arial"/>
                <w:sz w:val="18"/>
                <w:szCs w:val="18"/>
                <w:color w:val="auto"/>
              </w:rPr>
              <w:t>490,639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557,129</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a percentage of gross carrying value of non-performing loans</w:t>
            </w: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7"/>
        </w:trPr>
        <w:tc>
          <w:tcPr>
            <w:tcW w:w="7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right="600" w:hanging="652"/>
        <w:spacing w:after="0" w:line="273"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 of September 30, 2012 and December 31, 2011, carrying values of non-performing loans, net of asset-specific reserves for loan losses are $490.6 million and $557.1 million, respectively.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4"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Non-Performing Loans</w:t>
      </w:r>
      <w:r>
        <w:rPr>
          <w:rFonts w:ascii="Arial" w:cs="Arial" w:eastAsia="Arial" w:hAnsi="Arial"/>
          <w:sz w:val="18"/>
          <w:szCs w:val="18"/>
          <w:color w:val="auto"/>
        </w:rPr>
        <w:t>—We designate loans as non-performing at such time as: (1) the loan becomes 90 days delinquent; (2) the loan has a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default; or (3) management determines it is probable that it will be unable to collect all amounts due according to the contractual terms of the loan. All non-performing loans are placed on non-accrual status and income is only recognized in certain cases upon actual cash receipt. As of September 30, 2012, we had non-performing loans with an aggregate carrying value of $639.9 million. Our non-performing loans decreased during the nine months ended September 30, 2012, primarily due to transfers of non-performing loans to REHI and OREO.</w:t>
      </w:r>
    </w:p>
    <w:p>
      <w:pPr>
        <w:spacing w:after="0" w:line="18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b w:val="1"/>
          <w:bCs w:val="1"/>
          <w:i w:val="1"/>
          <w:iCs w:val="1"/>
          <w:color w:val="auto"/>
        </w:rPr>
        <w:t>Watch List Loans</w:t>
      </w:r>
      <w:r>
        <w:rPr>
          <w:rFonts w:ascii="Arial" w:cs="Arial" w:eastAsia="Arial" w:hAnsi="Arial"/>
          <w:sz w:val="18"/>
          <w:szCs w:val="18"/>
          <w:color w:val="auto"/>
        </w:rPr>
        <w:t>—During our quarterly loan portfolio assessments, loans are put on the watch list if deteriorating performance indicates they warrant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higher degree of monitoring and senior management attention. As of September 30, 2012, we had loans on the watch list with a combined carrying value of $18.8 million.</w:t>
      </w:r>
    </w:p>
    <w:p>
      <w:pPr>
        <w:spacing w:after="0" w:line="18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b w:val="1"/>
          <w:bCs w:val="1"/>
          <w:i w:val="1"/>
          <w:iCs w:val="1"/>
          <w:color w:val="auto"/>
        </w:rPr>
        <w:t>Reserve for Loan Losses</w:t>
      </w:r>
      <w:r>
        <w:rPr>
          <w:rFonts w:ascii="Arial" w:cs="Arial" w:eastAsia="Arial" w:hAnsi="Arial"/>
          <w:sz w:val="16"/>
          <w:szCs w:val="16"/>
          <w:color w:val="auto"/>
        </w:rPr>
        <w:t>—The reserve for loan losses was $543.5 million as of September 30, 2012, or 20.4% of the gross carrying value of total loans,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$646.6 million or 18.5% at December 31, 2011. The change in the balance of the reserve was the result of $60.9 million of provisioning for loan losses, reduced by $164.0 million of charge-offs during the nine months ended September 30, 2012. Due to the continued volatility of the commercial real estate market, the process of estimating collateral values and reserves require us to use significant judgment. In addition, the process of estimating values and reserves for our European assets (which had a carrying value of $226.4 million as of September 30, 2012), is subject to additional risks related to the continued economic uncertainty in the Eurozone. We currently believe there are adequate collateral and reserves to support the carrying values of the loans.</w:t>
      </w:r>
    </w:p>
    <w:p>
      <w:pPr>
        <w:spacing w:after="0" w:line="16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reserve for loan losses includes an asset-specific component and a formula-based component. An asset-specific reserve is established for an impaired loan when the estimated fair value of the loan's collateral less costs to sell is lower than the carrying value of the loan. As of September 30, 2012, asset-specific reserves decreased to $505.9 million compared to $573.1 million at December 31, 2011, primarily due to charge-offs on assets that were sold or transferred to REHI and OREO. The decrease was partially offset by additional reserves established on new non-performing loans.</w:t>
      </w:r>
    </w:p>
    <w:p>
      <w:pPr>
        <w:spacing w:after="0" w:line="17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formula-based general reserve is derived from estimated principal default probabilities and loss severities applied to groups of performing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about their credit quality based on all known and relevant factors that may affect collectability. We consider,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general reserve decreased to $37.6 million or 2.5% of the gross carrying value of performing loans as of September 30, 2012, compared to $73.5 million or 3.4% of the gross carrying value of performing loans at December 31, 2011. This reduction is primarily attributable to the reduction in the balance of performing loans combined with an improvement in the weighted average risk ratings of performing loans to 3.08 as of September 30, 2012 compared to 3.29 as of December 31, 2011.</w:t>
      </w:r>
    </w:p>
    <w:p>
      <w:pPr>
        <w:spacing w:after="0" w:line="18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b w:val="1"/>
          <w:bCs w:val="1"/>
          <w:i w:val="1"/>
          <w:iCs w:val="1"/>
          <w:color w:val="auto"/>
        </w:rPr>
        <w:t>Real Estate Held for Investment, net and Other Real Estate Owned</w:t>
      </w:r>
      <w:r>
        <w:rPr>
          <w:rFonts w:ascii="Arial" w:cs="Arial" w:eastAsia="Arial" w:hAnsi="Arial"/>
          <w:sz w:val="17"/>
          <w:szCs w:val="17"/>
          <w:color w:val="auto"/>
        </w:rPr>
        <w:t>—REHI and OREO consist of properties acquired through foreclosure or by deed-in-lieu of foreclosure in full or partial satisfaction of non-performing loans. Properties are designated as REHI or OREO depending on our strategic plan to realize the maximum value from the collateral received. When we intend to hold, operate or develop the property for a period of at least 12 months, assets are classified as REHI, and when we intend to market these properties for sale in the near term, assets are classified as OREO. As of September 30, 2012 we had $1.17 billion of assets classified as REHI and $706.7 million as OREO. During the three and nine months ended September 30, 2012, we recorded impairment charges of $1.5 million and $5.3 million, respectively, on OREO assets due to changing market conditions. The continued volatility of the commercial real estate market requires us to use significant judgment in estimating fair values of REHI and OREO properties at the time of transfer and thereafter when events or circumstances indicate there may be a potential impairment. Additionally, we will continue to incur holding and operating costs related to REHI and OREO assets while they are being marketed for sale or redeveloped and repositioned. During the nine months ended September 30, 2012, REHI and OREO assets generated $79.0 million of combined revenue and income from sales of residential property units, which was offset by $69.0 million of net expenses.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Risk concentrations</w:t>
      </w:r>
      <w:r>
        <w:rPr>
          <w:rFonts w:ascii="Arial" w:cs="Arial" w:eastAsia="Arial" w:hAnsi="Arial"/>
          <w:sz w:val="18"/>
          <w:szCs w:val="18"/>
          <w:color w:val="auto"/>
        </w:rPr>
        <w:t>—As of September 30, 2012, our total investment portfolio was comprised of the following property/collateral types ($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thousands)(1):</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Performing</w:t>
            </w:r>
          </w:p>
        </w:tc>
        <w:tc>
          <w:tcPr>
            <w:tcW w:w="260" w:type="dxa"/>
            <w:vAlign w:val="bottom"/>
          </w:tcPr>
          <w:p>
            <w:pPr>
              <w:spacing w:after="0"/>
              <w:rPr>
                <w:sz w:val="14"/>
                <w:szCs w:val="14"/>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Net Lease</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Non-</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6"/>
              </w:rPr>
              <w:t>Property/Collateral Types</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performing</w:t>
            </w:r>
          </w:p>
        </w:tc>
        <w:tc>
          <w:tcPr>
            <w:tcW w:w="320" w:type="dxa"/>
            <w:vAlign w:val="bottom"/>
          </w:tcPr>
          <w:p>
            <w:pPr>
              <w:spacing w:after="0"/>
              <w:rPr>
                <w:sz w:val="12"/>
                <w:szCs w:val="12"/>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REHI</w:t>
            </w:r>
          </w:p>
        </w:tc>
        <w:tc>
          <w:tcPr>
            <w:tcW w:w="240" w:type="dxa"/>
            <w:vAlign w:val="bottom"/>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OREO</w:t>
            </w:r>
          </w:p>
        </w:tc>
        <w:tc>
          <w:tcPr>
            <w:tcW w:w="32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2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1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Loans</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Loans</w:t>
            </w: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55,987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215,650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768,604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127,518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1,291,757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9"/>
        </w:trPr>
        <w:tc>
          <w:tcPr>
            <w:tcW w:w="1700" w:type="dxa"/>
            <w:vAlign w:val="bottom"/>
          </w:tcPr>
          <w:p>
            <w:pPr>
              <w:ind w:left="40"/>
              <w:spacing w:after="0"/>
              <w:rPr>
                <w:sz w:val="20"/>
                <w:szCs w:val="20"/>
                <w:color w:val="auto"/>
              </w:rPr>
            </w:pPr>
            <w:r>
              <w:rPr>
                <w:rFonts w:ascii="Arial" w:cs="Arial" w:eastAsia="Arial" w:hAnsi="Arial"/>
                <w:sz w:val="18"/>
                <w:szCs w:val="18"/>
                <w:color w:val="auto"/>
              </w:rPr>
              <w:t>Apartment /</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24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264,497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64,892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388,712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723,724</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114,547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461,289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35,767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678,967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color w:val="auto"/>
              </w:rPr>
              <w:t>Industrial / R&amp;D</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87,228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460,109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7,874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48,384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603,595</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251,703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52,823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132,868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581,021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1700" w:type="dxa"/>
            <w:vAlign w:val="bottom"/>
          </w:tcPr>
          <w:p>
            <w:pPr>
              <w:ind w:left="40"/>
              <w:spacing w:after="0"/>
              <w:rPr>
                <w:sz w:val="20"/>
                <w:szCs w:val="20"/>
                <w:color w:val="auto"/>
              </w:rPr>
            </w:pPr>
            <w:r>
              <w:rPr>
                <w:rFonts w:ascii="Arial" w:cs="Arial" w:eastAsia="Arial" w:hAnsi="Arial"/>
                <w:sz w:val="18"/>
                <w:szCs w:val="18"/>
                <w:color w:val="auto"/>
              </w:rPr>
              <w:t>Entertainment /</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40"/>
              <w:spacing w:after="0"/>
              <w:rPr>
                <w:sz w:val="20"/>
                <w:szCs w:val="20"/>
                <w:color w:val="auto"/>
              </w:rPr>
            </w:pPr>
            <w:r>
              <w:rPr>
                <w:rFonts w:ascii="Arial" w:cs="Arial" w:eastAsia="Arial" w:hAnsi="Arial"/>
                <w:sz w:val="18"/>
                <w:szCs w:val="18"/>
                <w:color w:val="auto"/>
              </w:rPr>
              <w:t>Leisure</w:t>
            </w:r>
          </w:p>
        </w:tc>
        <w:tc>
          <w:tcPr>
            <w:tcW w:w="24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61,700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417,755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73,100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552,743</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Mixed Use / Mixed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Collateral</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236,437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169,921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467,238</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color w:val="auto"/>
              </w:rPr>
              <w:t>Hotel</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210,339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92,501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94,469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33,856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22,141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453,306</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Other property types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165,967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226,106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419,648</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1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1,516,416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1,540,464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639,907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1,174,955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706,715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5,998,105</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the carrying value of our total investment portfolio gross of general loan loss reserves.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2012, our total investment portfolio had the following characteristics by geographical region ($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Geographic Region</w:t>
            </w: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Carrying</w:t>
            </w:r>
          </w:p>
        </w:tc>
        <w:tc>
          <w:tcPr>
            <w:tcW w:w="15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8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Value(1)</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1,380,038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Northeast</w:t>
            </w: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1,099,046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Southeast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855,888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Southwest</w:t>
            </w: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798,372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Mid-Atlantic</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591,048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Various</w:t>
            </w: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405,711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(2)</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357,652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Central</w:t>
            </w: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319,628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Northwest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190,722</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7"/>
        </w:trPr>
        <w:tc>
          <w:tcPr>
            <w:tcW w:w="826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5,998,105</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the carrying value of our total investment portfolio gross of general loan loss reserves.</w:t>
      </w:r>
    </w:p>
    <w:p>
      <w:pPr>
        <w:spacing w:after="0" w:line="13" w:lineRule="exact"/>
        <w:rPr>
          <w:rFonts w:ascii="Arial" w:cs="Arial" w:eastAsia="Arial" w:hAnsi="Arial"/>
          <w:sz w:val="14"/>
          <w:szCs w:val="14"/>
          <w:color w:val="auto"/>
        </w:rPr>
      </w:pPr>
    </w:p>
    <w:p>
      <w:pPr>
        <w:ind w:left="660" w:hanging="652"/>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$226.4 million of European assets.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quarter ended September 30, 2012, we generated a total of $318.0 million in proceeds from our portfolio, comprised primarily of $157.9 million in loan principal repayments, $146.6 million from sales of OREO assets and $13.4 million from other investments. We also funded a total of $28.4 million in investments.</w:t>
      </w:r>
    </w:p>
    <w:p>
      <w:pPr>
        <w:spacing w:after="0" w:line="18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used proceeds from asset sales and loan repayments to repay $147.7 million on the 2011 Tranche A-1 Facility and $66.4 million on the 2012 Tranche A-1 Facility. Based on the total amount repaid to date, we have exceeded the minimum required amortization repayments due on the 2012 Tranche A-1 Facility though December 31, 2013.</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September 30, 2012, our debt maturities and minimum amortization requirements due before December 31, 2013 included $460.7 million of unsecured convertible notes due in October 2012, $1.02 billion of unsecured notes due in 2013, and $648.3 million of secured debt due in 2013. We had $739.3 million of cash and restricted cash reserved for the repayment of debt as of September 30, 2012. Subsequent to quarter end, we repaid our $460.7 million of senior unsecured convertible notes primarily with cash restricted for the repayment of indebtedness. In addition, subsequent to quarter end, we refinanced our 2011 Secured Credit Facilities with a new $1.82 billion senior secured credit facility. After giving effect to the convertible debt repayment and the refinancing of the 2011 Secured Credit Facilities subsequent to quarter end, remaining debt maturities and minimum amortization requirements due before December 31, 2013 total $1.04 billion. See Subsequent Events for further details.</w:t>
      </w:r>
    </w:p>
    <w:p>
      <w:pPr>
        <w:spacing w:after="0" w:line="13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capital sources to meet our remaining debt maturities through 2013 will primarily include cash on hand as well as debt refinancings, proceeds from unencumbered asset sales and loan repayments from borrowers, and may include equity capital raising transactions. As of September 30, 2012, we had unencumbered assets with a carrying value of approximately $3.33 billion.</w:t>
      </w:r>
    </w:p>
    <w:p>
      <w:pPr>
        <w:spacing w:after="0" w:line="1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Based on the dynamic nature of our assets and our liquidity plan and the time frame in which we need to generate liquidity, the specific assets, nature of the transactions, timing and amount of asset sales and refinancing transactions could vary and are subject to factors outside our control and cannot be predicted with certainty. We may adjust our plans in response to changes in our expectations and changes in market conditions. In addition, although there have been early signs of improvement in the commercial real estate and credit markets during the past two years, such markets remain volatile and it is not possible for us to predict whether these trends will continue in the future or to quantify the impact of these or other trends on our financial results. If we fail to repay our obligations as they become due, it would be an event of default under the relevant debt instruments, which could result in a cross-default and acceleration of our other outstanding debt obligations, all of which would have a material adverse effect on our business.</w:t>
      </w:r>
    </w:p>
    <w:p>
      <w:pPr>
        <w:spacing w:after="0" w:line="1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Contractual Obligations</w:t>
      </w:r>
      <w:r>
        <w:rPr>
          <w:rFonts w:ascii="Arial" w:cs="Arial" w:eastAsia="Arial" w:hAnsi="Arial"/>
          <w:sz w:val="18"/>
          <w:szCs w:val="18"/>
          <w:color w:val="auto"/>
        </w:rPr>
        <w:t>—The following table outlines the contractual obligations related to our long-term debt agreements and operating 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as of September 30, 2012 (see Note 9 of the Notes to the Consolidated Financial Statements).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Principal And Interest Payments Due By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122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Less Than 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ind w:right="514"/>
              <w:spacing w:after="0" w:line="153" w:lineRule="exact"/>
              <w:rPr>
                <w:sz w:val="20"/>
                <w:szCs w:val="20"/>
                <w:color w:val="auto"/>
              </w:rPr>
            </w:pPr>
            <w:r>
              <w:rPr>
                <w:rFonts w:ascii="Arial" w:cs="Arial" w:eastAsia="Arial" w:hAnsi="Arial"/>
                <w:sz w:val="14"/>
                <w:szCs w:val="14"/>
                <w:b w:val="1"/>
                <w:bCs w:val="1"/>
                <w:color w:val="auto"/>
              </w:rPr>
              <w:t>2 - 3</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jc w:val="right"/>
              <w:ind w:right="513"/>
              <w:spacing w:after="0" w:line="153" w:lineRule="exact"/>
              <w:rPr>
                <w:sz w:val="20"/>
                <w:szCs w:val="20"/>
                <w:color w:val="auto"/>
              </w:rPr>
            </w:pPr>
            <w:r>
              <w:rPr>
                <w:rFonts w:ascii="Arial" w:cs="Arial" w:eastAsia="Arial" w:hAnsi="Arial"/>
                <w:sz w:val="14"/>
                <w:szCs w:val="14"/>
                <w:b w:val="1"/>
                <w:bCs w:val="1"/>
                <w:color w:val="auto"/>
              </w:rPr>
              <w:t>4 - 5</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ind w:left="200"/>
              <w:spacing w:after="0" w:line="153" w:lineRule="exact"/>
              <w:rPr>
                <w:sz w:val="20"/>
                <w:szCs w:val="20"/>
                <w:color w:val="auto"/>
              </w:rPr>
            </w:pPr>
            <w:r>
              <w:rPr>
                <w:rFonts w:ascii="Arial" w:cs="Arial" w:eastAsia="Arial" w:hAnsi="Arial"/>
                <w:sz w:val="14"/>
                <w:szCs w:val="14"/>
                <w:b w:val="1"/>
                <w:bCs w:val="1"/>
                <w:color w:val="auto"/>
              </w:rPr>
              <w:t>6 - 10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ind w:right="353"/>
              <w:spacing w:after="0" w:line="153" w:lineRule="exact"/>
              <w:rPr>
                <w:sz w:val="20"/>
                <w:szCs w:val="20"/>
                <w:color w:val="auto"/>
              </w:rPr>
            </w:pPr>
            <w:r>
              <w:rPr>
                <w:rFonts w:ascii="Arial" w:cs="Arial" w:eastAsia="Arial" w:hAnsi="Arial"/>
                <w:sz w:val="14"/>
                <w:szCs w:val="14"/>
                <w:b w:val="1"/>
                <w:bCs w:val="1"/>
                <w:color w:val="auto"/>
              </w:rPr>
              <w:t>After 10</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Year(1)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Years(1)</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1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Long-Term Debt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1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b w:val="1"/>
                <w:bCs w:val="1"/>
                <w:color w:val="auto"/>
              </w:rPr>
              <w:t>Obligations</w:t>
            </w: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Secured credit facilities(2)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2,680,573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498,320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1,548,253</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634,000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notes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1,959,700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501,701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821,874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636,125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Convertible notes(2)</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460,660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460,660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term loans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238,152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172,222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65,930</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Other debt obligations</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principal maturities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5,439,085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1,460,681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2,370,127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1,270,125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172,222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165,930</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b w:val="1"/>
                <w:bCs w:val="1"/>
                <w:color w:val="auto"/>
              </w:rPr>
              <w:t>Interest Payable(3)</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839,633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324,865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312,466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140,113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36,441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25,748</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Lease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Obligations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34,272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9,454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8,881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180" w:type="dxa"/>
            <w:vAlign w:val="bottom"/>
          </w:tcPr>
          <w:p>
            <w:pPr>
              <w:ind w:left="180"/>
              <w:spacing w:after="0"/>
              <w:rPr>
                <w:sz w:val="20"/>
                <w:szCs w:val="20"/>
                <w:color w:val="auto"/>
              </w:rPr>
            </w:pPr>
            <w:r>
              <w:rPr>
                <w:rFonts w:ascii="Arial" w:cs="Arial" w:eastAsia="Arial" w:hAnsi="Arial"/>
                <w:sz w:val="18"/>
                <w:szCs w:val="18"/>
                <w:color w:val="auto"/>
              </w:rPr>
              <w:t>Total(4)</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6,312,990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1,791,207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2,692,047</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1,419,119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218,939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191,678</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974"/>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Future long-term debt obligations due during the years ending December 31, 2013 and 2014 are $1.67 billion and $1.56 billion, respectively.</w:t>
      </w:r>
    </w:p>
    <w:p>
      <w:pPr>
        <w:spacing w:after="0" w:line="13" w:lineRule="exact"/>
        <w:rPr>
          <w:rFonts w:ascii="Arial" w:cs="Arial" w:eastAsia="Arial" w:hAnsi="Arial"/>
          <w:sz w:val="14"/>
          <w:szCs w:val="14"/>
          <w:color w:val="auto"/>
        </w:rPr>
      </w:pPr>
    </w:p>
    <w:p>
      <w:pPr>
        <w:ind w:left="660" w:hanging="652"/>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Subsequent to quarter end, we repaid our convertible notes outstanding and refinanced the balance of our 2011 Secured Credit Facilities. See Subsequent Events.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All variable-rate debt assumes a 30-day LIBOR rate of 0.21% (the 30-day LIBOR rate at September 30, 2012).</w:t>
      </w:r>
    </w:p>
    <w:p>
      <w:pPr>
        <w:spacing w:after="0" w:line="1" w:lineRule="exact"/>
        <w:rPr>
          <w:rFonts w:ascii="Arial" w:cs="Arial" w:eastAsia="Arial" w:hAnsi="Arial"/>
          <w:sz w:val="14"/>
          <w:szCs w:val="14"/>
          <w:color w:val="auto"/>
        </w:rPr>
      </w:pPr>
    </w:p>
    <w:p>
      <w:pPr>
        <w:ind w:left="660" w:right="680" w:hanging="652"/>
        <w:spacing w:after="0" w:line="255"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also have issued letters of credit totaling $12.6 million in connection with five of our investments. See Unfunded Commitments below, for a discussion of certain unfunded commitments related to our lending and net lease businesses.</w:t>
      </w:r>
    </w:p>
    <w:p>
      <w:pPr>
        <w:spacing w:after="0" w:line="13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color w:val="auto"/>
        </w:rPr>
        <w:t>2012 Secured Credit Facilities</w:t>
      </w:r>
      <w:r>
        <w:rPr>
          <w:rFonts w:ascii="Arial" w:cs="Arial" w:eastAsia="Arial" w:hAnsi="Arial"/>
          <w:sz w:val="17"/>
          <w:szCs w:val="17"/>
          <w:color w:val="auto"/>
        </w:rPr>
        <w:t>—In March 2012, we entered into an $880.0 million senior secured credit agreement providing for two tranches of term</w:t>
      </w:r>
      <w:r>
        <w:rPr>
          <w:rFonts w:ascii="Arial" w:cs="Arial" w:eastAsia="Arial" w:hAnsi="Arial"/>
          <w:sz w:val="17"/>
          <w:szCs w:val="17"/>
          <w:b w:val="1"/>
          <w:bCs w:val="1"/>
          <w:color w:val="auto"/>
        </w:rPr>
        <w:t xml:space="preserve"> </w:t>
      </w:r>
      <w:r>
        <w:rPr>
          <w:rFonts w:ascii="Arial" w:cs="Arial" w:eastAsia="Arial" w:hAnsi="Arial"/>
          <w:sz w:val="17"/>
          <w:szCs w:val="17"/>
          <w:color w:val="auto"/>
        </w:rPr>
        <w:t>loans: a $410.0 million 2012 A-1 tranche due March 2016, which bears interest at a rate of LIBOR + 4.00% (the "2012 Tranche A-1 Facility"), and a $470.0 million 2012 A-2 tranche due March 2017, which bears interest at a rate of LIBOR + 5.75% (the "2012 Tranche A-2 Facility," together the "2012 Secured Credit Facilities"). The 2012 A-1 and A-2 tranches were issued at 98.0% of par and 98.5% of par, respectively, and both tranches include a LIBOR floor of 1.25%. Proceeds from the 2012 Secured Credit Facilities were used to repurchase $324.1 million aggregate principal amount of our convertible notes due October 2012, to fully repay the $244.0 million balance on our unsecured credit facility due June 2012, and to repay, upon maturity, $90.3 million outstanding principal balance of our 5.50% senior unsecured notes. As of September 30, 2012, remaining proceeds were included in restricted cash as they are reserved for the repayment of indebtedness.</w:t>
      </w:r>
    </w:p>
    <w:p>
      <w:pPr>
        <w:spacing w:after="0" w:line="17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2012 Secured Credit Facilities are collateralized by a first lien on a fixed pool of collateral consisting of loan, net lease, OREO and REHI assets. Proceeds from principal repayments and sales of collateral are applied to amortize the 2012 Secured Credit Facilities. Proceeds received for interest, rent, lease payments and fee income are retained by us. The 2012 Tranche A-1 Facility requires amortization payments of $41.0 million to be made every six months beginning December 31, 2012. After the 2012 Tranche A-1 Facility is repaid, proceeds from principal repayments and sales of collateral will be used to amortize the 2012 Tranche A-2 Facility. We may make optional prepayments on each tranche of term loans, subject to prepayment fees.</w:t>
      </w:r>
    </w:p>
    <w:p>
      <w:pPr>
        <w:spacing w:after="0" w:line="15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Through September 30, 2012, we have made cumulative amortization repayments of $147.7 million on the 2012 Tranche A-1 Facility, which exceeds all required amortization payments through December 31, 2013. Repayments of the 2012 Tranche A-1 Facility prior to scheduled amortization dates have resulted in losses on early extinguishment of debt of $2.4 million and $5.3 million for the three and nine months ended September 30, 2012, respectively, related to the acceleration of discounts and unamortized deferred financing fees on the portion of the facility that was repaid.</w:t>
      </w:r>
    </w:p>
    <w:p>
      <w:pPr>
        <w:spacing w:after="0" w:line="167" w:lineRule="exact"/>
        <w:rPr>
          <w:sz w:val="20"/>
          <w:szCs w:val="20"/>
          <w:color w:val="auto"/>
        </w:rPr>
      </w:pPr>
    </w:p>
    <w:p>
      <w:pPr>
        <w:jc w:val="both"/>
        <w:ind w:firstLine="432"/>
        <w:spacing w:after="0" w:line="303" w:lineRule="auto"/>
        <w:rPr>
          <w:sz w:val="20"/>
          <w:szCs w:val="20"/>
          <w:color w:val="auto"/>
        </w:rPr>
      </w:pPr>
      <w:r>
        <w:rPr>
          <w:rFonts w:ascii="Arial" w:cs="Arial" w:eastAsia="Arial" w:hAnsi="Arial"/>
          <w:sz w:val="16"/>
          <w:szCs w:val="16"/>
          <w:b w:val="1"/>
          <w:bCs w:val="1"/>
          <w:color w:val="auto"/>
        </w:rPr>
        <w:t>2011 Secured Credit Facilities</w:t>
      </w:r>
      <w:r>
        <w:rPr>
          <w:rFonts w:ascii="Arial" w:cs="Arial" w:eastAsia="Arial" w:hAnsi="Arial"/>
          <w:sz w:val="16"/>
          <w:szCs w:val="16"/>
          <w:color w:val="auto"/>
        </w:rPr>
        <w:t>—In March 2011, we entered into a $2.95 billion senior secured credit agreement providing for two tranches of term</w:t>
      </w:r>
      <w:r>
        <w:rPr>
          <w:rFonts w:ascii="Arial" w:cs="Arial" w:eastAsia="Arial" w:hAnsi="Arial"/>
          <w:sz w:val="16"/>
          <w:szCs w:val="16"/>
          <w:b w:val="1"/>
          <w:bCs w:val="1"/>
          <w:color w:val="auto"/>
        </w:rPr>
        <w:t xml:space="preserve"> </w:t>
      </w:r>
      <w:r>
        <w:rPr>
          <w:rFonts w:ascii="Arial" w:cs="Arial" w:eastAsia="Arial" w:hAnsi="Arial"/>
          <w:sz w:val="16"/>
          <w:szCs w:val="16"/>
          <w:color w:val="auto"/>
        </w:rPr>
        <w:t>loans: a $1.50 billion 2011 A-1 tranche due June 2013, which bears interest at a rate of LIBOR + 3.75% (the "2011 Tranche A-1 Facility"), and a $1.45 billion 2011 A-2 tranche due June 2014, which bears interest at a rate of LIBOR + 5.75% (the "2011 Tranche A-2 Facility," together the "2011 Secured Credit Facilities"). The 2011 A-1 and A-2 tranches were issued at 99.0% of par and 98.5% of par, respectively, and both tranches include a LIBOR floor of 1.25%.</w:t>
      </w:r>
    </w:p>
    <w:p>
      <w:pPr>
        <w:spacing w:after="0" w:line="15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2011 Secured Credit Facilities are collateralized by a first lien on a fixed pool of collateral consisting of loan, net lease, OREO and REHI assets. Proceeds from principal repayments and sales of collateral are applied to amortize the 2011 Secured Credit Facilities. Proceeds received for interest, rent, lease payments, fee income and, under certain circumstances, additional amounts funded on assets serving as collateral are retained by us. The 2011 Tranche A-1 Facility requires that aggregate cumulative amortization payments of not less than $200.0 million shall be made on or before December 30, 2011, not less than $450.0 million on or before June 30, 2012, not less than $750.0 million on or before December 31, 2012 and not less than $1.50 billion on or before June 28, 2013. The 2011 Tranche A-2 Facility will begin amortizing six months after the repayment in full of the 2011 Tranche A-1 Facility, such that not less than $150.0 million of cumulative amortization payments shall be made on or before the six month anniversary of repayment of the Tranche A-1 Facility, with additional amortization payments of $150.0 million due on or before each six month anniversary thereafter, with any unpaid principal amounts due at maturity in June 2014.</w:t>
      </w:r>
    </w:p>
    <w:p>
      <w:pPr>
        <w:spacing w:after="0" w:line="18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Through September 30, 2012, we have made cumulative amortization repayments of $1.00 billion on the 2011 Tranche A-1 Facility, which exceeds all required amortization payments through December 31, 2012, leaving $498.3 million to be paid by maturity in June 2013. Repayments of the 2011Tranche A-1 Facility prior to scheduled amortization dates have resulted in losses on early extinguishment of debt of $0.9 million and $4.1 million for the three and nine months ended September 30, 2012, respectively, related to the acceleration of discounts and unamortized deferred financing fees on the portion of the facility that was repaid. See Subsequent Events below for details on the refinancing of the 2011 Secured Credit Facilities in October 2012.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both"/>
        <w:ind w:firstLine="432"/>
        <w:spacing w:after="0" w:line="303" w:lineRule="auto"/>
        <w:rPr>
          <w:sz w:val="20"/>
          <w:szCs w:val="20"/>
          <w:color w:val="auto"/>
        </w:rPr>
      </w:pPr>
      <w:r>
        <w:rPr>
          <w:rFonts w:ascii="Arial" w:cs="Arial" w:eastAsia="Arial" w:hAnsi="Arial"/>
          <w:sz w:val="16"/>
          <w:szCs w:val="16"/>
          <w:b w:val="1"/>
          <w:bCs w:val="1"/>
          <w:color w:val="auto"/>
        </w:rPr>
        <w:t>Secured Term Loans</w:t>
      </w:r>
      <w:r>
        <w:rPr>
          <w:rFonts w:ascii="Arial" w:cs="Arial" w:eastAsia="Arial" w:hAnsi="Arial"/>
          <w:sz w:val="16"/>
          <w:szCs w:val="16"/>
          <w:color w:val="auto"/>
        </w:rPr>
        <w:t>—In September 2012, we refinanced two secured term loans with an aggregate outstanding principal balance of $53.3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bearing interest at rates of 5.3% and 8.2% and maturing in January 2013. The new $54.5 million secured term loan bears interest at 4.851%, matures in October 2022 and is collateralized by the same net lease asset as the original term loan. In connection with the refinancing, we recorded a loss on early extinguishment of debt of $0.5 million in our Consolidated Statements of Operations for both the three and nine months ended September 30, 2012.</w:t>
      </w:r>
    </w:p>
    <w:p>
      <w:pPr>
        <w:spacing w:after="0" w:line="15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In addition, during the nine months ended September 30, 2012, in conjunction with the sale of a portfolio of 12 net lease assets, we repaid the $50.8 million outstanding balances of our LIBOR + 4.50% secured term loans due in 2014 and terminated the related interest rate swaps associated with the loans.</w:t>
      </w:r>
    </w:p>
    <w:p>
      <w:pPr>
        <w:spacing w:after="0" w:line="120"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Unsecured Credit Facility</w:t>
      </w:r>
      <w:r>
        <w:rPr>
          <w:rFonts w:ascii="Arial" w:cs="Arial" w:eastAsia="Arial" w:hAnsi="Arial"/>
          <w:sz w:val="18"/>
          <w:szCs w:val="18"/>
          <w:color w:val="auto"/>
        </w:rPr>
        <w:t>—During the nine months ended September 30, 2012, we repaid the $243.7 million remaining principal balance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LIBOR + 0.85% unsecured credit facility due June 2012. In connection with the repayments, we recorded a loss on early extinguishment of debt of $0.2 million.</w:t>
      </w:r>
    </w:p>
    <w:p>
      <w:pPr>
        <w:spacing w:after="0" w:line="17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Secured Notes</w:t>
      </w:r>
      <w:r>
        <w:rPr>
          <w:rFonts w:ascii="Arial" w:cs="Arial" w:eastAsia="Arial" w:hAnsi="Arial"/>
          <w:sz w:val="18"/>
          <w:szCs w:val="18"/>
          <w:color w:val="auto"/>
        </w:rPr>
        <w:t>—In January 2011, we redeemed the $312.3 million remaining principal balance of our 10% 2014 secured exchange notes and recorded</w:t>
      </w:r>
      <w:r>
        <w:rPr>
          <w:rFonts w:ascii="Arial" w:cs="Arial" w:eastAsia="Arial" w:hAnsi="Arial"/>
          <w:sz w:val="18"/>
          <w:szCs w:val="18"/>
          <w:b w:val="1"/>
          <w:bCs w:val="1"/>
          <w:color w:val="auto"/>
        </w:rPr>
        <w:t xml:space="preserve"> </w:t>
      </w:r>
      <w:r>
        <w:rPr>
          <w:rFonts w:ascii="Arial" w:cs="Arial" w:eastAsia="Arial" w:hAnsi="Arial"/>
          <w:sz w:val="18"/>
          <w:szCs w:val="18"/>
          <w:color w:val="auto"/>
        </w:rPr>
        <w:t>a gain on early extinguishment of debt of $109.0 million primarily related to the recognition of deferred gain premiums that resulted from a previous debt exchange.</w:t>
      </w:r>
    </w:p>
    <w:p>
      <w:pPr>
        <w:spacing w:after="0" w:line="17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Unsecured Notes</w:t>
      </w:r>
      <w:r>
        <w:rPr>
          <w:rFonts w:ascii="Arial" w:cs="Arial" w:eastAsia="Arial" w:hAnsi="Arial"/>
          <w:sz w:val="18"/>
          <w:szCs w:val="18"/>
          <w:color w:val="auto"/>
        </w:rPr>
        <w:t>—In May 2012, we issued $275.0 million aggregate principal of 9.0% senior unsecured notes due June 2017 that were sold at</w:t>
      </w:r>
      <w:r>
        <w:rPr>
          <w:rFonts w:ascii="Arial" w:cs="Arial" w:eastAsia="Arial" w:hAnsi="Arial"/>
          <w:sz w:val="18"/>
          <w:szCs w:val="18"/>
          <w:b w:val="1"/>
          <w:bCs w:val="1"/>
          <w:color w:val="auto"/>
        </w:rPr>
        <w:t xml:space="preserve"> </w:t>
      </w:r>
      <w:r>
        <w:rPr>
          <w:rFonts w:ascii="Arial" w:cs="Arial" w:eastAsia="Arial" w:hAnsi="Arial"/>
          <w:sz w:val="18"/>
          <w:szCs w:val="18"/>
          <w:color w:val="auto"/>
        </w:rPr>
        <w:t>98.012% of their principal amount. Proceeds from this transaction are reserved for the repayment of indebtedness and included in "Restricted cash" on our Consolidated Balance Sheet as of September 30, 2012.</w:t>
      </w:r>
    </w:p>
    <w:p>
      <w:pPr>
        <w:spacing w:after="0" w:line="18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nine months ended September 30, 2012, we repaid, upon maturity, the $169.7 million outstanding principal balance of our 5.15% senior unsecured notes and the $90.3 million outstanding principal balance of our 5.50% senior unsecured notes. In addition, we repurchased $420.4 million par value of senior unsecured notes with various maturities ranging from March 2012 to October 2012. In connection with these repurchases, we recorded aggregate losses on early extinguishment of debt of $0.1 million and gains of $3.2 million, for the three and nine months ended September 30, 2012, respectively.</w:t>
      </w:r>
    </w:p>
    <w:p>
      <w:pPr>
        <w:spacing w:after="0" w:line="184"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Unencumbered/Encumbered Assets</w:t>
      </w:r>
      <w:r>
        <w:rPr>
          <w:rFonts w:ascii="Arial" w:cs="Arial" w:eastAsia="Arial" w:hAnsi="Arial"/>
          <w:sz w:val="18"/>
          <w:szCs w:val="18"/>
          <w:color w:val="auto"/>
        </w:rPr>
        <w:t>—As of September 30, 2012, the carrying value of our unencumbered and encumbered assets by asset type are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 ($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34"/>
              <w:spacing w:after="0"/>
              <w:rPr>
                <w:sz w:val="20"/>
                <w:szCs w:val="20"/>
                <w:color w:val="auto"/>
              </w:rPr>
            </w:pPr>
            <w:r>
              <w:rPr>
                <w:rFonts w:ascii="Arial" w:cs="Arial" w:eastAsia="Arial" w:hAnsi="Arial"/>
                <w:sz w:val="14"/>
                <w:szCs w:val="14"/>
                <w:b w:val="1"/>
                <w:bCs w:val="1"/>
                <w:color w:val="auto"/>
                <w:w w:val="91"/>
              </w:rPr>
              <w:t>As of September 30, 2012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54"/>
              <w:spacing w:after="0"/>
              <w:rPr>
                <w:sz w:val="20"/>
                <w:szCs w:val="20"/>
                <w:color w:val="auto"/>
              </w:rPr>
            </w:pPr>
            <w:r>
              <w:rPr>
                <w:rFonts w:ascii="Arial" w:cs="Arial" w:eastAsia="Arial" w:hAnsi="Arial"/>
                <w:sz w:val="14"/>
                <w:szCs w:val="14"/>
                <w:b w:val="1"/>
                <w:bCs w:val="1"/>
                <w:color w:val="auto"/>
                <w:w w:val="90"/>
              </w:rPr>
              <w:t>As of December 31, 2011</w:t>
            </w:r>
          </w:p>
        </w:tc>
      </w:tr>
      <w:tr>
        <w:trPr>
          <w:trHeight w:val="152"/>
        </w:trPr>
        <w:tc>
          <w:tcPr>
            <w:tcW w:w="5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Encumbered</w:t>
            </w: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Unencumbered</w:t>
            </w: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Encumbered</w:t>
            </w:r>
          </w:p>
        </w:tc>
        <w:tc>
          <w:tcPr>
            <w:tcW w:w="180" w:type="dxa"/>
            <w:vAlign w:val="bottom"/>
          </w:tcPr>
          <w:p>
            <w:pPr>
              <w:spacing w:after="0"/>
              <w:rPr>
                <w:sz w:val="13"/>
                <w:szCs w:val="13"/>
                <w:color w:val="auto"/>
              </w:rPr>
            </w:pPr>
          </w:p>
        </w:tc>
        <w:tc>
          <w:tcPr>
            <w:tcW w:w="122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w w:val="94"/>
              </w:rPr>
              <w:t>Unencumbered</w:t>
            </w:r>
          </w:p>
        </w:tc>
      </w:tr>
      <w:tr>
        <w:trPr>
          <w:trHeight w:val="192"/>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6"/>
                <w:szCs w:val="16"/>
                <w:color w:val="auto"/>
              </w:rPr>
            </w:pPr>
          </w:p>
        </w:tc>
        <w:tc>
          <w:tcPr>
            <w:tcW w:w="1220" w:type="dxa"/>
            <w:vAlign w:val="bottom"/>
          </w:tcPr>
          <w:p>
            <w:pPr>
              <w:jc w:val="right"/>
              <w:ind w:right="434"/>
              <w:spacing w:after="0"/>
              <w:rPr>
                <w:sz w:val="20"/>
                <w:szCs w:val="20"/>
                <w:color w:val="auto"/>
              </w:rPr>
            </w:pPr>
            <w:r>
              <w:rPr>
                <w:rFonts w:ascii="Arial" w:cs="Arial" w:eastAsia="Arial" w:hAnsi="Arial"/>
                <w:sz w:val="14"/>
                <w:szCs w:val="14"/>
                <w:b w:val="1"/>
                <w:bCs w:val="1"/>
                <w:color w:val="auto"/>
              </w:rPr>
              <w:t>Assets</w:t>
            </w: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and other lending investments, net(1)</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1,594,426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561,897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1,780,591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1,153,671</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Net lease assets, net</w:t>
            </w:r>
          </w:p>
        </w:tc>
        <w:tc>
          <w:tcPr>
            <w:tcW w:w="1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1,265,341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275,123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1,173,982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528,782</w:t>
            </w:r>
          </w:p>
        </w:tc>
      </w:tr>
      <w:tr>
        <w:trPr>
          <w:trHeight w:val="27"/>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REHI, net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331,357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843,598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359,597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868,537</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OREO</w:t>
            </w:r>
          </w:p>
        </w:tc>
        <w:tc>
          <w:tcPr>
            <w:tcW w:w="1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392,621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314,094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177,092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500,366</w:t>
            </w:r>
          </w:p>
        </w:tc>
      </w:tr>
      <w:tr>
        <w:trPr>
          <w:trHeight w:val="27"/>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59,816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359,832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37,957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419,878</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Cash and other assets</w:t>
            </w:r>
          </w:p>
        </w:tc>
        <w:tc>
          <w:tcPr>
            <w:tcW w:w="1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979,914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590,884</w:t>
            </w:r>
          </w:p>
        </w:tc>
      </w:tr>
      <w:tr>
        <w:trPr>
          <w:trHeight w:val="27"/>
        </w:trPr>
        <w:tc>
          <w:tcPr>
            <w:tcW w:w="5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3,643,561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3,334,458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3,529,219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4,062,118</w:t>
            </w: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of September 30, 2012 and December 31, 2011, the amounts presented exclude general reserves for loan losses of $37.6 million and $73.5 million, respectively.</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outstanding unsecured debt securities contain corporate level covenants that include a covenant to maintain a ratio of unencumbered assets to unsecured indebtedness of at least 1.2x and a restriction on debt incurrence based upon the effect of the debt incurrence on our fixed charge coverage ratio. If any of our covenants are breached and not cured within applicable cure periods, the breach could result in acceleration of our debt securities unless a waiver or modification is agreed upon with the requisite percentage of the bondholders. While we expect that our ability to incur new indebtedness under the fixed charge coverage ratio will be limited for the foreseeable future, we will continue to be permitted to incur indebtedness for the purpose of refinancing existing indebtedness and for other permitted purposes under the indentures.</w:t>
      </w:r>
    </w:p>
    <w:p>
      <w:pPr>
        <w:spacing w:after="0" w:line="17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2012 Secured Credit Facilities and 2011 Secured Credit Facilities both contain certain covenants, including covenants relating to collateral coverage, dividend payments, restrictions on fundamental changes, transactions with affiliates, matters relating to the liens granted to the lenders and the delivery of information to the lenders. In particular, we are required to maintain collateral coverage of 1.25x outstanding borrowings. In addition, for so long as we maintain our qualification as a REIT, the 2012 Secured Credit Facilities and 2011 Secured Credit Facilities permit us to distribute 100% of our REIT taxable income on an annual basis. We may not pay common dividends if we cease to qualify as a REIT.</w:t>
      </w:r>
    </w:p>
    <w:p>
      <w:pPr>
        <w:spacing w:after="0" w:line="17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2012 Secured Credit Facilities and 2011 Secured Credit Facilities contain cross default provisions that would allow the lenders to declare an event of default and accelerate our indebtedness to them if we fail to pay amounts due in respect of our other recourse indebtedness in excess of specified thresholds or if the lenders under such other indebtedness are otherwise permitted to accelerate such indebtedness for any reason. The indentures governing our unsecured public debt securities permit the bondholders to declare an event of default and accelerate our indebtedness to them if our other recourse indebtedness in excess of specified thresholds is not paid at final maturity or if such indebtedness is accelerated.</w:t>
      </w:r>
    </w:p>
    <w:p>
      <w:pPr>
        <w:spacing w:after="0" w:line="1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Derivatives</w:t>
      </w:r>
      <w:r>
        <w:rPr>
          <w:rFonts w:ascii="Arial" w:cs="Arial" w:eastAsia="Arial" w:hAnsi="Arial"/>
          <w:sz w:val="18"/>
          <w:szCs w:val="18"/>
          <w:color w:val="auto"/>
        </w:rPr>
        <w:t>—Our use of derivative financial instruments is primarily limited to the utilization of interest rate hedges or other instruments to manage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rate risk exposure and foreign exchange hedges to manage our risk to changes in foreign currencies. The principal objectives of such hedges are to minimize the risks and/or costs associated with our operating and financial structure and to manage our exposure to foreign exchange rate movements. See Note 11 of the Notes to the Consolidated Financial Statements.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Off-Balance Sheet Arrangements</w:t>
      </w:r>
      <w:r>
        <w:rPr>
          <w:rFonts w:ascii="Arial" w:cs="Arial" w:eastAsia="Arial" w:hAnsi="Arial"/>
          <w:sz w:val="18"/>
          <w:szCs w:val="18"/>
          <w:color w:val="auto"/>
        </w:rPr>
        <w:t>—We are not dependent on the use of any off-balance sheet financing arrangements for liquidity.</w:t>
      </w:r>
    </w:p>
    <w:p>
      <w:pPr>
        <w:spacing w:after="0" w:line="22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b w:val="1"/>
          <w:bCs w:val="1"/>
          <w:i w:val="1"/>
          <w:iCs w:val="1"/>
          <w:color w:val="auto"/>
        </w:rPr>
        <w:t>Unfunded Commitments</w:t>
      </w:r>
      <w:r>
        <w:rPr>
          <w:rFonts w:ascii="Arial" w:cs="Arial" w:eastAsia="Arial" w:hAnsi="Arial"/>
          <w:sz w:val="17"/>
          <w:szCs w:val="17"/>
          <w:color w:val="auto"/>
        </w:rPr>
        <w:t>—We generally fund construction and development loans and build-outs of space in net lease assets over a period of time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when the borrowers and tenants meet established milestones and other performance criteria. We refer to these arrangements as Performance-Based Commitments. In addition, we sometimes establish a maximum amount of additional funding which we will make available to a borrower or tenant for an expansion or addition to a project if we approve of the expansion or addition in our sole discretion. We refer to these arrangements as Discretionary Fundings. Finally, we have committed to invest capital in several real estate funds and other ventures. These arrangements are referred to as Strategic Investments. As of September 30, 2012, the maximum amounts of the fundings we may make under each category, assuming all performance hurdles and milestones are met under the Performance-Based Commitments, that we approve all Discretionary Fundings and that 100% of our capital committed to Strategic Investments is drawn down, are as follows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Loans</w:t>
            </w:r>
          </w:p>
        </w:tc>
        <w:tc>
          <w:tcPr>
            <w:tcW w:w="1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Net Lease</w:t>
            </w:r>
          </w:p>
        </w:tc>
        <w:tc>
          <w:tcPr>
            <w:tcW w:w="24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Strategic</w:t>
            </w:r>
          </w:p>
        </w:tc>
        <w:tc>
          <w:tcPr>
            <w:tcW w:w="340" w:type="dxa"/>
            <w:vAlign w:val="bottom"/>
          </w:tcPr>
          <w:p>
            <w:pPr>
              <w:spacing w:after="0"/>
              <w:rPr>
                <w:sz w:val="14"/>
                <w:szCs w:val="14"/>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36,027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47,570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83,597</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Discretionary Fundings</w:t>
            </w: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39,461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39,461</w:t>
            </w:r>
          </w:p>
        </w:tc>
        <w:tc>
          <w:tcPr>
            <w:tcW w:w="0" w:type="dxa"/>
            <w:vAlign w:val="bottom"/>
          </w:tcPr>
          <w:p>
            <w:pPr>
              <w:spacing w:after="0"/>
              <w:rPr>
                <w:sz w:val="1"/>
                <w:szCs w:val="1"/>
                <w:color w:val="auto"/>
              </w:rPr>
            </w:pPr>
          </w:p>
        </w:tc>
      </w:tr>
      <w:tr>
        <w:trPr>
          <w:trHeight w:val="257"/>
        </w:trPr>
        <w:tc>
          <w:tcPr>
            <w:tcW w:w="514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36,194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47,570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39,461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123,225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77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b w:val="1"/>
          <w:bCs w:val="1"/>
          <w:i w:val="1"/>
          <w:iCs w:val="1"/>
          <w:color w:val="auto"/>
        </w:rPr>
        <w:t>Transactions with Related Parties</w:t>
      </w:r>
      <w:r>
        <w:rPr>
          <w:rFonts w:ascii="Arial" w:cs="Arial" w:eastAsia="Arial" w:hAnsi="Arial"/>
          <w:sz w:val="18"/>
          <w:szCs w:val="18"/>
          <w:color w:val="auto"/>
        </w:rPr>
        <w:t>—Prior to our annual stockholders' meeting in May 2012, Glenn August served as a member of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Mr. August is the president and senior partner of Oak Hill Advisors, L.P.</w:t>
      </w:r>
    </w:p>
    <w:p>
      <w:pPr>
        <w:spacing w:after="0" w:line="170" w:lineRule="exact"/>
        <w:rPr>
          <w:sz w:val="20"/>
          <w:szCs w:val="20"/>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recorded equity in earnings from our investments in Oak Hill funds of $2.0 million and $5.9 million, respectively, for the three and nine months ended September 30, 2012.</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nine months ended September 30, 2012, we redeemed our interests in four investments in Oak Hill related entities for $7.8 million of net cash proceeds.</w:t>
      </w:r>
    </w:p>
    <w:p>
      <w:pPr>
        <w:spacing w:after="0" w:line="170"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During 2011, we sold a substantial portion of our interests in Oak Hill Advisors, L.P. and related entities. The transaction was completed in part through sales of interests to unrelated third parties and in part through redemption of interests by principals of Oak Hill Advisors, L.P., including Mr. August. In conjunction with the sale, we retained interests in our share of certain unearned incentive fees of various funds. These fees are contingent on the future performance of the funds and we will recognize income related to these fees if and when the amounts are realized.</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have an equity interest of approximately 24% in LNR Property Corporation ("LNR") and two of our executive officers serve on LNR's board of managers.</w:t>
      </w:r>
    </w:p>
    <w:p>
      <w:pPr>
        <w:spacing w:after="0" w:line="17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b w:val="1"/>
          <w:bCs w:val="1"/>
          <w:i w:val="1"/>
          <w:iCs w:val="1"/>
          <w:color w:val="auto"/>
        </w:rPr>
        <w:t>Stock Repurchase Program</w:t>
      </w:r>
      <w:r>
        <w:rPr>
          <w:rFonts w:ascii="Arial" w:cs="Arial" w:eastAsia="Arial" w:hAnsi="Arial"/>
          <w:sz w:val="16"/>
          <w:szCs w:val="16"/>
          <w:color w:val="auto"/>
        </w:rPr>
        <w:t>—On May 16, 2012, our Board of Directors approved a stock repurchase program that authorized the repurchase of up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 million of our Common Stock from time to time in open market and privately negotiated purchases, including pursuant to one or more trading plans.</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nine months ended September 30, 2012, we repurchased 0.8 million shares of our outstanding Common Stock for approximately $4.6 million, at an average cost of $5.69 per share. As of September 30, 2012, we had $16.0 million of Common Stock available to repurchase under our Board authorized stock repurchase programs.</w:t>
      </w:r>
    </w:p>
    <w:p>
      <w:pPr>
        <w:spacing w:after="0" w:line="1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Subsequent Events</w:t>
      </w:r>
      <w:r>
        <w:rPr>
          <w:rFonts w:ascii="Arial" w:cs="Arial" w:eastAsia="Arial" w:hAnsi="Arial"/>
          <w:sz w:val="18"/>
          <w:szCs w:val="18"/>
          <w:color w:val="auto"/>
        </w:rPr>
        <w:t>—On October 1, 2012, we repaid, upon maturity, the $460.7 million remaining principal balance of our LIBOR + 0.50%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unsecured convertible notes primarily with cash restricted for the repayment of indebtedness.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October 15, 2012, we entered into a $1.82 billion senior secured credit agreement due October 15, 2017 (the “New Credit Facility”). The New Credit Facility bears interest at a rate of LIBOR + 4.50%, with a 1.25% LIBOR floor, and was issued at 99.0% of par. Proceeds from the New Credit Facility were used to refinance the remaining outstanding balances of our existing 2011 Secured Credit Facilities.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Borrowings under the New Credit Facility are collateralized by a first lien on a fixed pool of assets, with required minimum collateral coverage of not less than 125% of outstanding borrowings. If collateral coverage is less than 137.5% of outstanding borrowings, 100% of the proceeds from principal repayments and sales of collateral will be applied to repay outstanding borrowings under the New Credit Facility. For so long as collateral coverage is between 137.5% and 150% of outstanding borrowings, 50% of proceeds from principal repayments and sales of collateral will be applied to repay outstanding borrowings under the New Credit Facility and for so long as collateral coverage is greater than 150% of outstanding borrowings, we may retain all proceeds from principal repayments and sales of collateral. We retain proceeds from interest, rent, lease payments and fee income in all cases. The New Credit Facility contains certain covenants relating to the collateral, among other matters, but does not contain corporate level financial covenants. For so long as we maintain our qualification as a REIT, we are permitted to distribute 100% of our REIT taxable income on an annual basis. In addition, we may distribute to our stockholders real estate assets, or interests therein, having an aggregate equity value not to exceed $200 million, that are not collateral securing the borrowings under the New Credit Facility. Except for the distribution of real estate assets described in the preceding sentence, we may not pay common dividends in we cease to qualify as a REIT.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After giving effect to the convertible debt repayment and the refinancing of the 2011 Secured Credit Facilities subsequent to quarter end, our future scheduled maturities of outstanding long-term debt obligations are as follows ($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320" w:type="dxa"/>
            <w:vAlign w:val="bottom"/>
            <w:shd w:val="clear" w:color="auto" w:fill="CCEEFF"/>
          </w:tcPr>
          <w:p>
            <w:pPr>
              <w:spacing w:after="0"/>
              <w:rPr>
                <w:sz w:val="22"/>
                <w:szCs w:val="22"/>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98"/>
              </w:rPr>
              <w:t>Unsecured Debt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b w:val="1"/>
                <w:bCs w:val="1"/>
                <w:color w:val="auto"/>
                <w:w w:val="93"/>
              </w:rPr>
              <w:t>Secured Debt</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2012 (remaining three months)</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4,550</w:t>
            </w:r>
          </w:p>
        </w:tc>
      </w:tr>
      <w:tr>
        <w:trPr>
          <w:trHeight w:val="27"/>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1,017,209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1,035,409</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200,601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75,453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276,054</w:t>
            </w:r>
          </w:p>
        </w:tc>
      </w:tr>
      <w:tr>
        <w:trPr>
          <w:trHeight w:val="27"/>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205,965</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261,403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402,603</w:t>
            </w:r>
          </w:p>
        </w:tc>
      </w:tr>
      <w:tr>
        <w:trPr>
          <w:trHeight w:val="27"/>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474,722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2,450,802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2,925,524</w:t>
            </w:r>
          </w:p>
        </w:tc>
      </w:tr>
      <w:tr>
        <w:trPr>
          <w:trHeight w:val="257"/>
        </w:trPr>
        <w:tc>
          <w:tcPr>
            <w:tcW w:w="4320" w:type="dxa"/>
            <w:vAlign w:val="bottom"/>
          </w:tcPr>
          <w:p>
            <w:pPr>
              <w:ind w:left="40"/>
              <w:spacing w:after="0"/>
              <w:rPr>
                <w:sz w:val="20"/>
                <w:szCs w:val="20"/>
                <w:color w:val="auto"/>
              </w:rPr>
            </w:pPr>
            <w:r>
              <w:rPr>
                <w:rFonts w:ascii="Arial" w:cs="Arial" w:eastAsia="Arial" w:hAnsi="Arial"/>
                <w:sz w:val="18"/>
                <w:szCs w:val="18"/>
                <w:color w:val="auto"/>
              </w:rPr>
              <w:t>Total principal maturities</w:t>
            </w: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2,059,700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2,790,405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4,850,105</w:t>
            </w:r>
          </w:p>
        </w:tc>
      </w:tr>
      <w:tr>
        <w:trPr>
          <w:trHeight w:val="20"/>
        </w:trPr>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November 7, 2012, we priced two public offerings of debt securities: $300 million of unsecured 7.125% Senior Notes due 2018 and $175 million of unsecured 3.0% Convertible Senior Notes due 2016 (plus up to an additional $25 million of Convertible Senior Notes if the underwriters exercise their option to purchase additional notes in full). The Convertible Senior Notes are convertible into shares of our common stock at a conversion rate of 84.9582 shares per $1,000 principal amount of notes, which is equal to a conversion price of approximately $11.77 per share, subject to adjustment. We intend to use the net proceeds of the offerings to redeem our $67.1 million aggregate principal amount of 6.5% unsecured Senior Notes due 2013 and the remainder of the net proceeds to redeem a portion of our 8.625% unsecured Senior Notes due 2013. The offerings are not contingent on one another. The closings of the transactions are subject to customary closing conditions and there can be no assurance that either or both transactions will be completed.</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East Coast of the United States has been significantly affected by Hurricane Sandy. We have been actively monitoring the impact of the hurricane on our assets located in the affected areas and as of the date of this report, we have not identified any physical damage to our assets that would reasonably be expected to have a material adverse effect on our business, and we have not been advised by any borrowers or tenants that they have suffered damages that would reasonably be expected to have a material adverse effect on us. The hurricane happened very recently, however, and there can be no assurance that we will not identify additional effects of the hurricane on our business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corporate and industry experience and various other assumptions that we believe to be appropriate under the circumstances.</w:t>
      </w:r>
    </w:p>
    <w:p>
      <w:pPr>
        <w:spacing w:after="0" w:line="154"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 summary of our critical accounting estimates is included in our Annual Report on Form 10-K for the year ended December 31, 2011 in Management's Discussion and Analysis of Financial Condition. There have been no significant changes to our critical accounting estimates as of September 30, 2012.</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New Accounting Pronouncements</w:t>
      </w:r>
      <w:r>
        <w:rPr>
          <w:rFonts w:ascii="Arial" w:cs="Arial" w:eastAsia="Arial" w:hAnsi="Arial"/>
          <w:sz w:val="18"/>
          <w:szCs w:val="18"/>
          <w:color w:val="auto"/>
        </w:rPr>
        <w:t>—For a discussion of the impact of new accounting pronouncements on our financial condition or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see Note 3 of the Notes to the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have been no material changes in Quantitative and Qualitative Disclosures About Market Risk for the first nine months of 2012 as compared to the disclosures included in our Annual Report on Form 10-K for the year ended December 31, 2011. See discussion of quantitative and qualitative disclosures about market risk under Item 7a—"Quantitative and Qualitative Disclosures about Market Risk," included in our Annual Report on Form 10-K for the year ended December 31, 2011.</w:t>
      </w:r>
    </w:p>
    <w:p>
      <w:pPr>
        <w:spacing w:after="0" w:line="3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Company's Exchange Act reports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w:t>
      </w:r>
    </w:p>
    <w:p>
      <w:pPr>
        <w:spacing w:after="0" w:line="17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the disclosure committee and other members of management, including its Chief Executive Officer and Chief Financial Officer, of the effectiveness of the Company's disclosure controls and procedures pursuant to Exchange Act Rule 13a-15(b) or Rule 15d-15. Based upon that evaluation, the Chief Executive Officer and Chief Financial Officer concluded that the Company's disclosure controls and procedures are effective to provide reasonable assurance that the information required to be disclosed by the Company in the reports that it files or submits under the Exchange Act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17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and/or one or more of its subsidiaries is party to various pending litigation matters that are considered ordinary routine litigation incidental to its business as a finance and investment company focused on the commercial real estate industry, including loan foreclosure and foreclosure related proceedings. In addition to such matters, the Company or its subsidiaries is a party to, or any of their property is the subject of, the following pending legal proceedings.</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Citiline Holdings, Inc., et al. v. iStar Financial, Inc., et al.</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previously reported, in April 2008, two putative class action complaints were filed in the United States District Court for the Southern District of New York alleging violations of federal securities laws by the Company and certain of its current and former executive officers. Both suits were purportedly filed on behalf of the same putative class of investors who purchased Common Stock in the Company's December 13, 2007 public offering (“Offering”). The two complaints were subsequently consolidated in a single proceeding (the "Citiline Action") and an amended consolidated complaint was filed that named as defendants the Company, certain of its current and former executive officers, and certain investment banks who served as underwriters in the Offering.</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4, 2012, we reached an agreement in principle with the plaintiffs' Court-appointed representatives in the Citiline Action to settle the litigation. Settlement payments will be primarily funded by our insurance carriers. We will contribute $2.0 million to the settlement.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agreement in principle to settle the Citiline Action is subject to Court approval and a motion for preliminary Court approval has been filed. The parties to the Citiline Action have executed a final settlement stipulation, including releases of liability in favor of the defendants conditioned on final Court approval. Following preliminary Court approval, notice of the settlement will be mailed to class members and a final hearing will be scheduled. Upon final Court approval of the settlement, the Citiline Action will be dismissed in its entirety with prejudice and the settlement will be final.</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the Company's Annual Report on Form 10-K for the fiscal year ended December 31, 2011.</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3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tab/>
        <w:t>(REMOVED AND RESERVED)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379"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4"/>
          <w:szCs w:val="14"/>
          <w:b w:val="1"/>
          <w:bCs w:val="1"/>
          <w:color w:val="auto"/>
        </w:rPr>
        <w:t>Number</w:t>
        <w:tab/>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0"/>
          <w:szCs w:val="20"/>
          <w:color w:val="auto"/>
        </w:rPr>
      </w:pPr>
    </w:p>
    <w:p>
      <w:pPr>
        <w:ind w:left="840" w:right="20" w:hanging="589"/>
        <w:spacing w:after="0" w:line="264" w:lineRule="auto"/>
        <w:tabs>
          <w:tab w:leader="none" w:pos="820" w:val="left"/>
        </w:tabs>
        <w:rPr>
          <w:sz w:val="20"/>
          <w:szCs w:val="20"/>
          <w:color w:val="auto"/>
        </w:rPr>
      </w:pPr>
      <w:r>
        <w:rPr>
          <w:rFonts w:ascii="Arial" w:cs="Arial" w:eastAsia="Arial" w:hAnsi="Arial"/>
          <w:sz w:val="18"/>
          <w:szCs w:val="18"/>
          <w:color w:val="auto"/>
        </w:rPr>
        <w:t>10.1</w:t>
        <w:tab/>
        <w:t>Credit Agreement, by and among iStar Financial Inc., JPMorgan Chase Bank, N.A., as Administrative Agent, Barclays Bank PLC, as Syndication Agent and Bank of America, N.A., as Documentation Agent, dated as of October 15, 2012 (incorporated by reference from the Company's Current Report on Form 8-K filed on October 18, 2012).</w:t>
      </w:r>
    </w:p>
    <w:p>
      <w:pPr>
        <w:spacing w:after="0" w:line="19" w:lineRule="exact"/>
        <w:rPr>
          <w:sz w:val="20"/>
          <w:szCs w:val="20"/>
          <w:color w:val="auto"/>
        </w:rPr>
      </w:pPr>
    </w:p>
    <w:p>
      <w:pPr>
        <w:ind w:left="840" w:hanging="589"/>
        <w:spacing w:after="0" w:line="264" w:lineRule="auto"/>
        <w:tabs>
          <w:tab w:leader="none" w:pos="820" w:val="left"/>
        </w:tabs>
        <w:rPr>
          <w:sz w:val="20"/>
          <w:szCs w:val="20"/>
          <w:color w:val="auto"/>
        </w:rPr>
      </w:pPr>
      <w:r>
        <w:rPr>
          <w:rFonts w:ascii="Arial" w:cs="Arial" w:eastAsia="Arial" w:hAnsi="Arial"/>
          <w:sz w:val="18"/>
          <w:szCs w:val="18"/>
          <w:color w:val="auto"/>
        </w:rPr>
        <w:t>10.2</w:t>
        <w:tab/>
        <w:t>Security Agreement, by iStar Tara Holdings LLC, SFI Belmont LLC and the others parties thereto, in favor of JPMorgan Chase Bank, N.A., as Administrative Agent, dated as of October 15, 2012 (incorporated by reference from the Company's Current Report on Form 8-K filed on October 18, 2012).</w:t>
      </w:r>
    </w:p>
    <w:p>
      <w:pPr>
        <w:spacing w:after="0" w:line="19" w:lineRule="exact"/>
        <w:rPr>
          <w:sz w:val="20"/>
          <w:szCs w:val="20"/>
          <w:color w:val="auto"/>
        </w:rPr>
      </w:pPr>
    </w:p>
    <w:p>
      <w:pPr>
        <w:ind w:left="840" w:hanging="589"/>
        <w:spacing w:after="0" w:line="264" w:lineRule="auto"/>
        <w:tabs>
          <w:tab w:leader="none" w:pos="820" w:val="left"/>
        </w:tabs>
        <w:rPr>
          <w:sz w:val="20"/>
          <w:szCs w:val="20"/>
          <w:color w:val="auto"/>
        </w:rPr>
      </w:pPr>
      <w:r>
        <w:rPr>
          <w:rFonts w:ascii="Arial" w:cs="Arial" w:eastAsia="Arial" w:hAnsi="Arial"/>
          <w:sz w:val="18"/>
          <w:szCs w:val="18"/>
          <w:color w:val="auto"/>
        </w:rPr>
        <w:t>10.3</w:t>
        <w:tab/>
        <w:t>Guarantee Agreement, by iStar Tara Holdings LLC, SFI Belmont LLC and the others parties thereto, in favor of JPMorgan Chase Bank, N.A., as Administrative Agent, dated as of October 15, 2012 (incorporated by reference from the Company's Current Report on Form 8-K filed on October 18, 2012).</w:t>
      </w:r>
    </w:p>
    <w:p>
      <w:pPr>
        <w:spacing w:after="0" w:line="19" w:lineRule="exact"/>
        <w:rPr>
          <w:sz w:val="20"/>
          <w:szCs w:val="20"/>
          <w:color w:val="auto"/>
        </w:rPr>
      </w:pPr>
    </w:p>
    <w:p>
      <w:pPr>
        <w:ind w:left="260"/>
        <w:spacing w:after="0" w:line="207" w:lineRule="exact"/>
        <w:tabs>
          <w:tab w:leader="none" w:pos="8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Certifications pursuant to Section 302 of the Sarbanes</w:t>
      </w:r>
      <w:r>
        <w:rPr>
          <w:rFonts w:ascii="MS PGothic" w:cs="MS PGothic" w:eastAsia="MS PGothic" w:hAnsi="MS PGothic"/>
          <w:sz w:val="16"/>
          <w:szCs w:val="16"/>
          <w:color w:val="auto"/>
        </w:rPr>
        <w:t>‑</w:t>
      </w:r>
      <w:r>
        <w:rPr>
          <w:rFonts w:ascii="Arial" w:cs="Arial" w:eastAsia="Arial" w:hAnsi="Arial"/>
          <w:sz w:val="16"/>
          <w:szCs w:val="16"/>
          <w:color w:val="auto"/>
        </w:rPr>
        <w:t>Oxley Act</w:t>
      </w:r>
    </w:p>
    <w:p>
      <w:pPr>
        <w:spacing w:after="0" w:line="63" w:lineRule="exact"/>
        <w:rPr>
          <w:sz w:val="20"/>
          <w:szCs w:val="20"/>
          <w:color w:val="auto"/>
        </w:rPr>
      </w:pPr>
    </w:p>
    <w:p>
      <w:pPr>
        <w:ind w:left="260"/>
        <w:spacing w:after="0" w:line="207" w:lineRule="exact"/>
        <w:tabs>
          <w:tab w:leader="none" w:pos="8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Certifications pursuant to Section 906 of the Sarbanes</w:t>
      </w:r>
      <w:r>
        <w:rPr>
          <w:rFonts w:ascii="MS PGothic" w:cs="MS PGothic" w:eastAsia="MS PGothic" w:hAnsi="MS PGothic"/>
          <w:sz w:val="16"/>
          <w:szCs w:val="16"/>
          <w:color w:val="auto"/>
        </w:rPr>
        <w:t>‑</w:t>
      </w:r>
      <w:r>
        <w:rPr>
          <w:rFonts w:ascii="Arial" w:cs="Arial" w:eastAsia="Arial" w:hAnsi="Arial"/>
          <w:sz w:val="16"/>
          <w:szCs w:val="16"/>
          <w:color w:val="auto"/>
        </w:rPr>
        <w:t>Oxley Act.</w:t>
      </w:r>
    </w:p>
    <w:p>
      <w:pPr>
        <w:spacing w:after="0" w:line="63" w:lineRule="exact"/>
        <w:rPr>
          <w:sz w:val="20"/>
          <w:szCs w:val="20"/>
          <w:color w:val="auto"/>
        </w:rPr>
      </w:pPr>
    </w:p>
    <w:p>
      <w:pPr>
        <w:ind w:left="840" w:hanging="562"/>
        <w:spacing w:after="0" w:line="286" w:lineRule="auto"/>
        <w:tabs>
          <w:tab w:leader="none" w:pos="8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Quarterly Report on Form 10-Q for the period ended September 30, 2012 is formatted in XBRL ("eXtensible Business Reporting Language"): (i) the Consolidated Balance Sheets (unaudited) as of September 30, 2012 and December 31, 2011, (ii) the Consolidated Statements of Operations (unaudited) for the three and nine months ended September 30, 2012 and 2011, (iii) the Consolidated Statements of Comprehensive Income (Loss) (unaudited) for the three and nine months ended September 30, 2012 and 2011,</w:t>
      </w:r>
    </w:p>
    <w:p>
      <w:pPr>
        <w:spacing w:after="0" w:line="1" w:lineRule="exact"/>
        <w:rPr>
          <w:rFonts w:ascii="Arial" w:cs="Arial" w:eastAsia="Arial" w:hAnsi="Arial"/>
          <w:sz w:val="16"/>
          <w:szCs w:val="16"/>
          <w:color w:val="auto"/>
        </w:rPr>
      </w:pPr>
    </w:p>
    <w:p>
      <w:pPr>
        <w:ind w:left="840"/>
        <w:spacing w:after="0" w:line="255" w:lineRule="auto"/>
        <w:rPr>
          <w:rFonts w:ascii="Arial" w:cs="Arial" w:eastAsia="Arial" w:hAnsi="Arial"/>
          <w:sz w:val="16"/>
          <w:szCs w:val="16"/>
          <w:color w:val="auto"/>
        </w:rPr>
      </w:pPr>
      <w:r>
        <w:rPr>
          <w:rFonts w:ascii="Arial" w:cs="Arial" w:eastAsia="Arial" w:hAnsi="Arial"/>
          <w:sz w:val="18"/>
          <w:szCs w:val="18"/>
          <w:color w:val="auto"/>
        </w:rPr>
        <w:t>(iv) the Consolidated Statement of Changes in Equity (unaudited) for the nine months ended September 30, 2012, (v) the Consolidated Statements of Cash Flows (unaudited) for the nine months ended September 30, 2012 and 2011 and (vi) the Notes to the Consolidated Financial Statements (unaudited).*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5" w:lineRule="exact"/>
        <w:rPr>
          <w:sz w:val="20"/>
          <w:szCs w:val="20"/>
          <w:color w:val="auto"/>
        </w:rPr>
      </w:pPr>
    </w:p>
    <w:p>
      <w:pPr>
        <w:ind w:left="500" w:right="100" w:hanging="492"/>
        <w:spacing w:after="0" w:line="312" w:lineRule="auto"/>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18" w:right="27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FINANCIAL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8"/>
          <w:szCs w:val="18"/>
          <w:color w:val="auto"/>
        </w:rPr>
        <w:t>Date: November 9, 2012</w:t>
      </w:r>
      <w:r>
        <w:rPr>
          <w:sz w:val="20"/>
          <w:szCs w:val="20"/>
          <w:color w:val="auto"/>
        </w:rPr>
        <w:tab/>
      </w:r>
      <w:r>
        <w:rPr>
          <w:rFonts w:ascii="Arial" w:cs="Arial" w:eastAsia="Arial" w:hAnsi="Arial"/>
          <w:sz w:val="17"/>
          <w:szCs w:val="17"/>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Jay Sugarman</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i w:val="1"/>
          <w:iCs w:val="1"/>
          <w:color w:val="auto"/>
        </w:rPr>
        <w:t>Chairman of the Board of Directors and Chief</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Executive Officer (principal executive officer)</w:t>
      </w:r>
    </w:p>
    <w:p>
      <w:pPr>
        <w:spacing w:after="0" w:line="4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FINANCIAL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760" w:val="left"/>
        </w:tabs>
        <w:rPr>
          <w:sz w:val="20"/>
          <w:szCs w:val="20"/>
          <w:color w:val="auto"/>
        </w:rPr>
      </w:pPr>
      <w:r>
        <w:rPr>
          <w:rFonts w:ascii="Arial" w:cs="Arial" w:eastAsia="Arial" w:hAnsi="Arial"/>
          <w:sz w:val="18"/>
          <w:szCs w:val="18"/>
          <w:color w:val="auto"/>
        </w:rPr>
        <w:t>Date: November 9, 2012</w:t>
      </w:r>
      <w:r>
        <w:rPr>
          <w:sz w:val="20"/>
          <w:szCs w:val="20"/>
          <w:color w:val="auto"/>
        </w:rPr>
        <w:tab/>
      </w:r>
      <w:r>
        <w:rPr>
          <w:rFonts w:ascii="Arial" w:cs="Arial" w:eastAsia="Arial" w:hAnsi="Arial"/>
          <w:sz w:val="17"/>
          <w:szCs w:val="17"/>
          <w:color w:val="auto"/>
        </w:rPr>
        <w:t>/s/ DAVID M. DISTASO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David M. DiStaso</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i w:val="1"/>
          <w:iCs w:val="1"/>
          <w:color w:val="auto"/>
        </w:rPr>
        <w:t>Chief Financial Officer (principal financial and</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accounting officer)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8"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171" w:lineRule="exact"/>
        <w:rPr>
          <w:sz w:val="20"/>
          <w:szCs w:val="20"/>
          <w:color w:val="auto"/>
        </w:rPr>
      </w:pPr>
    </w:p>
    <w:p>
      <w:pPr>
        <w:ind w:left="520" w:hanging="188"/>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171"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right="300" w:firstLine="316"/>
        <w:spacing w:after="0" w:line="264" w:lineRule="auto"/>
        <w:tabs>
          <w:tab w:leader="none" w:pos="90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560" w:firstLine="316"/>
        <w:spacing w:after="0" w:line="264" w:lineRule="auto"/>
        <w:tabs>
          <w:tab w:leader="none" w:pos="91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840" w:firstLine="316"/>
        <w:spacing w:after="0" w:line="342" w:lineRule="auto"/>
        <w:tabs>
          <w:tab w:leader="none" w:pos="909"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340" w:right="100" w:firstLine="316"/>
        <w:spacing w:after="0" w:line="264" w:lineRule="auto"/>
        <w:tabs>
          <w:tab w:leader="none" w:pos="91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right="200" w:firstLine="316"/>
        <w:spacing w:after="0" w:line="277" w:lineRule="auto"/>
        <w:tabs>
          <w:tab w:leader="none" w:pos="909"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180" w:firstLine="316"/>
        <w:spacing w:after="0" w:line="277" w:lineRule="auto"/>
        <w:tabs>
          <w:tab w:leader="none" w:pos="919"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November 9, 2012</w:t>
            </w:r>
          </w:p>
        </w:tc>
        <w:tc>
          <w:tcPr>
            <w:tcW w:w="7560" w:type="dxa"/>
            <w:vAlign w:val="bottom"/>
            <w:gridSpan w:val="3"/>
          </w:tcPr>
          <w:p>
            <w:pPr>
              <w:ind w:left="1900"/>
              <w:spacing w:after="0"/>
              <w:rPr>
                <w:sz w:val="20"/>
                <w:szCs w:val="20"/>
                <w:color w:val="auto"/>
              </w:rPr>
            </w:pPr>
            <w:r>
              <w:rPr>
                <w:rFonts w:ascii="Arial" w:cs="Arial" w:eastAsia="Arial" w:hAnsi="Arial"/>
                <w:sz w:val="18"/>
                <w:szCs w:val="18"/>
                <w:color w:val="auto"/>
              </w:rPr>
              <w:t>By:    /s/ JAY SUGARMAN</w:t>
            </w:r>
          </w:p>
        </w:tc>
      </w:tr>
      <w:tr>
        <w:trPr>
          <w:trHeight w:val="27"/>
        </w:trPr>
        <w:tc>
          <w:tcPr>
            <w:tcW w:w="3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8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202" w:right="239" w:bottom="1440" w:gutter="0" w:footer="0" w:header="0"/>
        </w:sectPr>
      </w:pPr>
    </w:p>
    <w:bookmarkStart w:id="61" w:name="page62"/>
    <w:bookmarkEnd w:id="61"/>
    <w:p>
      <w:pPr>
        <w:jc w:val="center"/>
        <w:ind w:right="-119"/>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DiStaso, certify that:</w:t>
      </w:r>
    </w:p>
    <w:p>
      <w:pPr>
        <w:spacing w:after="0" w:line="171" w:lineRule="exact"/>
        <w:rPr>
          <w:sz w:val="20"/>
          <w:szCs w:val="20"/>
          <w:color w:val="auto"/>
        </w:rPr>
      </w:pPr>
    </w:p>
    <w:p>
      <w:pPr>
        <w:ind w:left="520" w:hanging="188"/>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171" w:lineRule="exact"/>
        <w:rPr>
          <w:rFonts w:ascii="Arial" w:cs="Arial" w:eastAsia="Arial" w:hAnsi="Arial"/>
          <w:sz w:val="18"/>
          <w:szCs w:val="18"/>
          <w:color w:val="auto"/>
        </w:rPr>
      </w:pPr>
    </w:p>
    <w:p>
      <w:pPr>
        <w:jc w:val="both"/>
        <w:ind w:right="340" w:firstLine="332"/>
        <w:spacing w:after="0" w:line="342" w:lineRule="auto"/>
        <w:tabs>
          <w:tab w:leader="none" w:pos="504"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332"/>
        <w:spacing w:after="0" w:line="277" w:lineRule="auto"/>
        <w:tabs>
          <w:tab w:leader="none" w:pos="5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160" w:firstLine="332"/>
        <w:spacing w:after="0" w:line="264" w:lineRule="auto"/>
        <w:tabs>
          <w:tab w:leader="none" w:pos="5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right="200" w:firstLine="316"/>
        <w:spacing w:after="0" w:line="264" w:lineRule="auto"/>
        <w:tabs>
          <w:tab w:leader="none" w:pos="90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460" w:firstLine="316"/>
        <w:spacing w:after="0" w:line="264" w:lineRule="auto"/>
        <w:tabs>
          <w:tab w:leader="none" w:pos="91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740" w:firstLine="316"/>
        <w:spacing w:after="0" w:line="342" w:lineRule="auto"/>
        <w:tabs>
          <w:tab w:leader="none" w:pos="909"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340" w:firstLine="316"/>
        <w:spacing w:after="0" w:line="264" w:lineRule="auto"/>
        <w:tabs>
          <w:tab w:leader="none" w:pos="91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332"/>
        <w:spacing w:after="0" w:line="308" w:lineRule="auto"/>
        <w:tabs>
          <w:tab w:leader="none" w:pos="50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right="100" w:firstLine="316"/>
        <w:spacing w:after="0" w:line="277" w:lineRule="auto"/>
        <w:tabs>
          <w:tab w:leader="none" w:pos="909"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80" w:firstLine="316"/>
        <w:spacing w:after="0" w:line="277" w:lineRule="auto"/>
        <w:tabs>
          <w:tab w:leader="none" w:pos="919"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Date:   November 9, 2012</w:t>
            </w:r>
          </w:p>
        </w:tc>
        <w:tc>
          <w:tcPr>
            <w:tcW w:w="1780" w:type="dxa"/>
            <w:vAlign w:val="bottom"/>
          </w:tcPr>
          <w:p>
            <w:pPr>
              <w:ind w:left="1200"/>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ind w:left="40"/>
              <w:spacing w:after="0"/>
              <w:rPr>
                <w:sz w:val="20"/>
                <w:szCs w:val="20"/>
                <w:color w:val="auto"/>
              </w:rPr>
            </w:pPr>
            <w:r>
              <w:rPr>
                <w:rFonts w:ascii="Arial" w:cs="Arial" w:eastAsia="Arial" w:hAnsi="Arial"/>
                <w:sz w:val="18"/>
                <w:szCs w:val="18"/>
                <w:color w:val="auto"/>
              </w:rPr>
              <w:t>/s/ DAVID M. DISTASO</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Name:</w:t>
            </w:r>
          </w:p>
        </w:tc>
        <w:tc>
          <w:tcPr>
            <w:tcW w:w="4420" w:type="dxa"/>
            <w:vAlign w:val="bottom"/>
          </w:tcPr>
          <w:p>
            <w:pPr>
              <w:ind w:left="220"/>
              <w:spacing w:after="0"/>
              <w:rPr>
                <w:sz w:val="20"/>
                <w:szCs w:val="20"/>
                <w:color w:val="auto"/>
              </w:rPr>
            </w:pPr>
            <w:r>
              <w:rPr>
                <w:rFonts w:ascii="Arial" w:cs="Arial" w:eastAsia="Arial" w:hAnsi="Arial"/>
                <w:sz w:val="18"/>
                <w:szCs w:val="18"/>
                <w:color w:val="auto"/>
              </w:rPr>
              <w:t>David M. DiStaso</w:t>
            </w: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Title:</w:t>
            </w:r>
          </w:p>
        </w:tc>
        <w:tc>
          <w:tcPr>
            <w:tcW w:w="442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 (principal</w:t>
            </w: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2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financial and accounting officer)</w:t>
            </w:r>
          </w:p>
        </w:tc>
        <w:tc>
          <w:tcPr>
            <w:tcW w:w="0" w:type="dxa"/>
            <w:vAlign w:val="bottom"/>
          </w:tcPr>
          <w:p>
            <w:pPr>
              <w:spacing w:after="0"/>
              <w:rPr>
                <w:sz w:val="1"/>
                <w:szCs w:val="1"/>
                <w:color w:val="auto"/>
              </w:rPr>
            </w:pPr>
          </w:p>
        </w:tc>
      </w:tr>
      <w:tr>
        <w:trPr>
          <w:trHeight w:val="108"/>
        </w:trPr>
        <w:tc>
          <w:tcPr>
            <w:tcW w:w="31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02"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undersigned, the Chief Executive Officer of iStar Financial Inc. (the "Company"), hereby certifies on the date hereof, pursuant to 18 U.S.C. 1350, as adopted pursuant to Section 906 of The Sarbanes-Oxley Act of 2002, that the Quarterly Report on Form 10-Q for the quarter ended September 30, 2012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November 9, 2012</w:t>
            </w:r>
          </w:p>
        </w:tc>
        <w:tc>
          <w:tcPr>
            <w:tcW w:w="7560" w:type="dxa"/>
            <w:vAlign w:val="bottom"/>
            <w:gridSpan w:val="3"/>
          </w:tcPr>
          <w:p>
            <w:pPr>
              <w:ind w:left="1900"/>
              <w:spacing w:after="0"/>
              <w:rPr>
                <w:sz w:val="20"/>
                <w:szCs w:val="20"/>
                <w:color w:val="auto"/>
              </w:rPr>
            </w:pPr>
            <w:r>
              <w:rPr>
                <w:rFonts w:ascii="Arial" w:cs="Arial" w:eastAsia="Arial" w:hAnsi="Arial"/>
                <w:sz w:val="18"/>
                <w:szCs w:val="18"/>
                <w:color w:val="auto"/>
              </w:rPr>
              <w:t>By:    /s/ JAY SUGARMAN</w:t>
            </w:r>
          </w:p>
        </w:tc>
      </w:tr>
      <w:tr>
        <w:trPr>
          <w:trHeight w:val="27"/>
        </w:trPr>
        <w:tc>
          <w:tcPr>
            <w:tcW w:w="3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8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202" w:right="239" w:bottom="1440" w:gutter="0" w:footer="0" w:header="0"/>
        </w:sectPr>
      </w:pPr>
    </w:p>
    <w:bookmarkStart w:id="63" w:name="page64"/>
    <w:bookmarkEnd w:id="63"/>
    <w:p>
      <w:pPr>
        <w:jc w:val="center"/>
        <w:ind w:right="-1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undersigned, the principal financial officer of iStar Financial Inc. (the "Company"), hereby certifies on the date hereof, pursuant to 18 U.S.C. 1350, as adopted pursuant to Section 906 of The Sarbanes-Oxley Act of 2002, that the Quarterly Report on Form 10-Q for the quarter ended September 30, 2012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Date:   November 9, 2012</w:t>
            </w:r>
          </w:p>
        </w:tc>
        <w:tc>
          <w:tcPr>
            <w:tcW w:w="1780" w:type="dxa"/>
            <w:vAlign w:val="bottom"/>
          </w:tcPr>
          <w:p>
            <w:pPr>
              <w:ind w:left="1200"/>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ind w:left="40"/>
              <w:spacing w:after="0"/>
              <w:rPr>
                <w:sz w:val="20"/>
                <w:szCs w:val="20"/>
                <w:color w:val="auto"/>
              </w:rPr>
            </w:pPr>
            <w:r>
              <w:rPr>
                <w:rFonts w:ascii="Arial" w:cs="Arial" w:eastAsia="Arial" w:hAnsi="Arial"/>
                <w:sz w:val="18"/>
                <w:szCs w:val="18"/>
                <w:color w:val="auto"/>
              </w:rPr>
              <w:t>/s/ DAVID M. DISTASO</w:t>
            </w:r>
          </w:p>
        </w:tc>
      </w:tr>
      <w:tr>
        <w:trPr>
          <w:trHeight w:val="27"/>
        </w:trPr>
        <w:tc>
          <w:tcPr>
            <w:tcW w:w="3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37"/>
        </w:trPr>
        <w:tc>
          <w:tcPr>
            <w:tcW w:w="3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Name:</w:t>
            </w:r>
          </w:p>
        </w:tc>
        <w:tc>
          <w:tcPr>
            <w:tcW w:w="4420" w:type="dxa"/>
            <w:vAlign w:val="bottom"/>
          </w:tcPr>
          <w:p>
            <w:pPr>
              <w:ind w:left="220"/>
              <w:spacing w:after="0"/>
              <w:rPr>
                <w:sz w:val="20"/>
                <w:szCs w:val="20"/>
                <w:color w:val="auto"/>
              </w:rPr>
            </w:pPr>
            <w:r>
              <w:rPr>
                <w:rFonts w:ascii="Arial" w:cs="Arial" w:eastAsia="Arial" w:hAnsi="Arial"/>
                <w:sz w:val="18"/>
                <w:szCs w:val="18"/>
                <w:color w:val="auto"/>
              </w:rPr>
              <w:t>David M. DiStaso</w:t>
            </w:r>
          </w:p>
        </w:tc>
      </w:tr>
      <w:tr>
        <w:trPr>
          <w:trHeight w:val="164"/>
        </w:trPr>
        <w:tc>
          <w:tcPr>
            <w:tcW w:w="3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20" w:type="dxa"/>
            <w:vAlign w:val="bottom"/>
          </w:tcPr>
          <w:p>
            <w:pPr>
              <w:ind w:left="220"/>
              <w:spacing w:after="0" w:line="164" w:lineRule="exact"/>
              <w:rPr>
                <w:sz w:val="20"/>
                <w:szCs w:val="20"/>
                <w:color w:val="auto"/>
              </w:rPr>
            </w:pPr>
            <w:r>
              <w:rPr>
                <w:rFonts w:ascii="Arial" w:cs="Arial" w:eastAsia="Arial" w:hAnsi="Arial"/>
                <w:sz w:val="18"/>
                <w:szCs w:val="18"/>
                <w:i w:val="1"/>
                <w:iCs w:val="1"/>
                <w:color w:val="auto"/>
              </w:rPr>
              <w:t>Chief Financial Officer (principal</w:t>
            </w:r>
          </w:p>
        </w:tc>
      </w:tr>
    </w:tbl>
    <w:p>
      <w:pPr>
        <w:spacing w:after="0" w:line="1" w:lineRule="exact"/>
        <w:rPr>
          <w:sz w:val="20"/>
          <w:szCs w:val="20"/>
          <w:color w:val="auto"/>
        </w:rPr>
      </w:pPr>
    </w:p>
    <w:tbl>
      <w:tblPr>
        <w:tblLayout w:type="fixed"/>
        <w:tblInd w:w="50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2640" w:type="dxa"/>
            <w:vAlign w:val="bottom"/>
            <w:vMerge w:val="restart"/>
          </w:tcPr>
          <w:p>
            <w:pPr>
              <w:ind w:left="260"/>
              <w:spacing w:after="0"/>
              <w:rPr>
                <w:sz w:val="20"/>
                <w:szCs w:val="20"/>
                <w:color w:val="auto"/>
              </w:rPr>
            </w:pPr>
            <w:r>
              <w:rPr>
                <w:rFonts w:ascii="Arial" w:cs="Arial" w:eastAsia="Arial" w:hAnsi="Arial"/>
                <w:sz w:val="18"/>
                <w:szCs w:val="18"/>
                <w:i w:val="1"/>
                <w:iCs w:val="1"/>
                <w:color w:val="auto"/>
                <w:w w:val="93"/>
              </w:rPr>
              <w:t>financial and accounting officer)</w:t>
            </w:r>
          </w:p>
        </w:tc>
        <w:tc>
          <w:tcPr>
            <w:tcW w:w="0" w:type="dxa"/>
            <w:vAlign w:val="bottom"/>
          </w:tcPr>
          <w:p>
            <w:pPr>
              <w:spacing w:after="0"/>
              <w:rPr>
                <w:sz w:val="1"/>
                <w:szCs w:val="1"/>
                <w:color w:val="auto"/>
              </w:rPr>
            </w:pPr>
          </w:p>
        </w:tc>
      </w:tr>
      <w:tr>
        <w:trPr>
          <w:trHeight w:val="92"/>
        </w:trPr>
        <w:tc>
          <w:tcPr>
            <w:tcW w:w="640" w:type="dxa"/>
            <w:vAlign w:val="bottom"/>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60"/>
      </w:cols>
      <w:pgMar w:left="240" w:top="20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o"/>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0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2019-12-09T13:40:22Z</dcterms:created>
  <dcterms:modified xsi:type="dcterms:W3CDTF">2019-12-09T13:40:22Z</dcterms:modified>
</cp:coreProperties>
</file>