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880" w:right="2580" w:hanging="1048"/>
        <w:spacing w:after="0" w:line="256" w:lineRule="auto"/>
        <w:tabs>
          <w:tab w:leader="none" w:pos="18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80" w:right="2580" w:hanging="1008"/>
        <w:spacing w:after="0" w:line="256" w:lineRule="auto"/>
        <w:tabs>
          <w:tab w:leader="none" w:pos="18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5" w:right="239" w:bottom="1440" w:gutter="0" w:footer="0" w:header="0"/>
        </w:sectPr>
      </w:pPr>
    </w:p>
    <w:p>
      <w:pPr>
        <w:spacing w:after="0" w:line="10"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20" w:space="620"/>
            <w:col w:w="458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ectPr>
          <w:pgSz w:w="11900" w:h="16838" w:orient="portrait"/>
          <w:cols w:equalWidth="0" w:num="1">
            <w:col w:w="11420"/>
          </w:cols>
          <w:pgMar w:left="240" w:top="225" w:right="239" w:bottom="1440" w:gutter="0" w:footer="0" w:header="0"/>
          <w:type w:val="continuous"/>
        </w:sectPr>
      </w:pPr>
    </w:p>
    <w:p>
      <w:pPr>
        <w:spacing w:after="0" w:line="150" w:lineRule="exact"/>
        <w:rPr>
          <w:sz w:val="24"/>
          <w:szCs w:val="24"/>
          <w:color w:val="auto"/>
        </w:rPr>
      </w:pPr>
    </w:p>
    <w:tbl>
      <w:tblPr>
        <w:tblLayout w:type="fixed"/>
        <w:tblInd w:w="1220" w:type="dxa"/>
        <w:tblCellMar>
          <w:top w:w="0" w:type="dxa"/>
          <w:left w:w="0" w:type="dxa"/>
          <w:bottom w:w="0" w:type="dxa"/>
          <w:right w:w="0" w:type="dxa"/>
        </w:tblCellMar>
      </w:tblPr>
      <w:tr>
        <w:trPr>
          <w:trHeight w:val="391"/>
        </w:trPr>
        <w:tc>
          <w:tcPr>
            <w:tcW w:w="6500" w:type="dxa"/>
            <w:vAlign w:val="bottom"/>
          </w:tcPr>
          <w:p>
            <w:pPr>
              <w:jc w:val="center"/>
              <w:ind w:left="2381"/>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30"/>
        </w:trPr>
        <w:tc>
          <w:tcPr>
            <w:tcW w:w="6500" w:type="dxa"/>
            <w:vAlign w:val="bottom"/>
          </w:tcPr>
          <w:p>
            <w:pPr>
              <w:jc w:val="center"/>
              <w:ind w:left="2401"/>
              <w:spacing w:after="0"/>
              <w:rPr>
                <w:sz w:val="20"/>
                <w:szCs w:val="20"/>
                <w:color w:val="auto"/>
              </w:rPr>
            </w:pPr>
            <w:r>
              <w:rPr>
                <w:rFonts w:ascii="Arial" w:cs="Arial" w:eastAsia="Arial" w:hAnsi="Arial"/>
                <w:sz w:val="18"/>
                <w:szCs w:val="18"/>
                <w:color w:val="auto"/>
                <w:w w:val="90"/>
              </w:rPr>
              <w:t>(Exact name of registrant as specified in its charter)</w:t>
            </w:r>
          </w:p>
        </w:tc>
        <w:tc>
          <w:tcPr>
            <w:tcW w:w="1800" w:type="dxa"/>
            <w:vAlign w:val="bottom"/>
          </w:tcPr>
          <w:p>
            <w:pPr>
              <w:spacing w:after="0"/>
              <w:rPr>
                <w:sz w:val="20"/>
                <w:szCs w:val="20"/>
                <w:color w:val="auto"/>
              </w:rPr>
            </w:pPr>
          </w:p>
        </w:tc>
      </w:tr>
      <w:tr>
        <w:trPr>
          <w:trHeight w:val="499"/>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1800" w:type="dxa"/>
            <w:vAlign w:val="bottom"/>
          </w:tcPr>
          <w:p>
            <w:pPr>
              <w:spacing w:after="0"/>
              <w:rPr>
                <w:sz w:val="23"/>
                <w:szCs w:val="23"/>
                <w:color w:val="auto"/>
              </w:rPr>
            </w:pPr>
          </w:p>
        </w:tc>
      </w:tr>
      <w:tr>
        <w:trPr>
          <w:trHeight w:val="256"/>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3"/>
              </w:rPr>
              <w:t>New York, NY</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type w:val="continuous"/>
        </w:sectPr>
      </w:pPr>
    </w:p>
    <w:p>
      <w:pPr>
        <w:spacing w:after="0" w:line="25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680" w:space="720"/>
            <w:col w:w="1820" w:space="720"/>
            <w:col w:w="2120" w:space="720"/>
            <w:col w:w="2640"/>
          </w:cols>
          <w:pgMar w:left="240" w:top="225" w:right="239" w:bottom="1440" w:gutter="0" w:footer="0" w:header="0"/>
          <w:type w:val="continuous"/>
        </w:sectPr>
      </w:pPr>
    </w:p>
    <w:p>
      <w:pPr>
        <w:ind w:left="626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5"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5" w:right="239" w:bottom="1440" w:gutter="0" w:footer="0" w:header="0"/>
          <w:type w:val="continuous"/>
        </w:sectPr>
      </w:pPr>
    </w:p>
    <w:p>
      <w:pPr>
        <w:spacing w:after="0" w:line="10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July 27, 2012, there were 83,617,778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Borders>
              <w:bottom w:val="single" w:sz="8" w:color="0000FF"/>
            </w:tcBorders>
          </w:tcPr>
          <w:p>
            <w:pPr>
              <w:spacing w:after="0" w:line="170" w:lineRule="exact"/>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660" w:type="dxa"/>
            <w:vAlign w:val="bottom"/>
            <w:gridSpan w:val="3"/>
          </w:tcPr>
          <w:p>
            <w:pPr>
              <w:spacing w:after="0"/>
              <w:rPr>
                <w:sz w:val="17"/>
                <w:szCs w:val="17"/>
                <w:color w:val="auto"/>
              </w:rPr>
            </w:pPr>
          </w:p>
        </w:tc>
        <w:tc>
          <w:tcPr>
            <w:tcW w:w="4000" w:type="dxa"/>
            <w:vAlign w:val="bottom"/>
            <w:tcBorders>
              <w:bottom w:val="single" w:sz="8" w:color="0000FF"/>
            </w:tcBorders>
            <w:gridSpan w:val="11"/>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c>
          <w:tcPr>
            <w:tcW w:w="20" w:type="dxa"/>
            <w:vAlign w:val="bottom"/>
          </w:tcPr>
          <w:p>
            <w:pPr>
              <w:spacing w:after="0"/>
              <w:rPr>
                <w:sz w:val="17"/>
                <w:szCs w:val="17"/>
                <w:color w:val="auto"/>
              </w:rPr>
            </w:pPr>
          </w:p>
        </w:tc>
      </w:tr>
      <w:tr>
        <w:trPr>
          <w:trHeight w:val="257"/>
        </w:trPr>
        <w:tc>
          <w:tcPr>
            <w:tcW w:w="116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5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(unaudited) as of June 30, 2012 and December 31, 2011</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 (unaudited)—For the three and six months ended June 30, 2012 and 2011</w:t>
              </w:r>
            </w:hyperlink>
          </w:p>
        </w:tc>
        <w:tc>
          <w:tcPr>
            <w:tcW w:w="140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Consolidated Statements of Comprehensive Income (Loss) (unaudited)—For the three and six months ended June 30, 2012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2011</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Changes in Equity (unaudited)—For the six months ended June 30, 2012</w:t>
              </w:r>
            </w:hyperlink>
          </w:p>
        </w:tc>
        <w:tc>
          <w:tcPr>
            <w:tcW w:w="234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(unaudited)—For the six months ended June 30, 2012 and 2011</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80" w:type="dxa"/>
            <w:vAlign w:val="bottom"/>
            <w:tcBorders>
              <w:top w:val="single" w:sz="8" w:color="0000FF"/>
            </w:tcBorders>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 (unaudited)</w:t>
              </w:r>
            </w:hyperlink>
          </w:p>
        </w:tc>
        <w:tc>
          <w:tcPr>
            <w:tcW w:w="20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2.</w:t>
              </w:r>
            </w:hyperlink>
          </w:p>
        </w:tc>
        <w:tc>
          <w:tcPr>
            <w:tcW w:w="9540" w:type="dxa"/>
            <w:vAlign w:val="bottom"/>
            <w:gridSpan w:val="1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3.</w:t>
              </w:r>
            </w:hyperlink>
          </w:p>
        </w:tc>
        <w:tc>
          <w:tcPr>
            <w:tcW w:w="954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4.</w:t>
              </w:r>
            </w:hyperlink>
          </w:p>
        </w:tc>
        <w:tc>
          <w:tcPr>
            <w:tcW w:w="954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Controls and Procedures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w:t>
              </w:r>
            </w:hyperlink>
          </w:p>
        </w:tc>
        <w:tc>
          <w:tcPr>
            <w:tcW w:w="954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55">
              <w:r>
                <w:rPr>
                  <w:rFonts w:ascii="Arial" w:cs="Arial" w:eastAsia="Arial" w:hAnsi="Arial"/>
                  <w:sz w:val="18"/>
                  <w:szCs w:val="18"/>
                  <w:color w:val="0000FF"/>
                  <w:w w:val="98"/>
                </w:rPr>
                <w:t>Item 1.</w:t>
              </w:r>
            </w:hyperlink>
          </w:p>
        </w:tc>
        <w:tc>
          <w:tcPr>
            <w:tcW w:w="600" w:type="dxa"/>
            <w:vAlign w:val="bottom"/>
            <w:gridSpan w:val="2"/>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Item 1A.</w:t>
              </w:r>
            </w:hyperlink>
          </w:p>
        </w:tc>
        <w:tc>
          <w:tcPr>
            <w:tcW w:w="52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2.</w:t>
              </w:r>
            </w:hyperlink>
          </w:p>
        </w:tc>
        <w:tc>
          <w:tcPr>
            <w:tcW w:w="52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3.</w:t>
              </w:r>
            </w:hyperlink>
          </w:p>
        </w:tc>
        <w:tc>
          <w:tcPr>
            <w:tcW w:w="9540" w:type="dxa"/>
            <w:vAlign w:val="bottom"/>
            <w:gridSpan w:val="1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4.</w:t>
              </w:r>
            </w:hyperlink>
          </w:p>
        </w:tc>
        <w:tc>
          <w:tcPr>
            <w:tcW w:w="9540" w:type="dxa"/>
            <w:vAlign w:val="bottom"/>
            <w:gridSpan w:val="1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(Removed and Reserved)</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77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5.</w:t>
              </w:r>
            </w:hyperlink>
          </w:p>
        </w:tc>
        <w:tc>
          <w:tcPr>
            <w:tcW w:w="9540" w:type="dxa"/>
            <w:vAlign w:val="bottom"/>
            <w:gridSpan w:val="1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6.</w:t>
              </w:r>
            </w:hyperlink>
          </w:p>
        </w:tc>
        <w:tc>
          <w:tcPr>
            <w:tcW w:w="9540" w:type="dxa"/>
            <w:vAlign w:val="bottom"/>
            <w:gridSpan w:val="1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96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w w:val="94"/>
              </w:rPr>
            </w:pPr>
            <w:hyperlink w:anchor="page56">
              <w:r>
                <w:rPr>
                  <w:rFonts w:ascii="Arial" w:cs="Arial" w:eastAsia="Arial" w:hAnsi="Arial"/>
                  <w:sz w:val="18"/>
                  <w:szCs w:val="18"/>
                  <w:b w:val="1"/>
                  <w:bCs w:val="1"/>
                  <w:color w:val="0000FF"/>
                  <w:w w:val="94"/>
                </w:rPr>
                <w:t>SIGNATURES</w:t>
              </w:r>
            </w:hyperlink>
          </w:p>
        </w:tc>
        <w:tc>
          <w:tcPr>
            <w:tcW w:w="9540" w:type="dxa"/>
            <w:vAlign w:val="bottom"/>
            <w:gridSpan w:val="1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Loans and other lending investments,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2,300,810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2,860,762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1,702,764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 held for investment,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1,249,681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1,228,134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 estate owned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677,458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427,501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457,835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(see Note 10)</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492,973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32,630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73,368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107,852</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7,186,212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7,517,837</w:t>
            </w:r>
          </w:p>
        </w:tc>
      </w:tr>
      <w:tr>
        <w:trPr>
          <w:trHeight w:val="237"/>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5,603,939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5,837,540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5,715,433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5,944,233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High Performance Units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Common Stock, $0.001 par value, 200,000 shares authorized, 142,527 issued and 83,610 outstanding at June 30,</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 and 140,028 issued and 81,920 outstanding at December 31, 2011</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3,828,187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3,834,460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(2,078,397)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(see Note 12)</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Treasury stock, at cost, $0.001 par value, 58,917 shares at June 30, 2012 and 58,108 shares at December 31, 2011</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(237,341)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1,399,437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1,528,356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45,248</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1,470,779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1,573,604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7,186,212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7,517,837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6"/>
              </w:rPr>
              <w:t>For the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2"/>
              </w:rPr>
              <w:t>For the</w:t>
            </w:r>
          </w:p>
        </w:tc>
        <w:tc>
          <w:tcPr>
            <w:tcW w:w="820" w:type="dxa"/>
            <w:vAlign w:val="bottom"/>
          </w:tcPr>
          <w:p>
            <w:pPr>
              <w:spacing w:after="0"/>
              <w:rPr>
                <w:sz w:val="14"/>
                <w:szCs w:val="14"/>
                <w:color w:val="auto"/>
              </w:rPr>
            </w:pPr>
          </w:p>
        </w:tc>
      </w:tr>
      <w:tr>
        <w:trPr>
          <w:trHeight w:val="149"/>
        </w:trPr>
        <w:tc>
          <w:tcPr>
            <w:tcW w:w="5600" w:type="dxa"/>
            <w:vAlign w:val="bottom"/>
          </w:tcPr>
          <w:p>
            <w:pPr>
              <w:spacing w:after="0"/>
              <w:rPr>
                <w:sz w:val="12"/>
                <w:szCs w:val="12"/>
                <w:color w:val="auto"/>
              </w:rPr>
            </w:pPr>
          </w:p>
        </w:tc>
        <w:tc>
          <w:tcPr>
            <w:tcW w:w="298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2"/>
                <w:szCs w:val="12"/>
                <w:color w:val="auto"/>
              </w:rPr>
            </w:pPr>
          </w:p>
        </w:tc>
        <w:tc>
          <w:tcPr>
            <w:tcW w:w="168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820" w:type="dxa"/>
            <w:vAlign w:val="bottom"/>
          </w:tcPr>
          <w:p>
            <w:pPr>
              <w:spacing w:after="0"/>
              <w:rPr>
                <w:sz w:val="12"/>
                <w:szCs w:val="12"/>
                <w:color w:val="auto"/>
              </w:rPr>
            </w:pPr>
          </w:p>
        </w:tc>
      </w:tr>
      <w:tr>
        <w:trPr>
          <w:trHeight w:val="192"/>
        </w:trPr>
        <w:tc>
          <w:tcPr>
            <w:tcW w:w="56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83"/>
              </w:rPr>
              <w:t>2011</w:t>
            </w: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64"/>
        </w:trPr>
        <w:tc>
          <w:tcPr>
            <w:tcW w:w="56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w w:val="88"/>
              </w:rPr>
              <w:t>36,448</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80,185</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73,651</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140,953</w:t>
            </w:r>
          </w:p>
        </w:tc>
      </w:tr>
      <w:tr>
        <w:trPr>
          <w:trHeight w:val="276"/>
        </w:trPr>
        <w:tc>
          <w:tcPr>
            <w:tcW w:w="5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income</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8"/>
              </w:rPr>
              <w:t>37,928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76,408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75,755</w:t>
            </w: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8"/>
              </w:rPr>
              <w:t>22,345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7,599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38,631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16,273</w:t>
            </w:r>
          </w:p>
        </w:tc>
      </w:tr>
      <w:tr>
        <w:trPr>
          <w:trHeight w:val="256"/>
        </w:trPr>
        <w:tc>
          <w:tcPr>
            <w:tcW w:w="5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88"/>
              </w:rPr>
              <w:t>96,721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125,426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188,690</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232,981</w:t>
            </w:r>
          </w:p>
        </w:tc>
      </w:tr>
      <w:tr>
        <w:trPr>
          <w:trHeight w:val="238"/>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p>
      <w:pPr>
        <w:spacing w:after="0" w:line="88" w:lineRule="exact"/>
        <w:rPr>
          <w:sz w:val="20"/>
          <w:szCs w:val="20"/>
          <w:color w:val="auto"/>
        </w:rPr>
      </w:pPr>
    </w:p>
    <w:p>
      <w:pPr>
        <w:ind w:left="180"/>
        <w:spacing w:after="0"/>
        <w:tabs>
          <w:tab w:leader="none" w:pos="5600" w:val="left"/>
        </w:tabs>
        <w:rPr>
          <w:sz w:val="20"/>
          <w:szCs w:val="20"/>
          <w:color w:val="auto"/>
        </w:rPr>
      </w:pPr>
      <w:r>
        <w:rPr>
          <w:rFonts w:ascii="Arial" w:cs="Arial" w:eastAsia="Arial" w:hAnsi="Arial"/>
          <w:sz w:val="14"/>
          <w:szCs w:val="14"/>
          <w:color w:val="auto"/>
        </w:rPr>
        <w:t>Interest expense</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costs—net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costs—REHI and OREO</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Impairment of assets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Total costs and expenses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Income (loss) before earnings from equity method investments and other items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 (loss) on early extinguishment of debt,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Earnings from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Income (loss) from continuing operations before income taxes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Income (loss) from continuing operations(1)</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 from discontinued operations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from sales of residential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Net income (loss)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Net income (loss) attributable to iStar Financial Inc.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Preferred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allocable to HPU holders and Participating Security holders(2)(3)</w:t>
      </w:r>
    </w:p>
    <w:p>
      <w:pPr>
        <w:spacing w:after="0" w:line="96"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4"/>
          <w:szCs w:val="14"/>
          <w:color w:val="auto"/>
        </w:rPr>
        <w:t>Net income (loss) allocable to common shareholders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 common share data(1):</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attributable to iStar Financial Inc.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attributable to iStar Financial Inc.:</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number of common shares—basic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number of common shares—diluted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 HPU share data(1)(2):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attributable to iStar Financial Inc. from continuing operations:</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 attributable to iStar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280"/>
        <w:spacing w:after="0"/>
        <w:tabs>
          <w:tab w:leader="none" w:pos="560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number of HPU shares—basic and diluted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94,474</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95,753</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179,818</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164,846</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4,965</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8,670</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22,424</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18,002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44,498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35,789</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16,960</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15,011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33,475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29,824</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19,792</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25,699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42,637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50,099</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26,531</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10,350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44,031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21,230</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7,496</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4,254</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3,907</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4,360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3,181</w:t>
            </w:r>
          </w:p>
        </w:tc>
      </w:tr>
      <w:tr>
        <w:trPr>
          <w:trHeight w:val="250"/>
        </w:trPr>
        <w:tc>
          <w:tcPr>
            <w:tcW w:w="720" w:type="dxa"/>
            <w:vAlign w:val="bottom"/>
          </w:tcPr>
          <w:p>
            <w:pPr>
              <w:jc w:val="right"/>
              <w:ind w:right="188"/>
              <w:spacing w:after="0"/>
              <w:rPr>
                <w:sz w:val="20"/>
                <w:szCs w:val="20"/>
                <w:color w:val="auto"/>
              </w:rPr>
            </w:pPr>
            <w:r>
              <w:rPr>
                <w:rFonts w:ascii="Arial" w:cs="Arial" w:eastAsia="Arial" w:hAnsi="Arial"/>
                <w:sz w:val="14"/>
                <w:szCs w:val="14"/>
                <w:color w:val="auto"/>
                <w:w w:val="86"/>
              </w:rPr>
              <w:t>196,549</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172,422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379,947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317,893</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(99,828)</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(46,996)</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(191,257)</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(84,912)</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(4,868)</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105,556</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18,420</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19,131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53,206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44,064</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(86,276)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(28,912)</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(141,215)</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64,708</w:t>
            </w:r>
          </w:p>
        </w:tc>
      </w:tr>
      <w:tr>
        <w:trPr>
          <w:trHeight w:val="276"/>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(3,477)</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(8,377)</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(89,753)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(26,237)</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(145,963)</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56,331</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507</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1,553</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24,851</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27,257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13,266</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19,999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(51,129)</w:t>
            </w: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(26,020)</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(97,177)</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57,884</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722</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r>
      <w:tr>
        <w:trPr>
          <w:trHeight w:val="244"/>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(50,407)</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(26,034)</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(96,481)</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57,440</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(10,580)</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(21,160)</w:t>
            </w:r>
          </w:p>
        </w:tc>
      </w:tr>
      <w:tr>
        <w:trPr>
          <w:trHeight w:val="276"/>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1,991</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w:t>
            </w:r>
          </w:p>
        </w:tc>
      </w:tr>
      <w:tr>
        <w:trPr>
          <w:trHeight w:val="237"/>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(58,996)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(35,525)</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(113,789)</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33,640</w:t>
            </w:r>
          </w:p>
        </w:tc>
      </w:tr>
      <w:tr>
        <w:trPr>
          <w:trHeight w:val="20"/>
        </w:trPr>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58"/>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0.34</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0.34</w:t>
            </w:r>
          </w:p>
        </w:tc>
      </w:tr>
      <w:tr>
        <w:trPr>
          <w:trHeight w:val="54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(0.70)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0.36</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(0.70)</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0.36</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84,113</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92,621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83,834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92,580</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84,113</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92,621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83,834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94,758</w:t>
            </w:r>
          </w:p>
        </w:tc>
      </w:tr>
      <w:tr>
        <w:trPr>
          <w:trHeight w:val="81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(187.93)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(73.00)</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(319.66)</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65.80</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(187.93)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(73.00)</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(319.66)</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64.40</w:t>
            </w:r>
          </w:p>
        </w:tc>
      </w:tr>
      <w:tr>
        <w:trPr>
          <w:trHeight w:val="54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(132.73)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(72.60)</w:t>
            </w:r>
          </w:p>
        </w:tc>
        <w:tc>
          <w:tcPr>
            <w:tcW w:w="1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(256.80)</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68.73</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95"/>
              </w:rPr>
              <w:t>(132.73)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(72.60)</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(256.80)</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67.27</w:t>
            </w:r>
          </w:p>
        </w:tc>
      </w:tr>
      <w:tr>
        <w:trPr>
          <w:trHeight w:val="270"/>
        </w:trPr>
        <w:tc>
          <w:tcPr>
            <w:tcW w:w="720" w:type="dxa"/>
            <w:vAlign w:val="bottom"/>
          </w:tcPr>
          <w:p>
            <w:pPr>
              <w:jc w:val="right"/>
              <w:ind w:right="188"/>
              <w:spacing w:after="0"/>
              <w:rPr>
                <w:sz w:val="20"/>
                <w:szCs w:val="20"/>
                <w:color w:val="auto"/>
              </w:rPr>
            </w:pPr>
            <w:r>
              <w:rPr>
                <w:rFonts w:ascii="Arial" w:cs="Arial" w:eastAsia="Arial" w:hAnsi="Arial"/>
                <w:sz w:val="14"/>
                <w:szCs w:val="14"/>
                <w:color w:val="auto"/>
              </w:rPr>
              <w:t>15</w:t>
            </w: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-2915920</wp:posOffset>
            </wp:positionV>
            <wp:extent cx="883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-3079115</wp:posOffset>
            </wp:positionV>
            <wp:extent cx="883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-5480050</wp:posOffset>
            </wp:positionV>
            <wp:extent cx="883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5700" w:space="700"/>
            <w:col w:w="5000"/>
          </w:cols>
          <w:pgMar w:left="240" w:top="118" w:right="259" w:bottom="0" w:gutter="0" w:footer="0" w:header="0"/>
          <w:type w:val="continuous"/>
        </w:sectPr>
      </w:pPr>
    </w:p>
    <w:p>
      <w:pPr>
        <w:spacing w:after="0" w:line="55" w:lineRule="exact"/>
        <w:rPr>
          <w:sz w:val="20"/>
          <w:szCs w:val="20"/>
          <w:color w:val="auto"/>
        </w:rPr>
      </w:pPr>
    </w:p>
    <w:p>
      <w:pPr>
        <w:ind w:left="660" w:right="40" w:hanging="328"/>
        <w:spacing w:after="0" w:line="34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3"/>
          <w:szCs w:val="13"/>
          <w:color w:val="auto"/>
        </w:rPr>
        <w:t>Income (loss) from continuing operations attributable to iStar Financial Inc. for the three months ended June 30, 2012 and 2011 was $(89.0) million and $(26.3) million, respectively, and for the six months ended June 30, 2012 and 2011 was $(145.3) million and $55.9 million, respectively. See Note 14 for details on the calculation of earnings per share.</w:t>
      </w:r>
    </w:p>
    <w:p>
      <w:pPr>
        <w:sectPr>
          <w:pgSz w:w="11900" w:h="16838" w:orient="portrait"/>
          <w:cols w:equalWidth="0" w:num="1">
            <w:col w:w="11400"/>
          </w:cols>
          <w:pgMar w:left="240" w:top="118" w:right="259" w:bottom="0" w:gutter="0" w:footer="0" w:header="0"/>
          <w:type w:val="continuous"/>
        </w:sectPr>
      </w:pPr>
    </w:p>
    <w:bookmarkStart w:id="4" w:name="page5"/>
    <w:bookmarkEnd w:id="4"/>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w:t>
      </w:r>
    </w:p>
    <w:p>
      <w:pPr>
        <w:spacing w:after="0" w:line="33" w:lineRule="exact"/>
        <w:rPr>
          <w:rFonts w:ascii="Arial" w:cs="Arial" w:eastAsia="Arial" w:hAnsi="Arial"/>
          <w:sz w:val="18"/>
          <w:szCs w:val="18"/>
          <w:color w:val="auto"/>
        </w:rPr>
      </w:pPr>
    </w:p>
    <w:p>
      <w:pPr>
        <w:ind w:left="328" w:hanging="328"/>
        <w:spacing w:after="0" w:line="28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Notes 13 and 14).</w:t>
      </w:r>
    </w:p>
    <w:p>
      <w:pPr>
        <w:spacing w:after="0" w:line="135"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8"/>
          </w:cols>
          <w:pgMar w:left="572" w:top="123" w:right="4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520"/>
              <w:spacing w:after="0"/>
              <w:rPr>
                <w:sz w:val="20"/>
                <w:szCs w:val="20"/>
                <w:color w:val="auto"/>
              </w:rPr>
            </w:pPr>
            <w:r>
              <w:rPr>
                <w:rFonts w:ascii="Arial" w:cs="Arial" w:eastAsia="Arial" w:hAnsi="Arial"/>
                <w:sz w:val="14"/>
                <w:szCs w:val="14"/>
                <w:b w:val="1"/>
                <w:bCs w:val="1"/>
                <w:color w:val="auto"/>
              </w:rPr>
              <w:t>For the Three Months</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Reclassification of (gains)/losses on cash flow hedges into earnings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upon realization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9"/>
              </w:rPr>
              <w:t>Unrealized gains/(losses) on cumulative translation adjustment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1,728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(50,697)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(97,556)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59,295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(96,860)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58,851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7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Retained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HPU's</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at</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Stock(1)</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Par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16"/>
                <w:szCs w:val="16"/>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2011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w w:val="94"/>
              </w:rPr>
              <w:t>$ 3,834,460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 (2,078,397)</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$(237,341)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45,248</w:t>
            </w: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preferred</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Repurchase of stock</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w w:val="99"/>
              </w:rPr>
              <w:t>Issuance of stock/restricted</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stock unit amortization, net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rPr>
              <w:t>Net income (loss) for the</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period(2)</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(96,481)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w w:val="92"/>
              </w:rPr>
              <w:t>Change in accumulated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w w:val="93"/>
              </w:rPr>
              <w:t>comprehensive income (loss)</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rPr>
              <w:t>Repurchase of convertible</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rPr>
              <w:t>Contributions from</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noncontrolling interests (3)</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27,389</w:t>
            </w: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rPr>
              <w:t>Distributions to</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$ 3,828,187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(2,196,038)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$(241,969)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71,342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-2846705</wp:posOffset>
            </wp:positionV>
            <wp:extent cx="7246620" cy="2830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830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20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12 for details on the Company's Cumulative Redeemable Preferred Stock.</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six months ended June 30, 2012, net loss shown above excludes $7 of net loss attributable to redeemable noncontrolling interests.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$27.3 million of land assets contributed by a noncontrolling partner (see Note 5).</w:t>
      </w:r>
    </w:p>
    <w:p>
      <w:pPr>
        <w:spacing w:after="0" w:line="1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Equity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$1,573,604</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(21,160)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(4,628)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(3,543)</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(97,170)</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(379)</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(2,728)</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27,389</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$1,470,779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617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ectPr>
          <w:pgSz w:w="11900" w:h="16838" w:orient="portrait"/>
          <w:cols w:equalWidth="0" w:num="2">
            <w:col w:w="10340" w:space="140"/>
            <w:col w:w="900"/>
          </w:cols>
          <w:pgMar w:left="240" w:top="118" w:right="279" w:bottom="1440" w:gutter="0" w:footer="0" w:header="0"/>
        </w:sectPr>
      </w:pPr>
    </w:p>
    <w:bookmarkStart w:id="7" w:name="page8"/>
    <w:bookmarkEnd w:id="7"/>
    <w:p>
      <w:pPr>
        <w:spacing w:after="0" w:line="45" w:lineRule="exact"/>
        <w:rPr>
          <w:sz w:val="20"/>
          <w:szCs w:val="20"/>
          <w:color w:val="auto"/>
        </w:rPr>
      </w:pPr>
    </w:p>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r>
      <w:tr>
        <w:trPr>
          <w:trHeight w:val="25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(97,177)</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57,884</w:t>
            </w:r>
          </w:p>
        </w:tc>
      </w:tr>
      <w:tr>
        <w:trPr>
          <w:trHeight w:val="27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cash flows from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Provision for loan losses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44,031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21,230</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 of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4,228</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34,418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32,065</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for employee taxes upon vesting of stock-based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Non-cash expense for stock-based compensation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8,469</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discounts/premiums and deferred financing costs on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14,551</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Amortization of discounts/premiums and deferred interest on lending investments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(29,442)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(41,703)</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(44,064)</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Distributions from operations of equity method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56,769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23,410</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operating lease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Income from sales of residential property</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(19,999)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 from discontinued operations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Gain (loss) on early extinguishment of debt,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(101,832)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and repurchases of debt - debt discount (1)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Other operating activities,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4,781</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assets and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Changes in accrued interest and operating lease income receivable,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(898)</w:t>
            </w: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deferred expenses and other assets,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(22,262)</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17,856</w:t>
            </w:r>
          </w:p>
        </w:tc>
      </w:tr>
      <w:tr>
        <w:trPr>
          <w:trHeight w:val="25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(57,196)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(34,676)</w:t>
            </w:r>
          </w:p>
        </w:tc>
      </w:tr>
      <w:tr>
        <w:trPr>
          <w:trHeight w:val="244"/>
        </w:trPr>
        <w:tc>
          <w:tcPr>
            <w:tcW w:w="83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Fundings under existing loan commitments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(39,772)</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of and principal collections on loans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322,045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798,274</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proceeds from sales of loans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88,751</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Net proceeds from sales of net lease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142,714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proceeds from sales of other real estate owned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168,388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92,840</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Contributions to unconsolidated entities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(6,145)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(20,219)</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from unconsolidated entities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4,489</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Capital expenditures on net lease assets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(4,902)</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 on REHI and OREO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(15,966)</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Changes in restricted cash held in connection with investing activities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(462,605)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(51,985)</w:t>
            </w:r>
          </w:p>
        </w:tc>
      </w:tr>
      <w:tr>
        <w:trPr>
          <w:trHeight w:val="270"/>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investing activities, net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r>
      <w:tr>
        <w:trPr>
          <w:trHeight w:val="25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206,147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851,644</w:t>
            </w:r>
          </w:p>
        </w:tc>
      </w:tr>
      <w:tr>
        <w:trPr>
          <w:trHeight w:val="25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Borrowings under secured credit facilities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850,465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2,913,250</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under secured credit facilities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(392,124)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(1,199,362)</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under unsecured credit facilities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(244,046)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(506,600)</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Borrowings under secured term loans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124,575</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under secured term loans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(54,767)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(1,680,118)</w:t>
            </w:r>
          </w:p>
        </w:tc>
      </w:tr>
      <w:tr>
        <w:trPr>
          <w:trHeight w:val="276"/>
        </w:trPr>
        <w:tc>
          <w:tcPr>
            <w:tcW w:w="8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under unsecured notes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264,029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Repayments under unsecured notes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(259,584)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(204,405)</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Repurchases and redemptions of secured and unsecured notes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(396,356)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(323,642)</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Payments for deferred financing costs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(35,526)</w:t>
            </w:r>
          </w:p>
        </w:tc>
      </w:tr>
      <w:tr>
        <w:trPr>
          <w:trHeight w:val="27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dividends paid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(21,160)</w:t>
            </w:r>
          </w:p>
        </w:tc>
      </w:tr>
      <w:tr>
        <w:trPr>
          <w:trHeight w:val="264"/>
        </w:trPr>
        <w:tc>
          <w:tcPr>
            <w:tcW w:w="8320" w:type="dxa"/>
            <w:vAlign w:val="bottom"/>
          </w:tcPr>
          <w:p>
            <w:pPr>
              <w:ind w:left="160"/>
              <w:spacing w:after="0"/>
              <w:rPr>
                <w:sz w:val="20"/>
                <w:szCs w:val="20"/>
                <w:color w:val="auto"/>
              </w:rPr>
            </w:pPr>
            <w:r>
              <w:rPr>
                <w:rFonts w:ascii="Arial" w:cs="Arial" w:eastAsia="Arial" w:hAnsi="Arial"/>
                <w:sz w:val="14"/>
                <w:szCs w:val="14"/>
                <w:color w:val="auto"/>
              </w:rPr>
              <w:t>Purchase of treasury stock</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(1,487)</w:t>
            </w:r>
          </w:p>
        </w:tc>
      </w:tr>
      <w:tr>
        <w:trPr>
          <w:trHeight w:val="270"/>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financing activities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1,588</w:t>
            </w:r>
          </w:p>
        </w:tc>
      </w:tr>
      <w:tr>
        <w:trPr>
          <w:trHeight w:val="25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(261,934)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(932,887)</w:t>
            </w:r>
          </w:p>
        </w:tc>
      </w:tr>
      <w:tr>
        <w:trPr>
          <w:trHeight w:val="256"/>
        </w:trPr>
        <w:tc>
          <w:tcPr>
            <w:tcW w:w="8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(112,983)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(115,919)</w:t>
            </w:r>
          </w:p>
        </w:tc>
      </w:tr>
      <w:tr>
        <w:trPr>
          <w:trHeight w:val="264"/>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356,826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504,865</w:t>
            </w:r>
          </w:p>
        </w:tc>
      </w:tr>
      <w:tr>
        <w:trPr>
          <w:trHeight w:val="243"/>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388,946</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84" w:orient="portrait"/>
          <w:cols w:equalWidth="0" w:num="1">
            <w:col w:w="11400"/>
          </w:cols>
          <w:pgMar w:left="240" w:top="118" w:right="25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205" w:lineRule="exact"/>
        <w:rPr>
          <w:sz w:val="20"/>
          <w:szCs w:val="20"/>
          <w:color w:val="auto"/>
        </w:rPr>
      </w:pPr>
    </w:p>
    <w:p>
      <w:pPr>
        <w:ind w:left="660" w:hanging="328"/>
        <w:spacing w:after="0" w:line="27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portion of debt repayments and repurchases made during the period related to the original issue discount ("OID"). Although these amounts do not reflect contractual interest payments made during the period, the OID is considered an operating cash flow in accordance with GAAP.</w:t>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337" w:right="6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—iStar Financial Inc., or the "Company," is a fully-integrated finance and investment company focused on the commercial real estate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three primary business segments are real estate lending, net leasing and real estate investment. See Note 10 for discussion of business risks and uncertainties, including the impact of recent economic conditions on the Company and the Company's liquidity and capital resources.</w:t>
      </w:r>
    </w:p>
    <w:p>
      <w:pPr>
        <w:spacing w:after="0" w:line="15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—The Company began its business in 1993 through private investment funds and became publicly traded in 1998. Since that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grown through the origination of new lending and leasing transactions, as well as through corporate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22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2011.</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2012 presentation.</w:t>
      </w:r>
    </w:p>
    <w:p>
      <w:pPr>
        <w:spacing w:after="0" w:line="24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—The Company consolidates OHA Strategic Credit Fund Parallel I, L.P. ("OHA SCF"), which was created to invest in distressed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undervalued loans, bonds, equities and other investments. As of June 30, 2012 and December 31, 2011, OHA SCF had total assets of $51.6 million and $56.9 million, respectively, no debt, and noncontrolling interests of $0.1 million for both periods. The investments held by this entity are presented in "Other investments" on the Company's Consolidated Balance Sheets. As of June 30, 2012, the Company had a total unfunded commitment of $16.9 million to this entity.</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also consolidates Madison Deutsche Andau Holdings, LP ("Madison DA"), which was created to invest in mortgage loans collateralized by real estate in Europe. As of June 30, 2012 and December 31, 2011, Madison DA had total assets of $36.0 million and $37.4 million, respectively, no debt, and noncontrolling interests of $5.1 million and $5.4 million, respectively. The investments held by this entity are presented in "Loans and other lending investments, net" on the Company's Consolidated Balance Sheets.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—As of June 30, 2012, 26 of the Company's other investments were in VIEs where it is not the primary beneficiary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 the VIEs have not been consolidated in the Company's Consolidated Financial Statements. As of June 30, 2012, the Company's maximum exposure to loss from these investments does not exceed the sum of the $191.5 million carrying value of the investments and $8.2 million of related unfunded commitments.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2012, the Company's significant accounting policies, which are detailed in the Company's Annual Report on Form 10-K for the year ended December 31, 2011, have not changed materially.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June 2011, the Financial Accounting Standards Board ("FASB") issued Accounting Standards Update ("ASU") 2011-05, "Presentation of Comprehensive Income," which requires entities to (1) present net income and other comprehensive income in either a single continuous statement or in two separate, but consecutive, statements of net income and other comprehensive income and (2) present reclassification of other comprehensive income on the face of the income statement. In December 2011, the FASB issued ASU 2011-12, "Deferral of the Effective Date for Amendments to the Presentation of Reclassifications of Items Out of Accumulated Other Comprehensive Income in Accounting Standards Update No. 2011-05," which deferred the requirements of entities to present reclassification of other comprehensive income on the face of the income statement. Both standards are effective in interim and fiscal years beginning after December 15, 2011 and applied retrospectively. The Company adopted this ASU beginning with the reporting period ended March 31, 2012, as required, and now presents Consolidated Statements of Comprehensive Income (Loss).</w:t>
      </w:r>
    </w:p>
    <w:p>
      <w:pPr>
        <w:spacing w:after="0" w:line="1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2011, the FASB issued ASU 2011-04, "Amendments to Achieve Common Fair Value Measurement and Disclosure Requirements in U.S. GAAP and IFRSs." This ASU is a result of joint efforts by the FASB and IASB to develop a single, converged framework on how to measure fair value and what disclosures to provide about fair value measurements. This ASU is largely consistent with existing fair value measurement principles of U.S. GAAP, however, it expands existing disclosure requirements for fair value measurements. The ASU is effective for interim and annual reporting periods beginning after December 15, 2011 and applied prospectively. The Company adopted this ASU beginning with the reporting period ended March 31, 2012, as required. Adoption of this guidance resulted in expanded disclosures on fair value measurements, included in Note 15, but did not have an impact to the Company's measurements of fair value.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and other lending investments by class ($ in thousands)(1):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Investment(1)</w:t>
            </w:r>
          </w:p>
        </w:tc>
        <w:tc>
          <w:tcPr>
            <w:tcW w:w="28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2,237,764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2,801,213</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149,735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211,491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478,892</w:t>
            </w:r>
          </w:p>
        </w:tc>
        <w:tc>
          <w:tcPr>
            <w:tcW w:w="0" w:type="dxa"/>
            <w:vAlign w:val="bottom"/>
          </w:tcPr>
          <w:p>
            <w:pPr>
              <w:spacing w:after="0"/>
              <w:rPr>
                <w:sz w:val="1"/>
                <w:szCs w:val="1"/>
                <w:color w:val="auto"/>
              </w:rPr>
            </w:pPr>
          </w:p>
        </w:tc>
      </w:tr>
      <w:tr>
        <w:trPr>
          <w:trHeight w:val="237"/>
        </w:trPr>
        <w:tc>
          <w:tcPr>
            <w:tcW w:w="8060" w:type="dxa"/>
            <w:vAlign w:val="bottom"/>
          </w:tcPr>
          <w:p>
            <w:pPr>
              <w:ind w:left="180"/>
              <w:spacing w:after="0"/>
              <w:rPr>
                <w:sz w:val="20"/>
                <w:szCs w:val="20"/>
                <w:color w:val="auto"/>
              </w:rPr>
            </w:pPr>
            <w:r>
              <w:rPr>
                <w:rFonts w:ascii="Arial" w:cs="Arial" w:eastAsia="Arial" w:hAnsi="Arial"/>
                <w:sz w:val="18"/>
                <w:szCs w:val="18"/>
                <w:color w:val="auto"/>
              </w:rPr>
              <w:t>Total gross carrying value of loans(1)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2,848,924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3,491,596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(563,786)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(646,624)</w:t>
            </w:r>
          </w:p>
        </w:tc>
        <w:tc>
          <w:tcPr>
            <w:tcW w:w="0" w:type="dxa"/>
            <w:vAlign w:val="bottom"/>
          </w:tcPr>
          <w:p>
            <w:pPr>
              <w:spacing w:after="0"/>
              <w:rPr>
                <w:sz w:val="1"/>
                <w:szCs w:val="1"/>
                <w:color w:val="auto"/>
              </w:rPr>
            </w:pPr>
          </w:p>
        </w:tc>
      </w:tr>
      <w:tr>
        <w:trPr>
          <w:trHeight w:val="237"/>
        </w:trPr>
        <w:tc>
          <w:tcPr>
            <w:tcW w:w="8060" w:type="dxa"/>
            <w:vAlign w:val="bottom"/>
          </w:tcPr>
          <w:p>
            <w:pPr>
              <w:ind w:left="180"/>
              <w:spacing w:after="0"/>
              <w:rPr>
                <w:sz w:val="20"/>
                <w:szCs w:val="20"/>
                <w:color w:val="auto"/>
              </w:rPr>
            </w:pPr>
            <w:r>
              <w:rPr>
                <w:rFonts w:ascii="Arial" w:cs="Arial" w:eastAsia="Arial" w:hAnsi="Arial"/>
                <w:sz w:val="18"/>
                <w:szCs w:val="18"/>
                <w:color w:val="auto"/>
              </w:rPr>
              <w:t>Total carrying value of loans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2,285,138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2,844,972</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57"/>
        </w:trPr>
        <w:tc>
          <w:tcPr>
            <w:tcW w:w="8060" w:type="dxa"/>
            <w:vAlign w:val="bottom"/>
          </w:tcPr>
          <w:p>
            <w:pPr>
              <w:ind w:left="180"/>
              <w:spacing w:after="0"/>
              <w:rPr>
                <w:sz w:val="20"/>
                <w:szCs w:val="20"/>
                <w:color w:val="auto"/>
              </w:rPr>
            </w:pPr>
            <w:r>
              <w:rPr>
                <w:rFonts w:ascii="Arial" w:cs="Arial" w:eastAsia="Arial" w:hAnsi="Arial"/>
                <w:sz w:val="18"/>
                <w:szCs w:val="18"/>
                <w:color w:val="auto"/>
              </w:rPr>
              <w:t>Total loans and other lending investments,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2,300,810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2,860,762</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b w:val="1"/>
                <w:bCs w:val="1"/>
                <w:color w:val="auto"/>
              </w:rPr>
              <w:t>Explanatory Note:</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6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60" w:right="80" w:hanging="652"/>
        <w:spacing w:after="0" w:line="28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color w:val="auto"/>
        </w:rPr>
        <w:t>The Company's recorded investment in loans as of June 30, 2012 and December 31, 2011 was $2.86 billion and $3.50 billion, respectively, which consists of total gross carrying value of loans plus accrued interest of $10.4 million and $13.3 million, for the same two periods, respectively.</w:t>
      </w:r>
    </w:p>
    <w:p>
      <w:pPr>
        <w:spacing w:after="0" w:line="1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six months ended June 30, 2012, the Company funded $23.9 million under existing loan commitments and add-on fundings and received principal repayments of $322.0 million. During the same period, the Company sold loans with a total carrying value of $53.9 million, for which it recognized charge-offs of $3.3 million and also recorded income of $6.4 million in "Other income" on the Company's Consolidated Statements of Operations.</w:t>
      </w:r>
    </w:p>
    <w:p>
      <w:pPr>
        <w:spacing w:after="0" w:line="14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six months ended June 30, 2012, the Company received title to properties in full or partial satisfaction of non-performing mortgage loans with a gross carrying value of $229.0 million, for which the properties had served as collateral, and recorded charge-offs totaling $43.2 million related to these loans. These properties were recorded as other real estate owned ("OREO") on the Company's Consolidated Balance Sheets (see Note 5).</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80"/>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860" w:type="dxa"/>
            <w:vAlign w:val="bottom"/>
          </w:tcPr>
          <w:p>
            <w:pPr>
              <w:spacing w:after="0"/>
              <w:rPr>
                <w:sz w:val="14"/>
                <w:szCs w:val="14"/>
                <w:color w:val="auto"/>
              </w:rPr>
            </w:pPr>
          </w:p>
        </w:tc>
      </w:tr>
      <w:tr>
        <w:trPr>
          <w:trHeight w:val="192"/>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Ended June 30,</w:t>
            </w:r>
          </w:p>
        </w:tc>
        <w:tc>
          <w:tcPr>
            <w:tcW w:w="86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567,179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804,070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646,624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814,625</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26,531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10,350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44,031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21,230</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(134,627)</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563,786</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701,228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563,786</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701,228</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55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(comprised of a loan's carrying value plus accrued interest) in loans and the associated reserve for loan losses were as follows ($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Individually</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 Acquired</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Deteriorated</w:t>
            </w:r>
          </w:p>
        </w:tc>
        <w:tc>
          <w:tcPr>
            <w:tcW w:w="38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Impairment(1)</w:t>
            </w: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Impairment(2)</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Credit Quality(3)</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2012</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1,278,305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1,523,578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57,461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2,859,344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(487,645)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(563,786)</w:t>
            </w:r>
          </w:p>
        </w:tc>
        <w:tc>
          <w:tcPr>
            <w:tcW w:w="0" w:type="dxa"/>
            <w:vAlign w:val="bottom"/>
          </w:tcPr>
          <w:p>
            <w:pPr>
              <w:spacing w:after="0"/>
              <w:rPr>
                <w:sz w:val="1"/>
                <w:szCs w:val="1"/>
                <w:color w:val="auto"/>
              </w:rPr>
            </w:pPr>
          </w:p>
        </w:tc>
      </w:tr>
      <w:tr>
        <w:trPr>
          <w:trHeight w:val="297"/>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790,660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1,466,778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38,120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2,295,558</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2011</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1,525,337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1,919,876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59,648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3,504,861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(646,624)</w:t>
            </w:r>
          </w:p>
        </w:tc>
        <w:tc>
          <w:tcPr>
            <w:tcW w:w="0" w:type="dxa"/>
            <w:vAlign w:val="bottom"/>
          </w:tcPr>
          <w:p>
            <w:pPr>
              <w:spacing w:after="0"/>
              <w:rPr>
                <w:sz w:val="1"/>
                <w:szCs w:val="1"/>
                <w:color w:val="auto"/>
              </w:rPr>
            </w:pPr>
          </w:p>
        </w:tc>
      </w:tr>
      <w:tr>
        <w:trPr>
          <w:trHeight w:val="257"/>
        </w:trPr>
        <w:tc>
          <w:tcPr>
            <w:tcW w:w="454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971,206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1,846,376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40,655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2,858,237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100" w:hanging="652"/>
        <w:spacing w:after="0" w:line="28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4"/>
          <w:szCs w:val="14"/>
          <w:color w:val="auto"/>
        </w:rPr>
        <w:t>The carrying value of these loans include unamortized discounts, premiums, deferred fees and costs aggregating to a net discount of $1.3 million and a net premium of $0.1 million as of June 30, 2012 and December 31, 2011, respectively. The Company's loans individually evaluated for impairment primarily represent loans on non-accrual status and therefore, the unamortized amounts associated with these loans are not currently being amortized into income.</w:t>
      </w:r>
    </w:p>
    <w:p>
      <w:pPr>
        <w:spacing w:after="0" w:line="24" w:lineRule="exact"/>
        <w:rPr>
          <w:rFonts w:ascii="Arial" w:cs="Arial" w:eastAsia="Arial" w:hAnsi="Arial"/>
          <w:sz w:val="18"/>
          <w:szCs w:val="18"/>
          <w:color w:val="auto"/>
        </w:rPr>
      </w:pPr>
    </w:p>
    <w:p>
      <w:pPr>
        <w:ind w:left="660" w:right="40" w:hanging="652"/>
        <w:spacing w:after="0" w:line="26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4"/>
          <w:szCs w:val="14"/>
          <w:color w:val="auto"/>
        </w:rPr>
        <w:t>The carrying value of these loans include unamortized discounts, premiums, deferred fees and costs aggregating to a net discount of $2.1 million and $0.2 million as of June 30, 2012 and December 31, 2011, respectively.</w:t>
      </w:r>
    </w:p>
    <w:p>
      <w:pPr>
        <w:spacing w:after="0" w:line="22" w:lineRule="exact"/>
        <w:rPr>
          <w:rFonts w:ascii="Arial" w:cs="Arial" w:eastAsia="Arial" w:hAnsi="Arial"/>
          <w:sz w:val="18"/>
          <w:szCs w:val="18"/>
          <w:color w:val="auto"/>
        </w:rPr>
      </w:pPr>
    </w:p>
    <w:p>
      <w:pPr>
        <w:ind w:left="660" w:right="40" w:hanging="652"/>
        <w:spacing w:after="0" w:line="34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3"/>
          <w:szCs w:val="13"/>
          <w:color w:val="auto"/>
        </w:rPr>
        <w:t>The carrying value of these loans include unamortized discounts, premiums, deferred fees and costs aggregating to a net premium of $0.1 million and a net discount of $15.0 million as of June 30, 2012 and December 31, 2011. These loans had cumulative principal balances of $57.7 million and $74.5 million, as of June 30, 2012 and December 31, 2011, respectively.</w:t>
      </w:r>
    </w:p>
    <w:p>
      <w:pPr>
        <w:spacing w:after="0" w:line="25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The Company's recorded investment in performing loans, presented by class and by credit quality, as indicated by risk rating, was as follows ($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85"/>
              </w:rPr>
              <w:t>As of</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3"/>
              </w:rPr>
              <w:t>Performing</w:t>
            </w:r>
          </w:p>
        </w:tc>
        <w:tc>
          <w:tcPr>
            <w:tcW w:w="100" w:type="dxa"/>
            <w:vAlign w:val="bottom"/>
          </w:tcPr>
          <w:p>
            <w:pPr>
              <w:spacing w:after="0"/>
              <w:rPr>
                <w:sz w:val="13"/>
                <w:szCs w:val="13"/>
                <w:color w:val="auto"/>
              </w:rPr>
            </w:pPr>
          </w:p>
        </w:tc>
        <w:tc>
          <w:tcPr>
            <w:tcW w:w="132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Risk Ratings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Risk Ratings</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1,176,248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1,514,016</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97,520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190,342</w:t>
            </w: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455,320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472,178</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1,729,088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2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2,176,536</w:t>
            </w: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57"/>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2012, the Company's recorded investment in loans, aged by payment status and presented by class, were as follows ($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Greater</w:t>
            </w:r>
          </w:p>
        </w:tc>
        <w:tc>
          <w:tcPr>
            <w:tcW w:w="28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and Equal</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Than</w:t>
            </w: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to 90 Days(1)</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90 Days(1)</w:t>
            </w: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Past Due</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124,371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842,908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967,279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2,243,285</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97,520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53,109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53,109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150,629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455,320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465,430</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1,828,846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124,371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906,127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1,030,498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2,859,344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7" w:lineRule="exact"/>
        <w:rPr>
          <w:sz w:val="20"/>
          <w:szCs w:val="20"/>
          <w:color w:val="auto"/>
        </w:rPr>
      </w:pPr>
    </w:p>
    <w:p>
      <w:pPr>
        <w:ind w:left="660" w:hanging="57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4"/>
          <w:szCs w:val="14"/>
          <w:color w:val="auto"/>
        </w:rPr>
        <w:t>As of June 30, 2012, all loans that are not current are classified as non-performing and are on non-accrual status.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00" w:lineRule="exact"/>
        <w:rPr>
          <w:sz w:val="20"/>
          <w:szCs w:val="20"/>
          <w:color w:val="auto"/>
        </w:rPr>
      </w:pP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 June 30, 2012</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As of December 31, 2011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240" w:type="dxa"/>
            <w:vAlign w:val="bottom"/>
          </w:tcPr>
          <w:p>
            <w:pPr>
              <w:spacing w:after="0"/>
              <w:rPr>
                <w:sz w:val="13"/>
                <w:szCs w:val="13"/>
                <w:color w:val="auto"/>
              </w:rPr>
            </w:pP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6"/>
                <w:szCs w:val="16"/>
                <w:color w:val="auto"/>
              </w:rPr>
            </w:pPr>
          </w:p>
        </w:tc>
        <w:tc>
          <w:tcPr>
            <w:tcW w:w="1180" w:type="dxa"/>
            <w:vAlign w:val="bottom"/>
          </w:tcPr>
          <w:p>
            <w:pPr>
              <w:jc w:val="right"/>
              <w:ind w:right="273"/>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11"/>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With no related allowance</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recorded:</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160"/>
              <w:spacing w:after="0"/>
              <w:rPr>
                <w:sz w:val="20"/>
                <w:szCs w:val="20"/>
                <w:color w:val="auto"/>
              </w:rPr>
            </w:pPr>
            <w:r>
              <w:rPr>
                <w:rFonts w:ascii="Arial" w:cs="Arial" w:eastAsia="Arial" w:hAnsi="Arial"/>
                <w:sz w:val="18"/>
                <w:szCs w:val="18"/>
                <w:color w:val="auto"/>
              </w:rPr>
              <w:t>Senior mortgages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153,956</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153,565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219,488</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218,612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Corporate/Partnership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0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164,066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163,725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229,598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228,772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With an allowance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recorded:</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160"/>
              <w:spacing w:after="0"/>
              <w:rPr>
                <w:sz w:val="20"/>
                <w:szCs w:val="20"/>
                <w:color w:val="auto"/>
              </w:rPr>
            </w:pPr>
            <w:r>
              <w:rPr>
                <w:rFonts w:ascii="Arial" w:cs="Arial" w:eastAsia="Arial" w:hAnsi="Arial"/>
                <w:sz w:val="18"/>
                <w:szCs w:val="18"/>
                <w:color w:val="auto"/>
              </w:rPr>
              <w:t>Senior mortgages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1,058,007</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1,053,514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(470,617)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1,268,962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1,263,195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(540,670)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Subordinate mortgages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(22,480)</w:t>
            </w:r>
          </w:p>
        </w:tc>
        <w:tc>
          <w:tcPr>
            <w:tcW w:w="0" w:type="dxa"/>
            <w:vAlign w:val="bottom"/>
          </w:tcPr>
          <w:p>
            <w:pPr>
              <w:spacing w:after="0"/>
              <w:rPr>
                <w:sz w:val="1"/>
                <w:szCs w:val="1"/>
                <w:color w:val="auto"/>
              </w:rPr>
            </w:pPr>
          </w:p>
        </w:tc>
      </w:tr>
      <w:tr>
        <w:trPr>
          <w:trHeight w:val="229"/>
        </w:trPr>
        <w:tc>
          <w:tcPr>
            <w:tcW w:w="2100" w:type="dxa"/>
            <w:vAlign w:val="bottom"/>
          </w:tcPr>
          <w:p>
            <w:pPr>
              <w:ind w:left="160"/>
              <w:spacing w:after="0"/>
              <w:rPr>
                <w:sz w:val="20"/>
                <w:szCs w:val="20"/>
                <w:color w:val="auto"/>
              </w:rPr>
            </w:pPr>
            <w:r>
              <w:rPr>
                <w:rFonts w:ascii="Arial" w:cs="Arial" w:eastAsia="Arial" w:hAnsi="Arial"/>
                <w:sz w:val="18"/>
                <w:szCs w:val="18"/>
                <w:color w:val="auto"/>
              </w:rPr>
              <w:t>Corporate/Partnership</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60,584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60,804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62,591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62,845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7"/>
        </w:trPr>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1,167,199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1,354,033</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1,348,598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(573,124)</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1,207,079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1,488,450</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1,481,807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(540,670)</w:t>
            </w:r>
          </w:p>
        </w:tc>
        <w:tc>
          <w:tcPr>
            <w:tcW w:w="0" w:type="dxa"/>
            <w:vAlign w:val="bottom"/>
          </w:tcPr>
          <w:p>
            <w:pPr>
              <w:spacing w:after="0"/>
              <w:rPr>
                <w:sz w:val="1"/>
                <w:szCs w:val="1"/>
                <w:color w:val="auto"/>
              </w:rPr>
            </w:pPr>
          </w:p>
        </w:tc>
      </w:tr>
      <w:tr>
        <w:trPr>
          <w:trHeight w:val="243"/>
        </w:trPr>
        <w:tc>
          <w:tcPr>
            <w:tcW w:w="2100" w:type="dxa"/>
            <w:vAlign w:val="bottom"/>
          </w:tcPr>
          <w:p>
            <w:pPr>
              <w:ind w:left="160"/>
              <w:spacing w:after="0"/>
              <w:rPr>
                <w:sz w:val="20"/>
                <w:szCs w:val="20"/>
                <w:color w:val="auto"/>
              </w:rPr>
            </w:pPr>
            <w:r>
              <w:rPr>
                <w:rFonts w:ascii="Arial" w:cs="Arial" w:eastAsia="Arial" w:hAnsi="Arial"/>
                <w:sz w:val="18"/>
                <w:szCs w:val="18"/>
                <w:color w:val="auto"/>
              </w:rPr>
              <w:t>Subordinate mortgages</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52,881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Corporate/Partnership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70,694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70,964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50"/>
        </w:trPr>
        <w:tc>
          <w:tcPr>
            <w:tcW w:w="210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1,335,766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1,330,924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(506,986)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1,583,631</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1,577,370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8890</wp:posOffset>
            </wp:positionV>
            <wp:extent cx="5659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-127635</wp:posOffset>
            </wp:positionV>
            <wp:extent cx="5659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100" w:hanging="652"/>
        <w:spacing w:after="0" w:line="29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4"/>
          <w:szCs w:val="14"/>
          <w:color w:val="auto"/>
        </w:rPr>
        <w:t>All of the Company's non-accrual loans are considered impaired and included in the table above. In addition, as of June 30, 2012 and December 31, 2011, certain loans modified through troubled debt restructurings with a recorded investment of $205.5 million and $255.3 million, respectively, are also included as impaired loans in accordance with GAAP although they are performing and on accrual status.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w w:val="96"/>
              </w:rPr>
              <w:t>For the Three Months 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250"/>
              <w:spacing w:after="0"/>
              <w:rPr>
                <w:sz w:val="20"/>
                <w:szCs w:val="20"/>
                <w:color w:val="auto"/>
              </w:rPr>
            </w:pPr>
            <w:r>
              <w:rPr>
                <w:rFonts w:ascii="Arial" w:cs="Arial" w:eastAsia="Arial" w:hAnsi="Arial"/>
                <w:sz w:val="14"/>
                <w:szCs w:val="14"/>
                <w:b w:val="1"/>
                <w:bCs w:val="1"/>
                <w:color w:val="auto"/>
                <w:w w:val="96"/>
              </w:rPr>
              <w:t>For the Six Months Ended June 30,</w:t>
            </w:r>
          </w:p>
        </w:tc>
        <w:tc>
          <w:tcPr>
            <w:tcW w:w="940" w:type="dxa"/>
            <w:vAlign w:val="bottom"/>
            <w:tcBorders>
              <w:bottom w:val="single" w:sz="8" w:color="auto"/>
            </w:tcBorders>
          </w:tcPr>
          <w:p>
            <w:pPr>
              <w:spacing w:after="0"/>
              <w:rPr>
                <w:sz w:val="16"/>
                <w:szCs w:val="16"/>
                <w:color w:val="auto"/>
              </w:rPr>
            </w:pPr>
          </w:p>
        </w:tc>
      </w:tr>
      <w:tr>
        <w:trPr>
          <w:trHeight w:val="264"/>
        </w:trPr>
        <w:tc>
          <w:tcPr>
            <w:tcW w:w="18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2012</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2011</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2012</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2011</w:t>
            </w:r>
          </w:p>
        </w:tc>
        <w:tc>
          <w:tcPr>
            <w:tcW w:w="940" w:type="dxa"/>
            <w:vAlign w:val="bottom"/>
            <w:tcBorders>
              <w:bottom w:val="single" w:sz="8" w:color="auto"/>
            </w:tcBorders>
          </w:tcPr>
          <w:p>
            <w:pPr>
              <w:spacing w:after="0"/>
              <w:rPr>
                <w:sz w:val="22"/>
                <w:szCs w:val="22"/>
                <w:color w:val="auto"/>
              </w:rPr>
            </w:pPr>
          </w:p>
        </w:tc>
      </w:tr>
      <w:tr>
        <w:trPr>
          <w:trHeight w:val="152"/>
        </w:trPr>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Recognized</w:t>
            </w:r>
          </w:p>
        </w:tc>
        <w:tc>
          <w:tcPr>
            <w:tcW w:w="1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Recognized</w:t>
            </w:r>
          </w:p>
        </w:tc>
      </w:tr>
      <w:tr>
        <w:trPr>
          <w:trHeight w:val="211"/>
        </w:trPr>
        <w:tc>
          <w:tcPr>
            <w:tcW w:w="1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41"/>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allowance recorded:</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180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180,037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352,098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28,620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193,187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369,686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29,586</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Corporate/Partnership</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r>
      <w:tr>
        <w:trPr>
          <w:trHeight w:val="237"/>
        </w:trPr>
        <w:tc>
          <w:tcPr>
            <w:tcW w:w="180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190,147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362,208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28,820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203,297</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379,796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29,906</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1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recorded:</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180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1,041,613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1,668,373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1,117,396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1,723,584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4,121</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1800" w:type="dxa"/>
            <w:vAlign w:val="bottom"/>
          </w:tcPr>
          <w:p>
            <w:pPr>
              <w:ind w:left="180"/>
              <w:spacing w:after="0"/>
              <w:rPr>
                <w:sz w:val="20"/>
                <w:szCs w:val="20"/>
                <w:color w:val="auto"/>
              </w:rPr>
            </w:pPr>
            <w:r>
              <w:rPr>
                <w:rFonts w:ascii="Arial" w:cs="Arial" w:eastAsia="Arial" w:hAnsi="Arial"/>
                <w:sz w:val="18"/>
                <w:szCs w:val="18"/>
                <w:color w:val="auto"/>
                <w:w w:val="90"/>
              </w:rPr>
              <w:t>Corporate/Partnership</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169</w:t>
            </w:r>
          </w:p>
        </w:tc>
      </w:tr>
      <w:tr>
        <w:trPr>
          <w:trHeight w:val="27"/>
        </w:trPr>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1,169,228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1,763,260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1,230,830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1,808,330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4,290</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1,221,650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2,020,471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1,310,583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2,093,270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33,707</w:t>
            </w:r>
          </w:p>
        </w:tc>
      </w:tr>
      <w:tr>
        <w:trPr>
          <w:trHeight w:val="229"/>
        </w:trPr>
        <w:tc>
          <w:tcPr>
            <w:tcW w:w="1800" w:type="dxa"/>
            <w:vAlign w:val="bottom"/>
          </w:tcPr>
          <w:p>
            <w:pPr>
              <w:ind w:left="180"/>
              <w:spacing w:after="0"/>
              <w:rPr>
                <w:sz w:val="20"/>
                <w:szCs w:val="20"/>
                <w:color w:val="auto"/>
              </w:rPr>
            </w:pPr>
            <w:r>
              <w:rPr>
                <w:rFonts w:ascii="Arial" w:cs="Arial" w:eastAsia="Arial" w:hAnsi="Arial"/>
                <w:sz w:val="18"/>
                <w:szCs w:val="18"/>
                <w:color w:val="auto"/>
              </w:rPr>
              <w:t>Subordinate</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mortgages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Corporate/Partnership</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72,066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72,278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r>
      <w:tr>
        <w:trPr>
          <w:trHeight w:val="257"/>
        </w:trPr>
        <w:tc>
          <w:tcPr>
            <w:tcW w:w="180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1,359,375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2,125,468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31,023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1,434,127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2,188,126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34,196</w:t>
            </w:r>
          </w:p>
        </w:tc>
      </w:tr>
      <w:tr>
        <w:trPr>
          <w:trHeight w:val="20"/>
        </w:trPr>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32"/>
        <w:spacing w:after="0" w:line="347" w:lineRule="auto"/>
        <w:rPr>
          <w:sz w:val="20"/>
          <w:szCs w:val="20"/>
          <w:color w:val="auto"/>
        </w:rPr>
      </w:pPr>
      <w:r>
        <w:rPr>
          <w:rFonts w:ascii="Arial" w:cs="Arial" w:eastAsia="Arial" w:hAnsi="Arial"/>
          <w:sz w:val="16"/>
          <w:szCs w:val="16"/>
          <w:b w:val="1"/>
          <w:bCs w:val="1"/>
          <w:color w:val="auto"/>
        </w:rPr>
        <w:t>Troubled Debt Restructurings</w:t>
      </w:r>
      <w:r>
        <w:rPr>
          <w:rFonts w:ascii="Arial" w:cs="Arial" w:eastAsia="Arial" w:hAnsi="Arial"/>
          <w:sz w:val="16"/>
          <w:szCs w:val="16"/>
          <w:color w:val="auto"/>
        </w:rPr>
        <w:t>—During the three and six months ended June 30, 2012 and 2011, the Company modified loans that were determined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troubled debt restructurings. The recorded investment in these loans was impacted by the modifications as follows, presented by class ($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5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Loans</w:t>
            </w: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of Loans</w:t>
            </w: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54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1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11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4,561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4,561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20,380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20,380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40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6"/>
              </w:rPr>
              <w:t>For the Six Months Ended June 30,</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20" w:type="dxa"/>
            <w:vAlign w:val="bottom"/>
          </w:tcPr>
          <w:p>
            <w:pPr>
              <w:spacing w:after="0"/>
              <w:rPr>
                <w:sz w:val="13"/>
                <w:szCs w:val="13"/>
                <w:color w:val="auto"/>
              </w:rPr>
            </w:pPr>
          </w:p>
        </w:tc>
        <w:tc>
          <w:tcPr>
            <w:tcW w:w="15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5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Loans</w:t>
            </w: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of Loans</w:t>
            </w: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54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1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11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310,342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264,868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126,051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125,786</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Troubled debt restructurings that subsequently defaulted during the period were as follows ($ in thousands):</w:t>
      </w:r>
    </w:p>
    <w:p>
      <w:pPr>
        <w:sectPr>
          <w:pgSz w:w="11900" w:h="16838" w:orient="portrait"/>
          <w:cols w:equalWidth="0" w:num="1">
            <w:col w:w="11420"/>
          </w:cols>
          <w:pgMar w:left="240" w:top="122" w:right="239" w:bottom="1440" w:gutter="0" w:footer="0" w:header="0"/>
        </w:sectPr>
      </w:pPr>
    </w:p>
    <w:p>
      <w:pPr>
        <w:spacing w:after="0" w:line="230" w:lineRule="exact"/>
        <w:rPr>
          <w:sz w:val="20"/>
          <w:szCs w:val="20"/>
          <w:color w:val="auto"/>
        </w:rPr>
      </w:pPr>
    </w:p>
    <w:p>
      <w:pPr>
        <w:ind w:left="3220"/>
        <w:spacing w:after="0"/>
        <w:rPr>
          <w:sz w:val="20"/>
          <w:szCs w:val="20"/>
          <w:color w:val="auto"/>
        </w:rPr>
      </w:pPr>
      <w:r>
        <w:rPr>
          <w:rFonts w:ascii="Arial" w:cs="Arial" w:eastAsia="Arial" w:hAnsi="Arial"/>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23495</wp:posOffset>
            </wp:positionV>
            <wp:extent cx="2813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tbl>
      <w:tblPr>
        <w:tblLayout w:type="fixed"/>
        <w:tblInd w:w="2160" w:type="dxa"/>
        <w:tblCellMar>
          <w:top w:w="0" w:type="dxa"/>
          <w:left w:w="0" w:type="dxa"/>
          <w:bottom w:w="0" w:type="dxa"/>
          <w:right w:w="0" w:type="dxa"/>
        </w:tblCellMar>
      </w:tblPr>
      <w:tr>
        <w:trPr>
          <w:trHeight w:val="192"/>
        </w:trPr>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auto"/>
                <w:w w:val="92"/>
              </w:rPr>
              <w:t>Outstanding</w:t>
            </w: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130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4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Recorded</w:t>
            </w:r>
          </w:p>
        </w:tc>
        <w:tc>
          <w:tcPr>
            <w:tcW w:w="880" w:type="dxa"/>
            <w:vAlign w:val="bottom"/>
            <w:vMerge w:val="continue"/>
          </w:tcPr>
          <w:p>
            <w:pPr>
              <w:spacing w:after="0"/>
              <w:rPr>
                <w:sz w:val="12"/>
                <w:szCs w:val="12"/>
                <w:color w:val="auto"/>
              </w:rPr>
            </w:pPr>
          </w:p>
        </w:tc>
        <w:tc>
          <w:tcPr>
            <w:tcW w:w="13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6"/>
        </w:trPr>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of Loans</w:t>
            </w:r>
          </w:p>
        </w:tc>
        <w:tc>
          <w:tcPr>
            <w:tcW w:w="140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Investment</w:t>
            </w: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of Loans</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4375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2"/>
        </w:trPr>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Outstanding</w:t>
            </w: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jc w:val="center"/>
              <w:ind w:left="208"/>
              <w:spacing w:after="0" w:line="15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Recorded</w:t>
            </w:r>
          </w:p>
        </w:tc>
        <w:tc>
          <w:tcPr>
            <w:tcW w:w="940" w:type="dxa"/>
            <w:vAlign w:val="bottom"/>
            <w:vMerge w:val="continue"/>
          </w:tcPr>
          <w:p>
            <w:pPr>
              <w:spacing w:after="0"/>
              <w:rPr>
                <w:sz w:val="12"/>
                <w:szCs w:val="12"/>
                <w:color w:val="auto"/>
              </w:rPr>
            </w:pPr>
          </w:p>
        </w:tc>
        <w:tc>
          <w:tcPr>
            <w:tcW w:w="14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6"/>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of Loans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of Loans</w:t>
            </w:r>
          </w:p>
        </w:tc>
        <w:tc>
          <w:tcPr>
            <w:tcW w:w="140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838" w:orient="portrait"/>
          <w:cols w:equalWidth="0" w:num="2">
            <w:col w:w="6580" w:space="120"/>
            <w:col w:w="4720"/>
          </w:cols>
          <w:pgMar w:left="240" w:top="122" w:right="239" w:bottom="1440" w:gutter="0" w:footer="0" w:header="0"/>
          <w:type w:val="continuous"/>
        </w:sectPr>
      </w:pPr>
    </w:p>
    <w:p>
      <w:pPr>
        <w:ind w:left="40"/>
        <w:spacing w:after="0"/>
        <w:tabs>
          <w:tab w:leader="none" w:pos="2840" w:val="left"/>
          <w:tab w:leader="none" w:pos="3200" w:val="left"/>
          <w:tab w:leader="none" w:pos="3720" w:val="left"/>
          <w:tab w:leader="none" w:pos="5140" w:val="left"/>
          <w:tab w:leader="none" w:pos="5480" w:val="left"/>
          <w:tab w:leader="none" w:pos="5960" w:val="left"/>
          <w:tab w:leader="none" w:pos="7360" w:val="left"/>
          <w:tab w:leader="none" w:pos="7700" w:val="left"/>
          <w:tab w:leader="none" w:pos="8200" w:val="left"/>
          <w:tab w:leader="none" w:pos="9820" w:val="left"/>
          <w:tab w:leader="none" w:pos="10140" w:val="left"/>
          <w:tab w:leader="none" w:pos="10640" w:val="left"/>
        </w:tabs>
        <w:rPr>
          <w:sz w:val="20"/>
          <w:szCs w:val="20"/>
          <w:color w:val="auto"/>
        </w:rPr>
      </w:pPr>
      <w:r>
        <w:rPr>
          <w:rFonts w:ascii="Arial" w:cs="Arial" w:eastAsia="Arial" w:hAnsi="Arial"/>
          <w:sz w:val="18"/>
          <w:szCs w:val="18"/>
          <w:color w:val="auto"/>
        </w:rPr>
        <w:t>Senior mortgages</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26,120</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28,328</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26,120</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6"/>
          <w:szCs w:val="16"/>
          <w:color w:val="auto"/>
        </w:rPr>
        <w:t>28,328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48895</wp:posOffset>
            </wp:positionV>
            <wp:extent cx="5780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three months ended June 30, 2012, the Company restructured one loan that was considered a troubled debt restructuring. The Company extended the term of this performing loan by one year with the interest rate unchanged.</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During the six months ended June 30, 2012, the Company restructured six loans that were considered troubled debt restructurings. In addition to the loan modified during the current quarter that is described above, the Company restructured five additional loans. Two of the modified loans were performing loans with a combined recorded investment of $58.1 million that were extended with a new weighted average maturity of 0.4 years and with conditional extension options in certain cases dependent on borrower-specific performance hurdles. The Company believes the borrowers in each case can perform under the modified terms of the loans and continues to classify these loans as performing.</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remaining three modified loans were classified as non-performing prior to their modification and remained non-performing subsequently. One of these loans with a recorded investment of $48.2 million was extended with a new maturity of 0.7 years and another with a recorded investment of $18.0 million was extended with a new maturity of 0.3 years and its interest rate was reduced to 4.5% from 9.0%. The Company agreed to reduce the outstanding principal balance of the third loan that had a recorded investment of $181.5 million prior to the modification, and recorded charge-offs totaling $45.5 million. In addition, the loan's interest rate was reduced to LIBOR + 3.5% from LIBOR + 7.0%.</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During the three months ended June 30, 2011, the Company restructured one loan that was considered a troubled debt restructuring. The Company extended the term of this performing loan by six months with the interest rate unchanged and with conditional extension options dependent on pay down hurdles. During the six months ended June 30, 2011, the Company restructured four loans that were considered troubled debt restructurings. In addition to the loan modified during the quarter that is described above, the Company restructured three additional loans. The Company reduced the rate on these loans with a combined recorded investment of $105.7 million, from a combined weighted average rate of 8.3% to 4.7% and extended the loans with a new weighted average maturity of 1.4 years, with conditional extension options in certain cases dependent on pay down hurdles.</w:t>
      </w:r>
    </w:p>
    <w:p>
      <w:pPr>
        <w:spacing w:after="0" w:line="16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Generally when granting concessions, the Company will seek to protect its position by requiring incremental pay downs, additional collateral or guarantees and in some cases lookback features or equity kickers to offset concessions granted should conditions with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June 30, 2012, the Company had $6.0 million of unfunded commitments associated with modified loans considered troubled debt restructurings.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Held for Investment, net and Other Real Estate Owned</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2012, the Company received title to properties with an aggregate estimated fair value at the time of foreclosure of $185.8 million, in full or partial satisfaction of non-performing mortgage loans for which those properties had served as collateral. These properties were classified as OREO, based on management's current intention to market them for sale in the near term.</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during the six months ended June 30, 2012, the Company acquired $27.3 million of REHI land and other assets in a non-cash exchange for a noncontrolling interest in one of its consolidated subsidiaries. In conjunction with this transaction, the same consolidated subsidiary contributed REHI land with a recorded value of $11.6 million in a non-cash exchange for a 40% noncontrolling equity interest in a new venture. The Company did not recognize any gains or losses associated with these transactions.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Real Estate Held for Investment, net</w:t>
      </w:r>
      <w:r>
        <w:rPr>
          <w:rFonts w:ascii="Arial" w:cs="Arial" w:eastAsia="Arial" w:hAnsi="Arial"/>
          <w:sz w:val="18"/>
          <w:szCs w:val="18"/>
          <w:color w:val="auto"/>
        </w:rPr>
        <w:t>—REHI consisted of the following ($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2011</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held for investment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738,459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711,072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property</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379,644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153,568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154,445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Real estate held for investment,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1,249,681</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1,228,134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records REHI operating income in "Other income" and REHI operating expenses in "Operating costs—REHI and OREO,"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 as follows ($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3"/>
          </w:tcPr>
          <w:p>
            <w:pPr>
              <w:ind w:left="520"/>
              <w:spacing w:after="0"/>
              <w:rPr>
                <w:sz w:val="20"/>
                <w:szCs w:val="20"/>
                <w:color w:val="auto"/>
              </w:rPr>
            </w:pPr>
            <w:r>
              <w:rPr>
                <w:rFonts w:ascii="Arial" w:cs="Arial" w:eastAsia="Arial" w:hAnsi="Arial"/>
                <w:sz w:val="14"/>
                <w:szCs w:val="14"/>
                <w:b w:val="1"/>
                <w:bCs w:val="1"/>
                <w:color w:val="auto"/>
              </w:rPr>
              <w:t>For the Three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REHI 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14,756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29,150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REHI operating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520"/>
              <w:spacing w:after="0"/>
              <w:rPr>
                <w:sz w:val="20"/>
                <w:szCs w:val="20"/>
                <w:color w:val="auto"/>
              </w:rPr>
            </w:pPr>
            <w:r>
              <w:rPr>
                <w:rFonts w:ascii="Arial" w:cs="Arial" w:eastAsia="Arial" w:hAnsi="Arial"/>
                <w:sz w:val="18"/>
                <w:szCs w:val="18"/>
                <w:color w:val="auto"/>
              </w:rPr>
              <w:t>14,557</w:t>
            </w:r>
          </w:p>
        </w:tc>
        <w:tc>
          <w:tcPr>
            <w:tcW w:w="12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8,745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28,067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19,291</w:t>
            </w:r>
          </w:p>
        </w:tc>
      </w:tr>
    </w:tbl>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Other Real Estate Owned</w:t>
      </w:r>
      <w:r>
        <w:rPr>
          <w:rFonts w:ascii="Arial" w:cs="Arial" w:eastAsia="Arial" w:hAnsi="Arial"/>
          <w:sz w:val="17"/>
          <w:szCs w:val="17"/>
          <w:color w:val="auto"/>
        </w:rPr>
        <w:t>—During the six months ended June 30, 2012, the Company sold other real estate owned ("OREO") assets with a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$149.7 million, primarily comprised of sales of residential property units for which the Company recorded income from sales of $20.0 million. For the three and six months ended June 30, 2012, the Company recorded net impairment charges to OREO properties totaling $1.3 million and $3.9 million, respectively, and recorded net expenses related to holding costs for OREO properties of $7.9 million and $16.4 million, respectively.</w:t>
      </w:r>
    </w:p>
    <w:p>
      <w:pPr>
        <w:spacing w:after="0" w:line="16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 the three and six months ended June 30, 2011, the Company recorded net impairment charges to OREO properties totaling $2.8 million and $3.4 million, respectively, and recorded net expenses related to holding costs for OREO properties of $9.3 million and $16.5 million,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Lease Assets,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investments in net lease assets, at cost, were as follows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1,480,678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1,601,477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411,668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447,603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(346,316)</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Net lease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1,550,113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1,702,764</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30, 2012, the Company sold a portfolio of 12 net lease assets with an aggregate carrying value of $105.7 million and recorded a gain of $24.9 million resulting from the transaction. Certain of the properties were subject to secured term loans with a remaining principal balance of $50.8 million that were repaid in full at closing (see Note 9). Additionally, during the six months ended June 30, 2012, the Company sold net lease assets with a carrying value of $9.8 million, resulting in a net gain of $2.4 million.</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six months ended June 30, 2012, the Company recorded impairment charges of $6.2 million and $20.2 million, respectively, on net lease assets, of which $0.5 million was included in "Income (loss) from discontinued operations" on the Company's Consolidated Statements of Operations for the six months ended June 30, 2012.</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receives reimbursements from customers for certain facility operating expenses including common area costs, insurance and real estate taxes. Customer expense reimbursements were $5.9 million and $11.4 million for the three and six months ended June 30, 2012, respectively, and $6.0 million and $11.5 million for the three and six months ended June 30, 2011, respectively. These amounts were included as a reduction of "Operating costs - net lease assets" on the Company's Consolidated Statements of Operations.</w:t>
      </w:r>
    </w:p>
    <w:p>
      <w:pPr>
        <w:spacing w:after="0" w:line="183"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June 30, 2012 and December 31, 2011, the total allowance for doubtful accounts related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including deferred operating lease income receivable, was $4.4 million and $3.7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Equity in earnings</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52"/>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20"/>
              <w:spacing w:after="0" w:line="153" w:lineRule="exact"/>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3"/>
                <w:szCs w:val="13"/>
                <w:color w:val="auto"/>
              </w:rPr>
            </w:pPr>
          </w:p>
        </w:tc>
        <w:tc>
          <w:tcPr>
            <w:tcW w:w="2300" w:type="dxa"/>
            <w:vAlign w:val="bottom"/>
            <w:gridSpan w:val="4"/>
          </w:tcPr>
          <w:p>
            <w:pPr>
              <w:jc w:val="right"/>
              <w:ind w:right="633"/>
              <w:spacing w:after="0" w:line="153" w:lineRule="exact"/>
              <w:rPr>
                <w:sz w:val="20"/>
                <w:szCs w:val="20"/>
                <w:color w:val="auto"/>
              </w:rPr>
            </w:pPr>
            <w:r>
              <w:rPr>
                <w:rFonts w:ascii="Arial" w:cs="Arial" w:eastAsia="Arial" w:hAnsi="Arial"/>
                <w:sz w:val="14"/>
                <w:szCs w:val="14"/>
                <w:b w:val="1"/>
                <w:bCs w:val="1"/>
                <w:color w:val="auto"/>
              </w:rPr>
              <w:t>For the Six Months</w:t>
            </w:r>
          </w:p>
        </w:tc>
      </w:t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LNR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159,764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24,064</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Madison Funds</w:t>
            </w:r>
          </w:p>
        </w:tc>
        <w:tc>
          <w:tcPr>
            <w:tcW w:w="2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82,683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103,305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8,731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7,956</w:t>
            </w: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Oak Hill Funds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6,078</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OREO/REHI Investments</w:t>
            </w:r>
          </w:p>
        </w:tc>
        <w:tc>
          <w:tcPr>
            <w:tcW w:w="2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39,251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52,803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14,195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equity method investments (1)</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69,617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11,416</w:t>
            </w:r>
          </w:p>
        </w:tc>
      </w:tr>
      <w:tr>
        <w:trPr>
          <w:trHeight w:val="297"/>
        </w:trPr>
        <w:tc>
          <w:tcPr>
            <w:tcW w:w="3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equity method investments</w:t>
            </w:r>
          </w:p>
        </w:tc>
        <w:tc>
          <w:tcPr>
            <w:tcW w:w="24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416,519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445,835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18,420</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19,131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53,206</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44,064</w:t>
            </w: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Total other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427,501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457,835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220" w:hanging="652"/>
        <w:spacing w:after="0" w:line="28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4"/>
          <w:szCs w:val="14"/>
          <w:color w:val="auto"/>
        </w:rPr>
        <w:t>For the three and six months ended June 30, 2011, amounts include $6.4 million and $7.5 million, respectively, of earnings related to Oak Hill Advisors, L.P. and related entities which were sold during in October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LNR</w:t>
      </w:r>
      <w:r>
        <w:rPr>
          <w:rFonts w:ascii="Arial" w:cs="Arial" w:eastAsia="Arial" w:hAnsi="Arial"/>
          <w:sz w:val="18"/>
          <w:szCs w:val="18"/>
          <w:color w:val="auto"/>
        </w:rPr>
        <w:t>—The following table represents investee level summarized financial information for LNR ($ in thousands)(1)(2):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gridSpan w:val="6"/>
          </w:tcPr>
          <w:p>
            <w:pPr>
              <w:jc w:val="right"/>
              <w:ind w:right="1114"/>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4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1174"/>
              <w:spacing w:after="0"/>
              <w:rPr>
                <w:sz w:val="20"/>
                <w:szCs w:val="20"/>
                <w:color w:val="auto"/>
              </w:rPr>
            </w:pPr>
            <w:r>
              <w:rPr>
                <w:rFonts w:ascii="Arial" w:cs="Arial" w:eastAsia="Arial" w:hAnsi="Arial"/>
                <w:sz w:val="14"/>
                <w:szCs w:val="14"/>
                <w:b w:val="1"/>
                <w:bCs w:val="1"/>
                <w:color w:val="auto"/>
              </w:rPr>
              <w:t>Ended March 31,</w:t>
            </w:r>
          </w:p>
        </w:tc>
      </w:tr>
      <w:tr>
        <w:trPr>
          <w:trHeight w:val="264"/>
        </w:trPr>
        <w:tc>
          <w:tcPr>
            <w:tcW w:w="4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2011</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revenue(2)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71,337</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77,394</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148,696</w:t>
            </w:r>
          </w:p>
        </w:tc>
        <w:tc>
          <w:tcPr>
            <w:tcW w:w="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156,413</w:t>
            </w:r>
          </w:p>
        </w:tc>
      </w:tr>
      <w:tr>
        <w:trPr>
          <w:trHeight w:val="27"/>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2,025</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3,642</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(32,333)</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Net income attributable to LNR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36,178</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42,036</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86,799</w:t>
            </w:r>
          </w:p>
        </w:tc>
        <w:tc>
          <w:tcPr>
            <w:tcW w:w="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100,366</w:t>
            </w:r>
          </w:p>
        </w:tc>
      </w:tr>
      <w:tr>
        <w:trPr>
          <w:trHeight w:val="27"/>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iStar's ownership percentage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iStar's equity in earnings from LNR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8,674</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10,079</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20,811</w:t>
            </w:r>
          </w:p>
        </w:tc>
        <w:tc>
          <w:tcPr>
            <w:tcW w:w="4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24,064</w:t>
            </w:r>
          </w:p>
        </w:tc>
      </w:tr>
      <w:tr>
        <w:trPr>
          <w:trHeight w:val="642"/>
        </w:trPr>
        <w:tc>
          <w:tcPr>
            <w:tcW w:w="4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 March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As of September 30,</w:t>
            </w:r>
          </w:p>
        </w:tc>
      </w:tr>
      <w:tr>
        <w:trPr>
          <w:trHeight w:val="264"/>
        </w:trPr>
        <w:tc>
          <w:tcPr>
            <w:tcW w:w="40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2011</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assets(2)</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1,329,460</w:t>
            </w:r>
          </w:p>
        </w:tc>
        <w:tc>
          <w:tcPr>
            <w:tcW w:w="4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1,288,923</w:t>
            </w:r>
          </w:p>
        </w:tc>
      </w:tr>
      <w:tr>
        <w:trPr>
          <w:trHeight w:val="27"/>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debt(2)</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477,055</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469,631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liabilities(2)</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564,352</w:t>
            </w:r>
          </w:p>
        </w:tc>
        <w:tc>
          <w:tcPr>
            <w:tcW w:w="4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576,835</w:t>
            </w:r>
          </w:p>
        </w:tc>
      </w:tr>
      <w:tr>
        <w:trPr>
          <w:trHeight w:val="27"/>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6,943</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39,940</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LNR Property LLC equity</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758,165</w:t>
            </w:r>
          </w:p>
        </w:tc>
        <w:tc>
          <w:tcPr>
            <w:tcW w:w="4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672,147</w:t>
            </w:r>
          </w:p>
        </w:tc>
      </w:tr>
      <w:tr>
        <w:trPr>
          <w:trHeight w:val="27"/>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iStar's ownership percentage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iStar's equity in LNR</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176,600</w:t>
            </w:r>
          </w:p>
        </w:tc>
        <w:tc>
          <w:tcPr>
            <w:tcW w:w="4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159,764</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200" w:hanging="652"/>
        <w:spacing w:after="0" w:line="26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4"/>
          <w:szCs w:val="14"/>
          <w:color w:val="auto"/>
        </w:rPr>
        <w:t>The Company records its investment in LNR on a one quarter lag, therefore, amounts in the Company's financial statements for the three and six months ended June 30, 2012 and 2011 are based on balances and results from LNR for the three and six months ended March 31, 2012 and 2011, respectively.</w:t>
      </w:r>
    </w:p>
    <w:p>
      <w:pPr>
        <w:spacing w:after="0" w:line="22" w:lineRule="exact"/>
        <w:rPr>
          <w:rFonts w:ascii="Arial" w:cs="Arial" w:eastAsia="Arial" w:hAnsi="Arial"/>
          <w:sz w:val="18"/>
          <w:szCs w:val="18"/>
          <w:color w:val="auto"/>
        </w:rPr>
      </w:pPr>
    </w:p>
    <w:p>
      <w:pPr>
        <w:ind w:left="660" w:right="40" w:hanging="652"/>
        <w:spacing w:after="0" w:line="32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3"/>
          <w:szCs w:val="13"/>
          <w:color w:val="auto"/>
        </w:rPr>
        <w:t>LNR consolidates certain commercial mortgage-backed securities and collateralized debt obligation trusts that are considered VIEs (and for which it is the primary beneficiary), that have been excluded from the amounts presented above. As of March 31, 2012 and September 30, 2011, the assets of these trusts, which aggregate approximately $85.19 billion and $126.66 billion, respectively, are the sole source of repayment of the related liabilities, which aggregate approximately $84.92 billion and $126.64 billion, respectively, and are non-recourse to LNR and its equity holders, including the Company. In addition, total revenue presented above includes $16.3 million and $30.8 million for the three months ended March 31, 2012 and 2011,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4"/>
          <w:szCs w:val="14"/>
          <w:color w:val="auto"/>
        </w:rPr>
        <w:t>During the six months ended March 31, 2011, LNR recorded an income tax benefit from the settlement of certain tax liabilities.</w:t>
      </w:r>
    </w:p>
    <w:p>
      <w:pPr>
        <w:spacing w:after="0" w:line="169"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—During the six months ended June 30, 2012, the Madison Funds recorded a significant gain related to the sale of an investment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recorded its proportionate share of approximately $13.7 million.</w:t>
      </w:r>
    </w:p>
    <w:p>
      <w:pPr>
        <w:spacing w:after="0" w:line="162"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OREO/REHI Investments</w:t>
      </w:r>
      <w:r>
        <w:rPr>
          <w:rFonts w:ascii="Arial" w:cs="Arial" w:eastAsia="Arial" w:hAnsi="Arial"/>
          <w:sz w:val="18"/>
          <w:szCs w:val="18"/>
          <w:color w:val="auto"/>
        </w:rPr>
        <w:t>—During the three and six months ended June 30, 2012, earnings from equity interests in OREO/REHI investments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$10.2 million and $18.2 million, respectively, related to income recognized on sales of residential property units.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2011</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financing fees, net(1)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21,443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in-place lease intangibles, net(2)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Leasing costs, net(3)</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Corporate furniture, fixtures and equipment, net(4)</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28,555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107,852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Explanatory Notes: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4"/>
          <w:szCs w:val="14"/>
          <w:color w:val="auto"/>
        </w:rPr>
        <w:t>Accumulated amortization on deferred financing fees was $19.4 million and $13.3 million as of June 30, 2012 and December 31, 2011, respectively.</w:t>
      </w:r>
    </w:p>
    <w:p>
      <w:pPr>
        <w:spacing w:after="0" w:line="33" w:lineRule="exact"/>
        <w:rPr>
          <w:rFonts w:ascii="Arial" w:cs="Arial" w:eastAsia="Arial" w:hAnsi="Arial"/>
          <w:sz w:val="18"/>
          <w:szCs w:val="18"/>
          <w:color w:val="auto"/>
        </w:rPr>
      </w:pPr>
    </w:p>
    <w:p>
      <w:pPr>
        <w:ind w:left="660" w:right="20" w:hanging="652"/>
        <w:spacing w:after="0" w:line="28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4"/>
          <w:szCs w:val="14"/>
          <w:color w:val="auto"/>
        </w:rPr>
        <w:t>Represents unamortized finite lived intangible assets related to the prior acquisition of net lease assets. Accumulated amortization on net lease intangibles was $34.0 million and $33.4 million as of June 30, 2012 and December 31, 2011, respectively. Amortization expense related to these assets was $1.0 million and $1.7 million for the three months ended June 30, 2012 and 2011, respectively, and $2.3 million and $3.4 million for the six months ended June 30, 2012 and 2011, respectively.</w:t>
      </w: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4"/>
          <w:szCs w:val="14"/>
          <w:color w:val="auto"/>
        </w:rPr>
        <w:t>Accumulated amortization on leasing costs was $5.0 million and $5.5 million as of June 30, 2012 and December 31, 2011, respectively.</w:t>
      </w:r>
    </w:p>
    <w:p>
      <w:pPr>
        <w:spacing w:after="0" w:line="25" w:lineRule="exact"/>
        <w:rPr>
          <w:rFonts w:ascii="Arial" w:cs="Arial" w:eastAsia="Arial" w:hAnsi="Arial"/>
          <w:sz w:val="18"/>
          <w:szCs w:val="18"/>
          <w:color w:val="auto"/>
        </w:rPr>
      </w:pPr>
    </w:p>
    <w:p>
      <w:pPr>
        <w:ind w:left="660" w:hanging="652"/>
        <w:spacing w:after="0" w:line="22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4"/>
          <w:szCs w:val="14"/>
          <w:color w:val="auto"/>
        </w:rPr>
        <w:t>Accumulated depreciation on corporate furniture, fixtures and equipment was $7.7 million and $8.1 million as of June 30, 2012 and December 31, 2011,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2011</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38,030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30,122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36,332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 and other investment deposits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Unearned operating lease income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111,494</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106,693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Deferred tax assets of the Company's TRS entities were as follows ($ in thousands):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2011</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57,657</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(57,657)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(50,889)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Explanatory Notes: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left="660" w:right="60" w:hanging="652"/>
        <w:spacing w:after="0" w:line="29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4"/>
          <w:szCs w:val="14"/>
          <w:color w:val="auto"/>
        </w:rPr>
        <w:t>Deferred tax assets as of June 30, 2012 primarily include real estate basis differences of $34.2 million, net operating loss carryforwards of $22.5 million and investment basis differences of $1.0 million. Deferred tax assets as of December 31, 2011 include real estate basis differences of $28.7 million, net operating loss carryforwards of $22.8 million, and investment basis differences of $(0.6) million.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2012 and December 31, 2011, the Company's debt obligations were as follows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3"/>
        </w:trPr>
        <w:tc>
          <w:tcPr>
            <w:tcW w:w="4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right"/>
              <w:ind w:right="60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3"/>
                <w:szCs w:val="13"/>
                <w:color w:val="auto"/>
              </w:rPr>
            </w:pPr>
          </w:p>
        </w:tc>
        <w:tc>
          <w:tcPr>
            <w:tcW w:w="1800" w:type="dxa"/>
            <w:vAlign w:val="bottom"/>
          </w:tcPr>
          <w:p>
            <w:pPr>
              <w:jc w:val="right"/>
              <w:ind w:right="614"/>
              <w:spacing w:after="0" w:line="153" w:lineRule="exact"/>
              <w:rPr>
                <w:sz w:val="20"/>
                <w:szCs w:val="20"/>
                <w:color w:val="auto"/>
              </w:rPr>
            </w:pPr>
            <w:r>
              <w:rPr>
                <w:rFonts w:ascii="Arial" w:cs="Arial" w:eastAsia="Arial" w:hAnsi="Arial"/>
                <w:sz w:val="14"/>
                <w:szCs w:val="14"/>
                <w:b w:val="1"/>
                <w:bCs w:val="1"/>
                <w:color w:val="auto"/>
              </w:rPr>
              <w:t>Stated</w:t>
            </w:r>
          </w:p>
        </w:tc>
        <w:tc>
          <w:tcPr>
            <w:tcW w:w="44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Scheduled</w:t>
            </w:r>
          </w:p>
        </w:tc>
      </w:tr>
      <w:tr>
        <w:trPr>
          <w:trHeight w:val="192"/>
        </w:trPr>
        <w:tc>
          <w:tcPr>
            <w:tcW w:w="4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credit facilities and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2011 Tranche A-1 Facility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646,068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961,580</w:t>
            </w:r>
          </w:p>
        </w:tc>
        <w:tc>
          <w:tcPr>
            <w:tcW w:w="100" w:type="dxa"/>
            <w:vAlign w:val="bottom"/>
          </w:tcPr>
          <w:p>
            <w:pPr>
              <w:spacing w:after="0"/>
              <w:rPr>
                <w:sz w:val="21"/>
                <w:szCs w:val="21"/>
                <w:color w:val="auto"/>
              </w:rPr>
            </w:pP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LIBOR + 3.75%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2013</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2011 Tranche A-2 Facility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LIBOR + 5.75%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2014</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2012 Tranche A-1 Facility</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328,605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LIBOR + 4.00%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2016</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 Tranche A-2 Facility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LIBOR + 5.75%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2017</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Term loans collateralized by net lease assets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293,192</w:t>
            </w:r>
          </w:p>
        </w:tc>
        <w:tc>
          <w:tcPr>
            <w:tcW w:w="1900" w:type="dxa"/>
            <w:vAlign w:val="bottom"/>
            <w:gridSpan w:val="2"/>
          </w:tcPr>
          <w:p>
            <w:pPr>
              <w:jc w:val="right"/>
              <w:ind w:right="114"/>
              <w:spacing w:after="0"/>
              <w:rPr>
                <w:sz w:val="20"/>
                <w:szCs w:val="20"/>
                <w:color w:val="auto"/>
              </w:rPr>
            </w:pPr>
            <w:r>
              <w:rPr>
                <w:rFonts w:ascii="Arial" w:cs="Arial" w:eastAsia="Arial" w:hAnsi="Arial"/>
                <w:sz w:val="18"/>
                <w:szCs w:val="18"/>
                <w:color w:val="auto"/>
              </w:rPr>
              <w:t>5.05% - 7.68%</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secured credit facilities and term loans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3,133,098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2,704,772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Unsecured credit facility: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 of credit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243,650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LIBOR + 0.85%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2012</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Unsecured notes: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5.15%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263,466</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2012</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5.50% senior notes</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92,845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2012</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LIBOR + 0.50% senior convertible notes(3)</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784,750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LIBOR + 0.50%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2012</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8.625% senior notes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501,701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501,701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8.625%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2013</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5.95%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448,453</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2013</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6.5% senior notes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67,055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December 2013</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5.70%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2014</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6.05% senior notes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105,765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105,765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2015</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5.875%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261,403</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2016</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5.85% senior notes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2017</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 senior notes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unsecured notes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2,428,866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2,825,761</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Other debt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LIBOR + 1.5%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5,661,964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5,874,183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Debt discounts, net(3)</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5,603,939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5,837,540</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62"/>
        </w:trPr>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80" w:hanging="652"/>
        <w:spacing w:after="0" w:line="26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4"/>
          <w:szCs w:val="14"/>
          <w:color w:val="auto"/>
        </w:rPr>
        <w:t>These loans each have a LIBOR floor of 1.25%. As of June 30, 2012, inclusive of the floors, the 2011 Tranche A-1 Facility and 2011 Tranche A-2 Facility loans incurred interest at a rate of 5.00% and 7.00%, respectively.</w:t>
      </w:r>
    </w:p>
    <w:p>
      <w:pPr>
        <w:spacing w:after="0" w:line="22" w:lineRule="exact"/>
        <w:rPr>
          <w:rFonts w:ascii="Arial" w:cs="Arial" w:eastAsia="Arial" w:hAnsi="Arial"/>
          <w:sz w:val="18"/>
          <w:szCs w:val="18"/>
          <w:color w:val="auto"/>
        </w:rPr>
      </w:pPr>
    </w:p>
    <w:p>
      <w:pPr>
        <w:ind w:left="660" w:right="60" w:hanging="652"/>
        <w:spacing w:after="0" w:line="26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4"/>
          <w:szCs w:val="14"/>
          <w:color w:val="auto"/>
        </w:rPr>
        <w:t>These loans each have a LIBOR floor of 1.25%. As of June 30, 2012, inclusive of the floors, the 2012 Tranche A-1 Facility and 2012 Tranche A-2 Facility loans incurred interest at a rate of 5.25% and 7.00% respectively.</w:t>
      </w:r>
    </w:p>
    <w:p>
      <w:pPr>
        <w:spacing w:after="0" w:line="22" w:lineRule="exact"/>
        <w:rPr>
          <w:rFonts w:ascii="Arial" w:cs="Arial" w:eastAsia="Arial" w:hAnsi="Arial"/>
          <w:sz w:val="18"/>
          <w:szCs w:val="18"/>
          <w:color w:val="auto"/>
        </w:rPr>
      </w:pPr>
    </w:p>
    <w:p>
      <w:pPr>
        <w:ind w:left="660" w:right="40" w:hanging="652"/>
        <w:spacing w:after="0" w:line="31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4"/>
          <w:szCs w:val="14"/>
          <w:color w:val="auto"/>
        </w:rPr>
        <w:t>The Company's convertible senior floating rate notes due October 2012 ("Convertible Notes") are convertible at the option of the holders into 22.2 shares per $1,000 principal amount of Convertible Notes (reflecting a conversion price of $45.05), on or after August 15, 2012, or prior to that date if certain conditions are met. None of the conversion conditions have been met as of June 30, 2012. As of June 30, 2012, the unamortized discount on these notes was $2.5 million, the net carrying amount of the liability was $466.7 million and the carrying value of the additional paid-in-capital, or equity component of the convertible notes was $34.7 million. For the three and six months ended June 30, 2012, the Company recognized interest expense on the convertible notes of $3.1 million and $8.3 million, respectively, of which $1.8 million and $4.8 million, respectively, related to the amortization of the debt discount. For the three and six months ended June 30, 2011, the Company recognized interest expense on the convertible notes of $4.5 million and $8.9 million respectively, of which $2.9 million and $5.7 million, respectively, related to the amortization of the debt discount.</w:t>
      </w:r>
    </w:p>
    <w:p>
      <w:pPr>
        <w:spacing w:after="0" w:line="177"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June 30, 2012, future scheduled maturities of outstanding long-term debt obligations, net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 Debt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 (remaining six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469,166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1,017,209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890,941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1,908,150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1,582,601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105,765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187,765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384,403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474,722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655,157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1,129,879</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2,528,866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3,133,098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5,661,964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(58,025)</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2,505,040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3,098,899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5,603,939</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4"/>
          <w:szCs w:val="14"/>
          <w:color w:val="auto"/>
        </w:rPr>
        <w:t>Includes minimum required amortization payments on the 2011 and 2012 Secured Credit Facilities.</w:t>
      </w:r>
    </w:p>
    <w:p>
      <w:pPr>
        <w:spacing w:after="0" w:line="16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2012 Secured Credit Facilities</w:t>
      </w:r>
      <w:r>
        <w:rPr>
          <w:rFonts w:ascii="Arial" w:cs="Arial" w:eastAsia="Arial" w:hAnsi="Arial"/>
          <w:sz w:val="17"/>
          <w:szCs w:val="17"/>
          <w:color w:val="auto"/>
        </w:rPr>
        <w:t>—In March 2012, the Company entered into a new $880.0 million senior secured credit agreement providing for two</w:t>
      </w:r>
      <w:r>
        <w:rPr>
          <w:rFonts w:ascii="Arial" w:cs="Arial" w:eastAsia="Arial" w:hAnsi="Arial"/>
          <w:sz w:val="17"/>
          <w:szCs w:val="17"/>
          <w:b w:val="1"/>
          <w:bCs w:val="1"/>
          <w:color w:val="auto"/>
        </w:rPr>
        <w:t xml:space="preserve"> </w:t>
      </w:r>
      <w:r>
        <w:rPr>
          <w:rFonts w:ascii="Arial" w:cs="Arial" w:eastAsia="Arial" w:hAnsi="Arial"/>
          <w:sz w:val="17"/>
          <w:szCs w:val="17"/>
          <w:color w:val="auto"/>
        </w:rPr>
        <w:t>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were used to repurchase $315.6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 As of June 30, 2012, remaining proceeds were included in restricted cash as they are reserved for the repayment of indebtedness.</w:t>
      </w:r>
    </w:p>
    <w:p>
      <w:pPr>
        <w:spacing w:after="0" w:line="17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2012 Secured Credit Facilities are collateralized by a first lien on a fixed pool of collateral consisting of loan, net lease, OREO and REHI assets. Proceeds from principal repayments and sales of collateral are applied to amortize the 2012 Secured Credit Facilities. Proceeds received for interest, rent, lease payments and fee income are retained by the Company.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The Company may make optional prepayments on each tranche of term loans, subject to prepayment fees.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Through June 30, 2012, the Company has made cumulative amortization repayments of $81.4 million on the 2012 Tranche A-1 Facility, which exceeds the $41.0 million minimum amortization required to be paid by December 31, 2012, leaving $0.6 million to be paid by the next required amortization payment in June 2013. Repayments of the 2012 A-1 Tranche Facility prior to scheduled amortization dates have resulted in losses on early extinguishment of debt of $3.1 million for both the three and six months ended June 30, 2012, related to the acceleration of discounts and unamortized deferred financing fees on the portion of the facility that was repaid.</w:t>
      </w:r>
    </w:p>
    <w:p>
      <w:pPr>
        <w:spacing w:after="0" w:line="18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2011 Secured Credit Facilities</w:t>
      </w:r>
      <w:r>
        <w:rPr>
          <w:rFonts w:ascii="Arial" w:cs="Arial" w:eastAsia="Arial" w:hAnsi="Arial"/>
          <w:sz w:val="18"/>
          <w:szCs w:val="18"/>
          <w:color w:val="auto"/>
        </w:rPr>
        <w:t>—In March 2011, the Company entered into a $2.95 billion senior secured credit agreement providing for two tranches</w:t>
      </w:r>
      <w:r>
        <w:rPr>
          <w:rFonts w:ascii="Arial" w:cs="Arial" w:eastAsia="Arial" w:hAnsi="Arial"/>
          <w:sz w:val="18"/>
          <w:szCs w:val="18"/>
          <w:b w:val="1"/>
          <w:bCs w:val="1"/>
          <w:color w:val="auto"/>
        </w:rPr>
        <w:t xml:space="preserve"> </w:t>
      </w:r>
      <w:r>
        <w:rPr>
          <w:rFonts w:ascii="Arial" w:cs="Arial" w:eastAsia="Arial" w:hAnsi="Arial"/>
          <w:sz w:val="18"/>
          <w:szCs w:val="18"/>
          <w:color w:val="auto"/>
        </w:rPr>
        <w:t>of term loans: a $1.50 billion 2011 A-1 tranche due June 2013, which bears interest at a rate of LIBOR + 3.75% (the "2011 Tranche A-1 Facility"), and a $1.45 billion 2011 A-2 tranche due June 2014, which bears interest at a rate of LIBOR + 5.75% (the "2011 Tranche A-2 Facility") together the "2011 Secured Credit Facilities." The 2011 A-1 and A-2 tranches were issued at 99.0% of par and 98.5% of par, respectively, and both tranches include a LIBOR floor of 1.25%.</w:t>
      </w:r>
    </w:p>
    <w:p>
      <w:pPr>
        <w:spacing w:after="0" w:line="18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2011 Secured Credit Facilities are collateralized by a first lien on a fixed pool of collateral consisting of loan, net lease, OREO and REHI assets. Proceeds from principal repayments and sales of collateral are applied to amortize the 2011 Secured Credit Facilities. Proceeds received for interest, rent, lease payments, fee income and, under certain circumstances, additional amounts funded on assets serving as collateral are retained by the Company. The 2011 Tranche A-1 Facility requires that aggregate cumulative amortization payments of not less than $200.0 million shall be made on or before December 30, 2011, not less than $450.0 million on or before June 30, 2012, not less than $750.0 million on or before December 31, 2012 and not less than $1.50 billion on or before June 28, 2013. The 2011 Tranche A-2 Facility will begin amortizing six months after the repayment in full of the 2011 Tranche A-1 Facility, such that not less than $150.0 million of cumulative amortization payments shall be made on or before the six month anniversary of repayment of the A-1 Facility, with additional amortization payments of $150.0 million due on or before each six month anniversary thereafter, with any unpaid principal amounts due at maturity in June 2014.</w:t>
      </w:r>
    </w:p>
    <w:p>
      <w:pPr>
        <w:spacing w:after="0" w:line="18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Through June 30, 2012, the Company has made cumulative amortization repayments of $853.9 million on the 2011 Tranche A-1 Facility, which exceeds the $750.0 million cumulative amortization required to be paid by December 31, 2012 on that facility, leaving $646.1 million to be paid by maturity in June 2013. Repayments of the 2011 A-1 Tranche Facility prior to scheduled amortization dates have resulted in losses on early extinguishment of debt of $2.1 million and $3.1 million for the three and six months ended June 30, 2012, respectively, related to the acceleration of discounts and unamortized deferred financing fees on the portion of the facility that was repaid.</w:t>
      </w:r>
    </w:p>
    <w:p>
      <w:pPr>
        <w:spacing w:after="0" w:line="18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Term Loans</w:t>
      </w:r>
      <w:r>
        <w:rPr>
          <w:rFonts w:ascii="Arial" w:cs="Arial" w:eastAsia="Arial" w:hAnsi="Arial"/>
          <w:sz w:val="18"/>
          <w:szCs w:val="18"/>
          <w:color w:val="auto"/>
        </w:rPr>
        <w:t>—During the six months ended June 30, 2012, in conjunction with the sale of a portfolio of 12 net lease assets,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repaid the $50.8 million outstanding balances of its LIBOR + 4.50% secured term loans due in 2014 and terminated the related interest rate swaps associated with the loans (see Note 11).</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Unsecured Credit Facility</w:t>
      </w:r>
      <w:r>
        <w:rPr>
          <w:rFonts w:ascii="Arial" w:cs="Arial" w:eastAsia="Arial" w:hAnsi="Arial"/>
          <w:sz w:val="18"/>
          <w:szCs w:val="18"/>
          <w:color w:val="auto"/>
        </w:rPr>
        <w:t>—During the six months ended June 30, 2012, the Company fully repaid the $243.7 million remaining principal balance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LIBOR + 0.85% unsecured credit facility due June 2012. In connection with the repayments, the Company recorded a loss on early extinguishment of debt of $0.2 million.</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Notes</w:t>
      </w:r>
      <w:r>
        <w:rPr>
          <w:rFonts w:ascii="Arial" w:cs="Arial" w:eastAsia="Arial" w:hAnsi="Arial"/>
          <w:sz w:val="18"/>
          <w:szCs w:val="18"/>
          <w:color w:val="auto"/>
        </w:rPr>
        <w:t>—In January 2011, the Company fully redeemed the $312.3 million remaining principal balance of its 10% 2014 secured exchange notes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recorded a gain on early extinguishment of debt of $109.0 million primarily related to the recognition of the deferred gain premiums that resulted from a previous debt exchange.</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May 2012, the Company issued $275.0 million aggregate principal of 9.0% senior unsecured notes due June 2017 that were sold</w:t>
      </w:r>
      <w:r>
        <w:rPr>
          <w:rFonts w:ascii="Arial" w:cs="Arial" w:eastAsia="Arial" w:hAnsi="Arial"/>
          <w:sz w:val="18"/>
          <w:szCs w:val="18"/>
          <w:b w:val="1"/>
          <w:bCs w:val="1"/>
          <w:color w:val="auto"/>
        </w:rPr>
        <w:t xml:space="preserve"> </w:t>
      </w:r>
      <w:r>
        <w:rPr>
          <w:rFonts w:ascii="Arial" w:cs="Arial" w:eastAsia="Arial" w:hAnsi="Arial"/>
          <w:sz w:val="18"/>
          <w:szCs w:val="18"/>
          <w:color w:val="auto"/>
        </w:rPr>
        <w:t>at 98.012% of their principal amount. Proceeds from this transaction are reserved for the repayment of indebtedness and included in "Restricted cash" on the Company's Consolidated Balance Sheet as of June 30, 2012.</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six months ended June 30, 2012, the Company repaid, upon maturity, the $169.7 million outstanding principal balance of its 5.15% senior unsecured notes and the $90.3 million outstanding principal balance of its 5.50% senior unsecured notes. In addition, the Company repurchased $411.9 million par value of senior unsecured notes with various maturities ranging from March 2012 to October 2012. In connection with these repurchases, the Company recorded aggregate gains on early extinguishment of debt of $0.3 million and $3.2 million, for the three and six months ended June 30, 2012,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June 30, 2012, the carrying value of the Company's unencumbered and encumbered assets by asset type</w:t>
      </w:r>
      <w:r>
        <w:rPr>
          <w:rFonts w:ascii="Arial" w:cs="Arial" w:eastAsia="Arial" w:hAnsi="Arial"/>
          <w:sz w:val="18"/>
          <w:szCs w:val="18"/>
          <w:b w:val="1"/>
          <w:bCs w:val="1"/>
          <w:color w:val="auto"/>
        </w:rPr>
        <w:t xml:space="preserve"> </w:t>
      </w:r>
      <w:r>
        <w:rPr>
          <w:rFonts w:ascii="Arial" w:cs="Arial" w:eastAsia="Arial" w:hAnsi="Arial"/>
          <w:sz w:val="18"/>
          <w:szCs w:val="18"/>
          <w:color w:val="auto"/>
        </w:rPr>
        <w:t>are as follows ($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0"/>
              </w:rPr>
              <w:t>As of June 30, 2012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2"/>
              </w:rPr>
              <w:t>As of December 31, 2011</w:t>
            </w:r>
          </w:p>
        </w:tc>
      </w:tr>
      <w:tr>
        <w:trPr>
          <w:trHeight w:val="152"/>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Encumbered</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Unencumbered</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Encumbered</w:t>
            </w:r>
          </w:p>
        </w:tc>
        <w:tc>
          <w:tcPr>
            <w:tcW w:w="160" w:type="dxa"/>
            <w:vAlign w:val="bottom"/>
          </w:tcPr>
          <w:p>
            <w:pPr>
              <w:spacing w:after="0"/>
              <w:rPr>
                <w:sz w:val="13"/>
                <w:szCs w:val="13"/>
                <w:color w:val="auto"/>
              </w:rPr>
            </w:pPr>
          </w:p>
        </w:tc>
        <w:tc>
          <w:tcPr>
            <w:tcW w:w="122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6"/>
              </w:rPr>
              <w:t>Unencumbered</w:t>
            </w:r>
          </w:p>
        </w:tc>
      </w:tr>
      <w:tr>
        <w:trPr>
          <w:trHeight w:val="192"/>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Assets</w:t>
            </w:r>
          </w:p>
        </w:tc>
        <w:tc>
          <w:tcPr>
            <w:tcW w:w="160" w:type="dxa"/>
            <w:vAlign w:val="bottom"/>
          </w:tcPr>
          <w:p>
            <w:pPr>
              <w:spacing w:after="0"/>
              <w:rPr>
                <w:sz w:val="16"/>
                <w:szCs w:val="16"/>
                <w:color w:val="auto"/>
              </w:rPr>
            </w:pP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color w:val="auto"/>
              </w:rPr>
              <w:t>Assets</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other lending investments, net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1,723,459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1,153,671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lease assets, net</w:t>
            </w:r>
          </w:p>
        </w:tc>
        <w:tc>
          <w:tcPr>
            <w:tcW w:w="16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1,272,528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277,585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1,173,982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528,782</w:t>
            </w:r>
          </w:p>
        </w:tc>
      </w:tr>
      <w:tr>
        <w:trPr>
          <w:trHeight w:val="27"/>
        </w:trPr>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REHI, net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824,167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868,537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OREO</w:t>
            </w:r>
          </w:p>
        </w:tc>
        <w:tc>
          <w:tcPr>
            <w:tcW w:w="16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417,011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305,156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177,092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500,366</w:t>
            </w:r>
          </w:p>
        </w:tc>
      </w:tr>
      <w:tr>
        <w:trPr>
          <w:trHeight w:val="27"/>
        </w:trPr>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419,878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935,940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590,884</w:t>
            </w:r>
          </w:p>
        </w:tc>
      </w:tr>
      <w:tr>
        <w:trPr>
          <w:trHeight w:val="27"/>
        </w:trPr>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3,908,252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3,334,760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4,062,118</w:t>
            </w: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June 30, 2012 and December 31, 2011, the amounts presented exclude general reserves for loan losses of $56.8 million and $73.5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is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it will continue to be permitted to incur indebtedness for the purpose of refinancing existing indebtedness and for other permitted purposes under the indentures.</w:t>
      </w:r>
    </w:p>
    <w:p>
      <w:pPr>
        <w:spacing w:after="0" w:line="16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2012 Secured Credit Facilities and 2011 Secured Credit Facilities both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2012 Secured Credit Facilities and 2011 Secured Credit Facilities permit the Company to distribute 100% of its REIT taxable income on an annual basis. The Company may not pay common dividends if it ceases to qualify as a REIT.</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2012 Secured Credit Facilities and 2011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Business Risks and Uncertainties</w:t>
      </w:r>
      <w:r>
        <w:rPr>
          <w:rFonts w:ascii="Arial" w:cs="Arial" w:eastAsia="Arial" w:hAnsi="Arial"/>
          <w:sz w:val="17"/>
          <w:szCs w:val="17"/>
          <w:color w:val="auto"/>
        </w:rPr>
        <w:t>—The Company's business continues to be adversely impacted by the recent economic recession and illiquidity and</w:t>
      </w:r>
      <w:r>
        <w:rPr>
          <w:rFonts w:ascii="Arial" w:cs="Arial" w:eastAsia="Arial" w:hAnsi="Arial"/>
          <w:sz w:val="17"/>
          <w:szCs w:val="17"/>
          <w:b w:val="1"/>
          <w:bCs w:val="1"/>
          <w:color w:val="auto"/>
        </w:rPr>
        <w:t xml:space="preserve"> </w:t>
      </w:r>
      <w:r>
        <w:rPr>
          <w:rFonts w:ascii="Arial" w:cs="Arial" w:eastAsia="Arial" w:hAnsi="Arial"/>
          <w:sz w:val="17"/>
          <w:szCs w:val="17"/>
          <w:color w:val="auto"/>
        </w:rPr>
        <w:t>volatility in the credit and commercial real estate markets. These economic conditions resulted in increased non-performing loans and real estate owned as well as higher financing costs and limited access to the unsecured debt markets. Since the beginning of the crisis, the Company has significantly curtailed asset originations and has focused primarily on repositioning and redeveloping nonperforming assets in order to maximize their value, generating liquidity, retiring debt and decreasing leverage with the objective of preserving shareholder value.</w:t>
      </w:r>
    </w:p>
    <w:p>
      <w:pPr>
        <w:spacing w:after="0" w:line="17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saw signs of an economic recovery during the past two years, including some improvements in the commercial real estate market and capital markets. These improving conditions enabled the Company to issue $275.0 million of 9.0% senior unsecured notes in the current quarter and to execute the 2012 and 2011 Secured Credit Facilities in the first quarters of 2012 and 2011, respectively. While the Company has benefited from improving conditions, volatility within the capital markets and commercial real estate market continues to have an adverse effect on the Company's operations, as primarily evidenced by still elevated levels of non-performing assets and higher costs of capital. Further, continued improvement in the Company's financial condition and its ability to generate sufficient liquidity are dependent in part on a sustained economic recovery, which cannot be predicted with certainty.</w:t>
      </w:r>
    </w:p>
    <w:p>
      <w:pPr>
        <w:spacing w:after="0" w:line="16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As of June 30, 2012, the Company's debt maturities and minimum amortization requirements due in the next 12 months include $970.9 million of unsecured debt and $699.9 million of secured debt. The Company has met the minimum required amortization payments due through December 31, 2012 on its secured facilities and expects to primarily use proceeds from repayments and sales of a portion of the $3.79 billion of collateral pledged under the Company's secured debt to meet the amortization and maturities due under such debt during the first half of 2013.</w:t>
      </w:r>
    </w:p>
    <w:p>
      <w:pPr>
        <w:spacing w:after="0" w:line="1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June 30, 2012, the Company had $463.0 million of refinancing proceeds in restricted cash, reserved for the repayment of indebtedness, and $243.8 million of available cash, totaling $706.9 million, which is sufficient to repay the $469.2 million of remaining debt maturities in 2012. The Company's other capital sources to meet its remaining $501.7 million of unsecured debt maturities in the next 12 months will primarily include debt refinancings, proceeds from unencumbered asset sales and loan repayments from borrowers, and may include equity capital raising transactions. As of June 30, 2012, the Company had unencumbered assets, excluding cash and other assets, with a carrying value of approximately $2.40 billion.</w:t>
      </w:r>
    </w:p>
    <w:p>
      <w:pPr>
        <w:spacing w:after="0" w:line="13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Based on the dynamic nature of the Company's assets and its liquidity plan and the time frame in which the Company needs to generate liquidity, the specific assets, nature of the transactions, timing and amount of asset sales and refinancing transactions could vary and are subject to factors outside its control and cannot be predicted with certainty. The Company may also encounter difficulty in finding buyers of assets or executing capital raising strategies on acceptable terms in a timely manner, which could impact its ability to make scheduled repayments on its outstanding debt.</w:t>
      </w:r>
    </w:p>
    <w:p>
      <w:pPr>
        <w:spacing w:after="0" w:line="1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may adjust its plans in response to changes in its expectations and changes in market conditions. In addition, although there have been early signs of improvement in the commercial real estate and credit markets during the past two years, such markets remain volatile and it is not possible for the Company to predict whether these trends will continue in the future or to quantify the impact of these or other trends on its financial results. If the Company fails to repay its obligations as they become due, it would be an event of default under the relevant debt instruments, which could result in a cross-default and acceleration of the Company's other outstanding debt obligations, all of which would have a material adverse effect on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June 30, 2012, the maximum amount of fundings the Company may be required to make under each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Loans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Strategic</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Discretionary Fundings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127,948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127,948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171,986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17,259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214,335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—The Company and/or one or more of its subsidiaries is party to various pending litigation matters that are considered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routine litigation incidental to the Company's business as a finance and investment company focused on the commercial real estate industry, including loan foreclosure and foreclosure-related proceedings.</w:t>
      </w:r>
    </w:p>
    <w:p>
      <w:pPr>
        <w:spacing w:after="0" w:line="1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June 4, 2012, the Company reached an agreement in principle with the plaintiffs' Court-appointed representatives in the previously reported Citiline class action to settle the litigation. Settlement payments will be primarily funded by the Company's insurance carriers, with the Company contributing $2.0 million to the settlement, which is included in "Other expense" on the Consolidated Statements of Operations for the three and six months ended June 30, 2012. See "Part II. Item 1. Legal Proceedings", for further details and for other disclosures related to legal proceedings.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is any of its properties the subject of, any pending legal proceeding that would have a material adverse effect on the Company's consolidated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use of derivative financial instruments is primarily limited to the utilization of interest rate hedges and foreign exchange hedges. The principal objective of such hedges is to minimize the risks and/or costs associated with the Company's operating and financial structure and to manage its exposure to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5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June 30, 2012 and December 31, 2011 ($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Derivative Assets as of</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Derivative Liabilities as of</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7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6"/>
              </w:rPr>
              <w:t>June 30, 2012</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8"/>
              </w:rPr>
              <w:t>December 31, 2011</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2012</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2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80" w:type="dxa"/>
            <w:vAlign w:val="bottom"/>
          </w:tcPr>
          <w:p>
            <w:pPr>
              <w:spacing w:after="0"/>
              <w:rPr>
                <w:sz w:val="13"/>
                <w:szCs w:val="13"/>
                <w:color w:val="auto"/>
              </w:rPr>
            </w:pPr>
          </w:p>
        </w:tc>
        <w:tc>
          <w:tcPr>
            <w:tcW w:w="640" w:type="dxa"/>
            <w:vAlign w:val="bottom"/>
          </w:tcPr>
          <w:p>
            <w:pPr>
              <w:jc w:val="center"/>
              <w:ind w:right="22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600" w:type="dxa"/>
            <w:vAlign w:val="bottom"/>
            <w:gridSpan w:val="4"/>
          </w:tcPr>
          <w:p>
            <w:pPr>
              <w:jc w:val="right"/>
              <w:ind w:right="500"/>
              <w:spacing w:after="0" w:line="153" w:lineRule="exact"/>
              <w:rPr>
                <w:sz w:val="20"/>
                <w:szCs w:val="20"/>
                <w:color w:val="auto"/>
              </w:rPr>
            </w:pPr>
            <w:r>
              <w:rPr>
                <w:rFonts w:ascii="Arial" w:cs="Arial" w:eastAsia="Arial" w:hAnsi="Arial"/>
                <w:sz w:val="14"/>
                <w:szCs w:val="14"/>
                <w:b w:val="1"/>
                <w:bCs w:val="1"/>
                <w:color w:val="auto"/>
              </w:rPr>
              <w:t>Balance Sheet</w:t>
            </w:r>
          </w:p>
        </w:tc>
        <w:tc>
          <w:tcPr>
            <w:tcW w:w="7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3"/>
                <w:szCs w:val="13"/>
                <w:color w:val="auto"/>
              </w:rPr>
            </w:pPr>
          </w:p>
        </w:tc>
        <w:tc>
          <w:tcPr>
            <w:tcW w:w="72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6"/>
                <w:szCs w:val="16"/>
                <w:color w:val="auto"/>
              </w:rPr>
            </w:pPr>
          </w:p>
        </w:tc>
        <w:tc>
          <w:tcPr>
            <w:tcW w:w="64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Location</w:t>
            </w: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Foreign exchange</w:t>
            </w: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8,660</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Cash flow interest rate</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swap</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N/A</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N/A</w:t>
            </w: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three and six months ended June 30, 2012 and 2011 ($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6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Amount of Gain (Loss)</w:t>
            </w:r>
          </w:p>
        </w:tc>
        <w:tc>
          <w:tcPr>
            <w:tcW w:w="120" w:type="dxa"/>
            <w:vAlign w:val="bottom"/>
          </w:tcPr>
          <w:p>
            <w:pPr>
              <w:spacing w:after="0"/>
              <w:rPr>
                <w:sz w:val="14"/>
                <w:szCs w:val="1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Amount of Gain (Loss)</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in Hedging</w:t>
            </w:r>
          </w:p>
        </w:tc>
        <w:tc>
          <w:tcPr>
            <w:tcW w:w="2280" w:type="dxa"/>
            <w:vAlign w:val="bottom"/>
            <w:gridSpan w:val="2"/>
            <w:vMerge w:val="continue"/>
          </w:tcPr>
          <w:p>
            <w:pPr>
              <w:spacing w:after="0"/>
              <w:rPr>
                <w:sz w:val="12"/>
                <w:szCs w:val="12"/>
                <w:color w:val="auto"/>
              </w:rPr>
            </w:pPr>
          </w:p>
        </w:tc>
        <w:tc>
          <w:tcPr>
            <w:tcW w:w="2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Recognized in Accumulated Other</w:t>
            </w:r>
          </w:p>
        </w:tc>
        <w:tc>
          <w:tcPr>
            <w:tcW w:w="120" w:type="dxa"/>
            <w:vAlign w:val="bottom"/>
          </w:tcPr>
          <w:p>
            <w:pPr>
              <w:spacing w:after="0"/>
              <w:rPr>
                <w:sz w:val="12"/>
                <w:szCs w:val="12"/>
                <w:color w:val="auto"/>
              </w:rPr>
            </w:pPr>
          </w:p>
        </w:tc>
        <w:tc>
          <w:tcPr>
            <w:tcW w:w="2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2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8"/>
              </w:rPr>
              <w:t>Comprehensive Income (Effective</w:t>
            </w:r>
          </w:p>
        </w:tc>
        <w:tc>
          <w:tcPr>
            <w:tcW w:w="120" w:type="dxa"/>
            <w:vAlign w:val="bottom"/>
          </w:tcPr>
          <w:p>
            <w:pPr>
              <w:spacing w:after="0"/>
              <w:rPr>
                <w:sz w:val="12"/>
                <w:szCs w:val="12"/>
                <w:color w:val="auto"/>
              </w:rPr>
            </w:pPr>
          </w:p>
        </w:tc>
        <w:tc>
          <w:tcPr>
            <w:tcW w:w="2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Other Comprehensive Income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0" w:type="dxa"/>
            <w:vAlign w:val="bottom"/>
          </w:tcPr>
          <w:p>
            <w:pPr>
              <w:spacing w:after="0"/>
              <w:rPr>
                <w:sz w:val="1"/>
                <w:szCs w:val="1"/>
                <w:color w:val="auto"/>
              </w:rPr>
            </w:pP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Relationships</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 on Derivative</w:t>
            </w:r>
          </w:p>
        </w:tc>
        <w:tc>
          <w:tcPr>
            <w:tcW w:w="26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Portion)</w:t>
            </w: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into Earnings (Effective Portion)</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39"/>
        </w:trPr>
        <w:tc>
          <w:tcPr>
            <w:tcW w:w="242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4"/>
              </w:rPr>
              <w:t>For the Three Months Ended June 30,</w:t>
            </w:r>
          </w:p>
        </w:tc>
        <w:tc>
          <w:tcPr>
            <w:tcW w:w="2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2012</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Cash flow interest rate swap</w:t>
            </w: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160" w:type="dxa"/>
            <w:vAlign w:val="bottom"/>
          </w:tcPr>
          <w:p>
            <w:pPr>
              <w:ind w:left="18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w w:val="94"/>
              </w:rPr>
              <w:t>For the Three Months Ended June 30,</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2011</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Cash flow interest rate swap</w:t>
            </w: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2160" w:type="dxa"/>
            <w:vAlign w:val="bottom"/>
          </w:tcPr>
          <w:p>
            <w:pPr>
              <w:ind w:left="18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For the Six Months Ended June 30,</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2012</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Cash flow interest rate swap</w:t>
            </w: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2160" w:type="dxa"/>
            <w:vAlign w:val="bottom"/>
          </w:tcPr>
          <w:p>
            <w:pPr>
              <w:ind w:left="18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For the Six Months Ended June 30,</w:t>
            </w:r>
          </w:p>
        </w:tc>
        <w:tc>
          <w:tcPr>
            <w:tcW w:w="2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2011</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tabs>
          <w:tab w:leader="none" w:pos="2420" w:val="left"/>
          <w:tab w:leader="none" w:pos="4720" w:val="left"/>
        </w:tabs>
        <w:rPr>
          <w:sz w:val="20"/>
          <w:szCs w:val="20"/>
          <w:color w:val="auto"/>
        </w:rPr>
      </w:pPr>
      <w:r>
        <w:rPr>
          <w:rFonts w:ascii="Arial" w:cs="Arial" w:eastAsia="Arial" w:hAnsi="Arial"/>
          <w:sz w:val="14"/>
          <w:szCs w:val="14"/>
          <w:color w:val="auto"/>
        </w:rPr>
        <w:t>Cash flow interest rate swap</w:t>
      </w:r>
      <w:r>
        <w:rPr>
          <w:sz w:val="20"/>
          <w:szCs w:val="20"/>
          <w:color w:val="auto"/>
        </w:rPr>
        <w:tab/>
      </w:r>
      <w:r>
        <w:rPr>
          <w:rFonts w:ascii="Arial" w:cs="Arial" w:eastAsia="Arial" w:hAnsi="Arial"/>
          <w:sz w:val="14"/>
          <w:szCs w:val="14"/>
          <w:color w:val="auto"/>
        </w:rPr>
        <w:t>Interest Expense</w:t>
      </w:r>
      <w:r>
        <w:rPr>
          <w:sz w:val="20"/>
          <w:szCs w:val="20"/>
          <w:color w:val="auto"/>
        </w:rPr>
        <w:tab/>
      </w: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in Hedging</w:t>
            </w:r>
          </w:p>
        </w:tc>
        <w:tc>
          <w:tcPr>
            <w:tcW w:w="1840" w:type="dxa"/>
            <w:vAlign w:val="bottom"/>
          </w:tcPr>
          <w:p>
            <w:pPr>
              <w:jc w:val="center"/>
              <w:ind w:left="468"/>
              <w:spacing w:after="0"/>
              <w:rPr>
                <w:sz w:val="20"/>
                <w:szCs w:val="20"/>
                <w:color w:val="auto"/>
              </w:rPr>
            </w:pPr>
            <w:r>
              <w:rPr>
                <w:rFonts w:ascii="Arial" w:cs="Arial" w:eastAsia="Arial" w:hAnsi="Arial"/>
                <w:sz w:val="14"/>
                <w:szCs w:val="14"/>
                <w:b w:val="1"/>
                <w:bCs w:val="1"/>
                <w:color w:val="auto"/>
                <w:w w:val="95"/>
              </w:rPr>
              <w:t>Location of Gain or</w:t>
            </w:r>
          </w:p>
        </w:tc>
        <w:tc>
          <w:tcPr>
            <w:tcW w:w="0" w:type="dxa"/>
            <w:vAlign w:val="bottom"/>
          </w:tcPr>
          <w:p>
            <w:pPr>
              <w:spacing w:after="0"/>
              <w:rPr>
                <w:sz w:val="1"/>
                <w:szCs w:val="1"/>
                <w:color w:val="auto"/>
              </w:rPr>
            </w:pPr>
          </w:p>
        </w:tc>
      </w:tr>
      <w:tr>
        <w:trPr>
          <w:trHeight w:val="149"/>
        </w:trPr>
        <w:tc>
          <w:tcPr>
            <w:tcW w:w="2900" w:type="dxa"/>
            <w:vAlign w:val="bottom"/>
            <w:vMerge w:val="continue"/>
          </w:tcPr>
          <w:p>
            <w:pPr>
              <w:spacing w:after="0"/>
              <w:rPr>
                <w:sz w:val="12"/>
                <w:szCs w:val="12"/>
                <w:color w:val="auto"/>
              </w:rPr>
            </w:pPr>
          </w:p>
        </w:tc>
        <w:tc>
          <w:tcPr>
            <w:tcW w:w="184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Arial" w:cs="Arial" w:eastAsia="Arial" w:hAnsi="Arial"/>
                <w:sz w:val="14"/>
                <w:szCs w:val="14"/>
                <w:b w:val="1"/>
                <w:bCs w:val="1"/>
                <w:color w:val="auto"/>
              </w:rPr>
              <w:t>Relationships</w:t>
            </w:r>
          </w:p>
        </w:tc>
        <w:tc>
          <w:tcPr>
            <w:tcW w:w="1840" w:type="dxa"/>
            <w:vAlign w:val="bottom"/>
          </w:tcPr>
          <w:p>
            <w:pPr>
              <w:jc w:val="center"/>
              <w:ind w:left="448"/>
              <w:spacing w:after="0"/>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76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353</w:t>
            </w:r>
          </w:p>
        </w:tc>
        <w:tc>
          <w:tcPr>
            <w:tcW w:w="21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516"/>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3"/>
              </w:rPr>
              <w:t>Amount of Gain or (Loss)</w:t>
            </w:r>
          </w:p>
        </w:tc>
        <w:tc>
          <w:tcPr>
            <w:tcW w:w="2140" w:type="dxa"/>
            <w:vAlign w:val="bottom"/>
          </w:tcPr>
          <w:p>
            <w:pPr>
              <w:spacing w:after="0"/>
              <w:rPr>
                <w:sz w:val="24"/>
                <w:szCs w:val="24"/>
                <w:color w:val="auto"/>
              </w:rPr>
            </w:pPr>
          </w:p>
        </w:tc>
      </w:tr>
      <w:tr>
        <w:trPr>
          <w:trHeight w:val="192"/>
        </w:trPr>
        <w:tc>
          <w:tcPr>
            <w:tcW w:w="1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4"/>
          </w:tcPr>
          <w:p>
            <w:pPr>
              <w:jc w:val="center"/>
              <w:ind w:right="1928"/>
              <w:spacing w:after="0"/>
              <w:rPr>
                <w:sz w:val="20"/>
                <w:szCs w:val="20"/>
                <w:color w:val="auto"/>
              </w:rPr>
            </w:pPr>
            <w:r>
              <w:rPr>
                <w:rFonts w:ascii="Arial" w:cs="Arial" w:eastAsia="Arial" w:hAnsi="Arial"/>
                <w:sz w:val="14"/>
                <w:szCs w:val="14"/>
                <w:b w:val="1"/>
                <w:bCs w:val="1"/>
                <w:color w:val="auto"/>
                <w:w w:val="92"/>
              </w:rPr>
              <w:t>Recognized in Income on Derivative</w:t>
            </w:r>
          </w:p>
        </w:tc>
      </w:tr>
      <w:tr>
        <w:trPr>
          <w:trHeight w:val="152"/>
        </w:trPr>
        <w:tc>
          <w:tcPr>
            <w:tcW w:w="3200" w:type="dxa"/>
            <w:vAlign w:val="bottom"/>
            <w:gridSpan w:val="4"/>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For the Three Months</w:t>
            </w:r>
          </w:p>
        </w:tc>
        <w:tc>
          <w:tcPr>
            <w:tcW w:w="920" w:type="dxa"/>
            <w:vAlign w:val="bottom"/>
          </w:tcPr>
          <w:p>
            <w:pPr>
              <w:spacing w:after="0"/>
              <w:rPr>
                <w:sz w:val="13"/>
                <w:szCs w:val="13"/>
                <w:color w:val="auto"/>
              </w:rPr>
            </w:pPr>
          </w:p>
        </w:tc>
        <w:tc>
          <w:tcPr>
            <w:tcW w:w="2140" w:type="dxa"/>
            <w:vAlign w:val="bottom"/>
          </w:tcPr>
          <w:p>
            <w:pPr>
              <w:jc w:val="center"/>
              <w:ind w:right="848"/>
              <w:spacing w:after="0" w:line="153" w:lineRule="exact"/>
              <w:rPr>
                <w:sz w:val="20"/>
                <w:szCs w:val="20"/>
                <w:color w:val="auto"/>
              </w:rPr>
            </w:pPr>
            <w:r>
              <w:rPr>
                <w:rFonts w:ascii="Arial" w:cs="Arial" w:eastAsia="Arial" w:hAnsi="Arial"/>
                <w:sz w:val="14"/>
                <w:szCs w:val="14"/>
                <w:b w:val="1"/>
                <w:bCs w:val="1"/>
                <w:color w:val="auto"/>
                <w:w w:val="93"/>
              </w:rPr>
              <w:t>For the Six Months</w:t>
            </w:r>
          </w:p>
        </w:tc>
      </w:tr>
      <w:tr>
        <w:trPr>
          <w:trHeight w:val="192"/>
        </w:trPr>
        <w:tc>
          <w:tcPr>
            <w:tcW w:w="2040" w:type="dxa"/>
            <w:vAlign w:val="bottom"/>
            <w:tcBorders>
              <w:bottom w:val="single" w:sz="8" w:color="auto"/>
            </w:tcBorders>
            <w:gridSpan w:val="2"/>
          </w:tcPr>
          <w:p>
            <w:pPr>
              <w:jc w:val="center"/>
              <w:ind w:left="1028"/>
              <w:spacing w:after="0"/>
              <w:rPr>
                <w:sz w:val="20"/>
                <w:szCs w:val="20"/>
                <w:color w:val="auto"/>
              </w:rPr>
            </w:pPr>
            <w:r>
              <w:rPr>
                <w:rFonts w:ascii="Arial" w:cs="Arial" w:eastAsia="Arial" w:hAnsi="Arial"/>
                <w:sz w:val="14"/>
                <w:szCs w:val="14"/>
                <w:b w:val="1"/>
                <w:bCs w:val="1"/>
                <w:color w:val="auto"/>
                <w:w w:val="91"/>
              </w:rPr>
              <w:t>Ended 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91"/>
              </w:rPr>
              <w:t>Ended June 30,</w:t>
            </w:r>
          </w:p>
        </w:tc>
      </w:tr>
      <w:tr>
        <w:trPr>
          <w:trHeight w:val="325"/>
        </w:trPr>
        <w:tc>
          <w:tcPr>
            <w:tcW w:w="1760" w:type="dxa"/>
            <w:vAlign w:val="bottom"/>
          </w:tcPr>
          <w:p>
            <w:pPr>
              <w:jc w:val="right"/>
              <w:ind w:right="788"/>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24"/>
                <w:szCs w:val="24"/>
                <w:color w:val="auto"/>
              </w:rPr>
            </w:pPr>
          </w:p>
        </w:tc>
        <w:tc>
          <w:tcPr>
            <w:tcW w:w="10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7620</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800" w:space="360"/>
            <w:col w:w="6260"/>
          </w:cols>
          <w:pgMar w:left="240" w:top="121" w:right="239" w:bottom="1440" w:gutter="0" w:footer="0" w:header="0"/>
          <w:type w:val="continuous"/>
        </w:sectPr>
      </w:pPr>
    </w:p>
    <w:p>
      <w:pPr>
        <w:ind w:left="40"/>
        <w:spacing w:after="0"/>
        <w:tabs>
          <w:tab w:leader="none" w:pos="3220" w:val="left"/>
          <w:tab w:leader="none" w:pos="5180" w:val="left"/>
          <w:tab w:leader="none" w:pos="6040" w:val="left"/>
          <w:tab w:leader="none" w:pos="6800" w:val="left"/>
          <w:tab w:leader="none" w:pos="7660" w:val="left"/>
          <w:tab w:leader="none" w:pos="8380" w:val="left"/>
          <w:tab w:leader="none" w:pos="9300" w:val="left"/>
          <w:tab w:leader="none" w:pos="9960" w:val="left"/>
          <w:tab w:leader="none" w:pos="1082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Other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10,191</w:t>
        <w:tab/>
        <w:t>$</w:t>
      </w:r>
      <w:r>
        <w:rPr>
          <w:sz w:val="20"/>
          <w:szCs w:val="20"/>
          <w:color w:val="auto"/>
        </w:rPr>
        <w:tab/>
      </w:r>
      <w:r>
        <w:rPr>
          <w:rFonts w:ascii="Arial" w:cs="Arial" w:eastAsia="Arial" w:hAnsi="Arial"/>
          <w:sz w:val="18"/>
          <w:szCs w:val="18"/>
          <w:color w:val="auto"/>
        </w:rPr>
        <w:t>(4,777)</w:t>
        <w:tab/>
        <w:t>$</w:t>
      </w:r>
      <w:r>
        <w:rPr>
          <w:sz w:val="20"/>
          <w:szCs w:val="20"/>
          <w:color w:val="auto"/>
        </w:rPr>
        <w:tab/>
      </w:r>
      <w:r>
        <w:rPr>
          <w:rFonts w:ascii="Arial" w:cs="Arial" w:eastAsia="Arial" w:hAnsi="Arial"/>
          <w:sz w:val="18"/>
          <w:szCs w:val="18"/>
          <w:color w:val="auto"/>
        </w:rPr>
        <w:t>1,332</w:t>
        <w:tab/>
        <w:t>$</w:t>
      </w:r>
      <w:r>
        <w:rPr>
          <w:sz w:val="20"/>
          <w:szCs w:val="20"/>
          <w:color w:val="auto"/>
        </w:rPr>
        <w:tab/>
      </w:r>
      <w:r>
        <w:rPr>
          <w:rFonts w:ascii="Arial" w:cs="Arial" w:eastAsia="Arial" w:hAnsi="Arial"/>
          <w:sz w:val="17"/>
          <w:szCs w:val="17"/>
          <w:color w:val="auto"/>
        </w:rPr>
        <w:t>(8,893)</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Non-designated hedges</w:t>
      </w:r>
      <w:r>
        <w:rPr>
          <w:rFonts w:ascii="Arial" w:cs="Arial" w:eastAsia="Arial" w:hAnsi="Arial"/>
          <w:sz w:val="17"/>
          <w:szCs w:val="17"/>
          <w:color w:val="auto"/>
        </w:rPr>
        <w:t>—Changes in the fair value of derivatives not designated in hedging relationships are recorded directly in earnings.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foreign currency derivatives outstanding as of June 30, 2012 ($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48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Notional</w:t>
            </w: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(USD Equivalent)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Sells EUR/Buys USD Forward</w:t>
            </w: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3"/>
              </w:rPr>
              <w:t>July 2012</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Sells GBP/Buys USD Forward</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53,502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83,889</w:t>
            </w:r>
          </w:p>
        </w:tc>
        <w:tc>
          <w:tcPr>
            <w:tcW w:w="100" w:type="dxa"/>
            <w:vAlign w:val="bottom"/>
          </w:tcPr>
          <w:p>
            <w:pPr>
              <w:spacing w:after="0"/>
              <w:rPr>
                <w:sz w:val="21"/>
                <w:szCs w:val="21"/>
                <w:color w:val="auto"/>
              </w:rPr>
            </w:pPr>
          </w:p>
        </w:tc>
        <w:tc>
          <w:tcPr>
            <w:tcW w:w="1480" w:type="dxa"/>
            <w:vAlign w:val="bottom"/>
          </w:tcPr>
          <w:p>
            <w:pPr>
              <w:ind w:left="740"/>
              <w:spacing w:after="0"/>
              <w:rPr>
                <w:sz w:val="20"/>
                <w:szCs w:val="20"/>
                <w:color w:val="auto"/>
              </w:rPr>
            </w:pPr>
            <w:r>
              <w:rPr>
                <w:rFonts w:ascii="Arial" w:cs="Arial" w:eastAsia="Arial" w:hAnsi="Arial"/>
                <w:sz w:val="18"/>
                <w:szCs w:val="18"/>
                <w:color w:val="auto"/>
                <w:w w:val="93"/>
              </w:rPr>
              <w:t>July 2012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Sells CAD/Buys USD Forward</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50,641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49,778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3"/>
              </w:rPr>
              <w:t>July 2012</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Qualifying Cash Flow Hedges</w:t>
      </w:r>
      <w:r>
        <w:rPr>
          <w:rFonts w:ascii="Arial" w:cs="Arial" w:eastAsia="Arial" w:hAnsi="Arial"/>
          <w:sz w:val="17"/>
          <w:szCs w:val="17"/>
          <w:color w:val="auto"/>
        </w:rPr>
        <w:t>—During the six months ended June 30, 2012, the Company terminated its interest rate swaps in conjunction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early repayment of its secured term loans and will reclassify the $1.1 million loss, included in accumulated other comprehensive income (loss) into "Interest expense" on its Consolidated Statements of Operations over the remaining term of the forecasted hedged transactions (see also Note 9).</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12 months, the Company expects that $0.6 million of expense and $0.7 million of income related to terminated cash flow hedges, will be reclassified from Accumulated other comprehensive income (loss) into earnings.</w:t>
      </w:r>
    </w:p>
    <w:p>
      <w:pPr>
        <w:spacing w:after="0" w:line="16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connection with its foreign currency derivatives, as of June 30, 2012 and December 31, 2011, the Company has posted collateral of $9.3 million and $9.6 million, respectively, which is included in "Restricted cash" on the Company's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—The Company had the following series of Cumulative Redeemable Preferred Stock outstanding as of June 30, 2012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4"/>
          </w:tcPr>
          <w:p>
            <w:pPr>
              <w:jc w:val="right"/>
              <w:ind w:right="737"/>
              <w:spacing w:after="0"/>
              <w:rPr>
                <w:sz w:val="20"/>
                <w:szCs w:val="20"/>
                <w:color w:val="auto"/>
              </w:rPr>
            </w:pPr>
            <w:r>
              <w:rPr>
                <w:rFonts w:ascii="Arial" w:cs="Arial" w:eastAsia="Arial" w:hAnsi="Arial"/>
                <w:sz w:val="14"/>
                <w:szCs w:val="14"/>
                <w:b w:val="1"/>
                <w:bCs w:val="1"/>
                <w:color w:val="auto"/>
              </w:rPr>
              <w:t>Cumulative Preferential Cash</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1177"/>
              <w:spacing w:after="0"/>
              <w:rPr>
                <w:sz w:val="20"/>
                <w:szCs w:val="20"/>
                <w:color w:val="auto"/>
              </w:rPr>
            </w:pPr>
            <w:r>
              <w:rPr>
                <w:rFonts w:ascii="Arial" w:cs="Arial" w:eastAsia="Arial" w:hAnsi="Arial"/>
                <w:sz w:val="14"/>
                <w:szCs w:val="14"/>
                <w:b w:val="1"/>
                <w:bCs w:val="1"/>
                <w:color w:val="auto"/>
              </w:rPr>
              <w:t>Dividends(1)(2)</w:t>
            </w: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Rate per Annum</w:t>
            </w:r>
          </w:p>
        </w:tc>
        <w:tc>
          <w:tcPr>
            <w:tcW w:w="220" w:type="dxa"/>
            <w:vAlign w:val="bottom"/>
          </w:tcPr>
          <w:p>
            <w:pPr>
              <w:spacing w:after="0"/>
              <w:rPr>
                <w:sz w:val="13"/>
                <w:szCs w:val="13"/>
                <w:color w:val="auto"/>
              </w:rPr>
            </w:pPr>
          </w:p>
        </w:tc>
        <w:tc>
          <w:tcPr>
            <w:tcW w:w="14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of the $25.00</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Series</w:t>
            </w:r>
          </w:p>
        </w:tc>
        <w:tc>
          <w:tcPr>
            <w:tcW w:w="100" w:type="dxa"/>
            <w:vAlign w:val="bottom"/>
            <w:vMerge w:val="restart"/>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220" w:type="dxa"/>
            <w:vAlign w:val="bottom"/>
          </w:tcPr>
          <w:p>
            <w:pPr>
              <w:spacing w:after="0"/>
              <w:rPr>
                <w:sz w:val="12"/>
                <w:szCs w:val="12"/>
                <w:color w:val="auto"/>
              </w:rPr>
            </w:pPr>
          </w:p>
        </w:tc>
        <w:tc>
          <w:tcPr>
            <w:tcW w:w="14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5,600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G</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3,200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17145</wp:posOffset>
            </wp:positionV>
            <wp:extent cx="1089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-127635</wp:posOffset>
            </wp:positionV>
            <wp:extent cx="1089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80" w:hanging="652"/>
        <w:spacing w:after="0" w:line="30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4"/>
          <w:szCs w:val="14"/>
          <w:color w:val="auto"/>
        </w:rPr>
        <w:t>Holders of shares of the Series D, E, F, G and I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3" w:lineRule="exact"/>
        <w:rPr>
          <w:rFonts w:ascii="Arial" w:cs="Arial" w:eastAsia="Arial" w:hAnsi="Arial"/>
          <w:sz w:val="18"/>
          <w:szCs w:val="18"/>
          <w:color w:val="auto"/>
        </w:rPr>
      </w:pPr>
    </w:p>
    <w:p>
      <w:pPr>
        <w:ind w:left="660" w:right="120" w:hanging="652"/>
        <w:spacing w:after="0" w:line="28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4"/>
          <w:szCs w:val="14"/>
          <w:color w:val="auto"/>
        </w:rPr>
        <w:t>The Company declared and paid dividends aggregating $4.0 million, $5.5 million, $3.9 million, $3.1 million and $4.7 million on its Series D, E, F, G, and I preferred stock, respectively, during the six months ended June 30, 2012. There are no dividend arrearages on any of the preferred shares currently outstanding.</w:t>
      </w:r>
    </w:p>
    <w:p>
      <w:pPr>
        <w:spacing w:after="0" w:line="13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—In order to maintain its election to qualify as a REIT, the Company must currently distribute, at a minimum, an amount equal to 90% of its</w:t>
      </w:r>
      <w:r>
        <w:rPr>
          <w:rFonts w:ascii="Arial" w:cs="Arial" w:eastAsia="Arial" w:hAnsi="Arial"/>
          <w:sz w:val="17"/>
          <w:szCs w:val="17"/>
          <w:b w:val="1"/>
          <w:bCs w:val="1"/>
          <w:color w:val="auto"/>
        </w:rPr>
        <w:t xml:space="preserve"> </w:t>
      </w:r>
      <w:r>
        <w:rPr>
          <w:rFonts w:ascii="Arial" w:cs="Arial" w:eastAsia="Arial" w:hAnsi="Arial"/>
          <w:sz w:val="17"/>
          <w:szCs w:val="17"/>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Because taxable income differs from cash flow from operations due to non-cash revenues and expenses (such as depreciation and certain asset impairments), in certain circumstances, the Company may generate operating cash flow in excess of its dividends or, alternatively, may be required to borrow to make sufficient dividend payments. The Company's 2012 Secured Credit Facilities and 2011 Secured Credit Facilities permit the Company to distribute 100% of its REIT taxable income on an annual basis, for so long as the Company maintains its qualification as a REIT. The 2012 and 2011 Secured Credit Facilities restrict the Company from paying any common dividends if it ceases to qualify as a REIT. The Company did not declare or pay any Common Stock dividends for the six months ended June 30, 2012 and 2011.</w:t>
      </w:r>
    </w:p>
    <w:p>
      <w:pPr>
        <w:spacing w:after="0" w:line="17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—On May 16, 2012, the Company's Board of Directors approved a stock repurchase program that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up to $20.0 million of its Common Stock from time to time in open market and privately negotiated purchases, including pursuant to one or more trading plans.</w:t>
      </w:r>
    </w:p>
    <w:p>
      <w:pPr>
        <w:spacing w:after="0" w:line="1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2012, the Company repurchased 0.8 million shares of its outstanding Common Stock for approximately $4.6 million, at an average cost of $5.69 per share. As of June 30, 2012, the Company had $16.0 million of Common Stock available to repurchase under its Board authorized stock repurchase programs.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Pr>
          <w:p>
            <w:pPr>
              <w:spacing w:after="0"/>
              <w:rPr>
                <w:sz w:val="22"/>
                <w:szCs w:val="22"/>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2011</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gains on cash flow hedges</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1,986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of $3.4 million and $8.1 million for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2012, respectively, and $4.3 million and $8.5 million for the three and six months ended June 30, 2011, respectively, in "General and administrative" on the Company's Consolidated Statements of Operations. As of June 30, 2012, there was $17.0 million of total unrecognized compensation cost related to all unvested restricted stock units that is expected to be recognized over a weighted average remaining vesting/service period of 1.08 years. As of June 30, 2012, an aggregate of 4.1 million shares remain available for issuance pursuant to future awards under the Company's 2006 and 2009 Long-Term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i w:val="1"/>
          <w:iCs w:val="1"/>
          <w:color w:val="auto"/>
        </w:rPr>
        <w:t>2012 Activity</w:t>
      </w:r>
      <w:r>
        <w:rPr>
          <w:rFonts w:ascii="Arial" w:cs="Arial" w:eastAsia="Arial" w:hAnsi="Arial"/>
          <w:sz w:val="17"/>
          <w:szCs w:val="17"/>
          <w:color w:val="auto"/>
        </w:rPr>
        <w:t>—During the six months ended June 30, 2012, 4,302,721 restricted stock units vested and were issued to employees, net of statutory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minimum required tax withholdings. These vested restricted stock units were primarily comprised of 1,947,551 Amended Units which vested on January 1, 2012 (see below), 1,340,620 service-based restricted stock units granted to employees in February 2010 that cliff vested on February 17, 2012, and 806,518 performance-based restricted stock units granted to the Company's Chairman and Chief Executive Officer in March 2010, that cliff vested on March 2, 2012. The performance-based units had certain performance and service conditions, relating to reductions in the Company's general and administrative expenses, retirement of debt and continued employment, which were satisfied during the year ended December 31, 2010.</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2012, the Company had the following restricted stock awards outstanding:</w:t>
      </w:r>
    </w:p>
    <w:p>
      <w:pPr>
        <w:spacing w:after="0" w:line="225" w:lineRule="exact"/>
        <w:rPr>
          <w:sz w:val="20"/>
          <w:szCs w:val="20"/>
          <w:color w:val="auto"/>
        </w:rPr>
      </w:pPr>
    </w:p>
    <w:p>
      <w:pPr>
        <w:ind w:left="660" w:right="6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1,200,000 service-based restricted stock units granted to the Company's Chairman and Chief Executive Officer that will vest in two equal installments on June 15 of 2013 and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71" w:lineRule="exact"/>
        <w:rPr>
          <w:rFonts w:ascii="Arial" w:cs="Arial" w:eastAsia="Arial" w:hAnsi="Arial"/>
          <w:sz w:val="17"/>
          <w:szCs w:val="17"/>
          <w:color w:val="auto"/>
        </w:rPr>
      </w:pPr>
    </w:p>
    <w:p>
      <w:pPr>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3,669,347 restricted stock units originally granted to executives and other officers of the Company on December 19, 2008 (the "Original Units") and subsequently modified in July 2011. The number of Amended Units is equal to 75% of the Original Units granted to an employee </w:t>
      </w:r>
      <w:r>
        <w:rPr>
          <w:rFonts w:ascii="Arial" w:cs="Arial" w:eastAsia="Arial" w:hAnsi="Arial"/>
          <w:sz w:val="18"/>
          <w:szCs w:val="18"/>
          <w:i w:val="1"/>
          <w:iCs w:val="1"/>
          <w:color w:val="auto"/>
        </w:rPr>
        <w:t>less</w:t>
      </w:r>
      <w:r>
        <w:rPr>
          <w:rFonts w:ascii="Arial" w:cs="Arial" w:eastAsia="Arial" w:hAnsi="Arial"/>
          <w:sz w:val="18"/>
          <w:szCs w:val="18"/>
          <w:color w:val="auto"/>
        </w:rPr>
        <w:t>, in the case of each executive level employee, the number of restricted stock units granted to the executive in March 2011. The remaining Amended Units will vest in two equal installments on January 1, 2013 and 2014, so long as the employee remains employed by the Company on the vesting dates, subject to certain accelerated vesting rights in the event of termination of employment without cause.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6" w:lineRule="exact"/>
        <w:rPr>
          <w:sz w:val="20"/>
          <w:szCs w:val="20"/>
          <w:color w:val="auto"/>
        </w:rPr>
      </w:pPr>
    </w:p>
    <w:p>
      <w:pPr>
        <w:ind w:left="660" w:right="14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713,040 service-based restricted stock units granted to employees with original vesting terms ranging from two years to five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—All remaining stock options expired during the six months ended June 30, 2012.</w:t>
      </w:r>
    </w:p>
    <w:p>
      <w:pPr>
        <w:spacing w:after="0" w:line="225"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Directors' Awards</w:t>
      </w:r>
      <w:r>
        <w:rPr>
          <w:rFonts w:ascii="Arial" w:cs="Arial" w:eastAsia="Arial" w:hAnsi="Arial"/>
          <w:sz w:val="17"/>
          <w:szCs w:val="17"/>
          <w:color w:val="auto"/>
        </w:rPr>
        <w:t>—During the six months ended June 30, 2012, the Company awarded to Directors 77,113 common share equivalents ("CSEs")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at a fair value per share of $5.67 at the time of grant. These CSEs and restricted shares have a one year vesting period and pay dividends in an amount equal to the dividends paid on the equivalent number of shares of the Company's Common stock from the date of grant, as and when dividends are paid on Common Stock. In addition, during the six months ended June 30, 2012, the Company issued 35,476 shares to a former director in settlement of previously vested CSE awards. As of June 30, 2012, there were 384,751 CSEs and restricted shares granted to members of the Company's Board of Directors that remained outstanding with an aggregate intrinsic value of $2.5 million.</w:t>
      </w:r>
    </w:p>
    <w:p>
      <w:pPr>
        <w:spacing w:after="0" w:line="174"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—The Company made gross contributions to its 401(k) Plan of approximately $0.1 million and $0.7 million for the three and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2012, respectively, and $0.2 million and $0.4 million for the three and six months ended June 30, 2011,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EPS calculations ($ in thousands, except for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Ended 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19,999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and allocable to common shareholders, HPU holders and Participating</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(86,345)</w:t>
            </w: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(36,831)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(146,428)</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34,727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Holders(1)</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420" w:hanging="652"/>
        <w:spacing w:after="0" w:line="28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4"/>
          <w:szCs w:val="14"/>
          <w:color w:val="auto"/>
        </w:rPr>
        <w:t>For the six months ended June 30, 2011, includes income from continuing operations allocable to Participating Security Holders of $1,540 and $1,507 on a basic and dilutive basis,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Ended 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share:</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(83,526)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(141,633)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(58,996)</w:t>
            </w:r>
          </w:p>
        </w:tc>
        <w:tc>
          <w:tcPr>
            <w:tcW w:w="120" w:type="dxa"/>
            <w:vAlign w:val="bottom"/>
          </w:tcPr>
          <w:p>
            <w:pPr>
              <w:spacing w:after="0"/>
              <w:rPr>
                <w:sz w:val="18"/>
                <w:szCs w:val="18"/>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(35,525)</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(113,789)</w:t>
            </w:r>
          </w:p>
        </w:tc>
        <w:tc>
          <w:tcPr>
            <w:tcW w:w="120" w:type="dxa"/>
            <w:vAlign w:val="bottom"/>
          </w:tcPr>
          <w:p>
            <w:pPr>
              <w:spacing w:after="0"/>
              <w:rPr>
                <w:sz w:val="18"/>
                <w:szCs w:val="18"/>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for diluted 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(83,526)</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(35,736)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(141,633)</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24,040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26,364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(58,996)</w:t>
            </w: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(113,789)</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for basic earnings per</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84,113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83,834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92,580</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9"/>
              </w:rPr>
              <w:t>Add: effect of assumed shared issued under treasury stock method for</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3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effect of joint venture shares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8"/>
              </w:rPr>
              <w:t>Weighted average common shares outstanding for diluted earnings per</w:t>
            </w: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84,113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92,621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83,834</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94,758</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share</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common shareholders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iStar Financial Inc. and allocable to</w:t>
            </w: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2"/>
        </w:trPr>
        <w:tc>
          <w:tcPr>
            <w:tcW w:w="562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3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29</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Ended 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High Performance Units: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HPU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8"/>
                <w:szCs w:val="18"/>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18"/>
                <w:szCs w:val="18"/>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for diluted earnings per HPU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(4,795)</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 average High Performance Units outstanding for basic and diluted</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earnings per HPU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(132.73)</w:t>
            </w:r>
          </w:p>
        </w:tc>
        <w:tc>
          <w:tcPr>
            <w:tcW w:w="120" w:type="dxa"/>
            <w:vAlign w:val="bottom"/>
          </w:tcPr>
          <w:p>
            <w:pPr>
              <w:spacing w:after="0"/>
              <w:rPr>
                <w:sz w:val="18"/>
                <w:szCs w:val="18"/>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(256.80)</w:t>
            </w:r>
          </w:p>
        </w:tc>
        <w:tc>
          <w:tcPr>
            <w:tcW w:w="120" w:type="dxa"/>
            <w:vAlign w:val="bottom"/>
          </w:tcPr>
          <w:p>
            <w:pPr>
              <w:spacing w:after="0"/>
              <w:rPr>
                <w:sz w:val="18"/>
                <w:szCs w:val="18"/>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HPU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and allocable to HPU 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(187.93)</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(319.66)</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income (loss) attributable to iStar Financial Inc. and allocable to HPU</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(256.80)</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June 30, 2012 and 2011, the following shares were anti-dilutive ($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4"/>
              </w:rPr>
              <w:t>For the Three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3"/>
          </w:tcPr>
          <w:p>
            <w:pPr>
              <w:jc w:val="center"/>
              <w:ind w:left="721"/>
              <w:spacing w:after="0"/>
              <w:rPr>
                <w:sz w:val="20"/>
                <w:szCs w:val="20"/>
                <w:color w:val="auto"/>
              </w:rPr>
            </w:pPr>
            <w:r>
              <w:rPr>
                <w:rFonts w:ascii="Arial" w:cs="Arial" w:eastAsia="Arial" w:hAnsi="Arial"/>
                <w:sz w:val="14"/>
                <w:szCs w:val="14"/>
                <w:b w:val="1"/>
                <w:bCs w:val="1"/>
                <w:color w:val="auto"/>
                <w:w w:val="93"/>
              </w:rPr>
              <w:t>For the Six Months</w:t>
            </w:r>
          </w:p>
        </w:tc>
        <w:tc>
          <w:tcPr>
            <w:tcW w:w="82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328"/>
              <w:spacing w:after="0"/>
              <w:rPr>
                <w:sz w:val="20"/>
                <w:szCs w:val="20"/>
                <w:color w:val="auto"/>
              </w:rPr>
            </w:pPr>
            <w:r>
              <w:rPr>
                <w:rFonts w:ascii="Arial" w:cs="Arial" w:eastAsia="Arial" w:hAnsi="Arial"/>
                <w:sz w:val="14"/>
                <w:szCs w:val="14"/>
                <w:b w:val="1"/>
                <w:bCs w:val="1"/>
                <w:color w:val="auto"/>
                <w:w w:val="91"/>
              </w:rPr>
              <w:t>Ended June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1"/>
              </w:rPr>
              <w:t>Ended June 30,</w:t>
            </w:r>
          </w:p>
        </w:tc>
        <w:tc>
          <w:tcPr>
            <w:tcW w:w="82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gridSpan w:val="3"/>
          </w:tcPr>
          <w:p>
            <w:pPr>
              <w:jc w:val="right"/>
              <w:ind w:right="108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19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44</w:t>
            </w:r>
          </w:p>
        </w:tc>
      </w:tr>
      <w:tr>
        <w:trPr>
          <w:trHeight w:val="702"/>
        </w:trPr>
        <w:tc>
          <w:tcPr>
            <w:tcW w:w="6520" w:type="dxa"/>
            <w:vAlign w:val="bottom"/>
            <w:gridSpan w:val="2"/>
          </w:tcPr>
          <w:p>
            <w:pPr>
              <w:jc w:val="right"/>
              <w:ind w:right="648"/>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47" w:lineRule="exact"/>
        <w:rPr>
          <w:sz w:val="20"/>
          <w:szCs w:val="20"/>
          <w:color w:val="auto"/>
        </w:rPr>
      </w:pPr>
    </w:p>
    <w:p>
      <w:pPr>
        <w:ind w:left="80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25"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70"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Other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3"/>
                <w:szCs w:val="13"/>
                <w:color w:val="auto"/>
              </w:rPr>
            </w:pPr>
          </w:p>
        </w:tc>
        <w:tc>
          <w:tcPr>
            <w:tcW w:w="12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prices in</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2012</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Derivative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93,100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Impaired net lease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271,968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Impaired OREO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43,660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43,660</w:t>
            </w:r>
          </w:p>
        </w:tc>
        <w:tc>
          <w:tcPr>
            <w:tcW w:w="0" w:type="dxa"/>
            <w:vAlign w:val="bottom"/>
          </w:tcPr>
          <w:p>
            <w:pPr>
              <w:spacing w:after="0"/>
              <w:rPr>
                <w:sz w:val="1"/>
                <w:szCs w:val="1"/>
                <w:color w:val="auto"/>
              </w:rPr>
            </w:pPr>
          </w:p>
        </w:tc>
      </w:tr>
      <w:tr>
        <w:trPr>
          <w:trHeight w:val="70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provides quantitative information about Level 3 fair value measures of the Company's non-recurring financial and non-financial assets ($ in thousands):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Information about Level 3 Fair Value Measurements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 as of June</w:t>
            </w:r>
          </w:p>
        </w:tc>
        <w:tc>
          <w:tcPr>
            <w:tcW w:w="100" w:type="dxa"/>
            <w:vAlign w:val="bottom"/>
          </w:tcPr>
          <w:p>
            <w:pPr>
              <w:spacing w:after="0"/>
              <w:rPr>
                <w:sz w:val="14"/>
                <w:szCs w:val="1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Valuation</w:t>
            </w:r>
          </w:p>
        </w:tc>
        <w:tc>
          <w:tcPr>
            <w:tcW w:w="408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Unobservable Input</w:t>
            </w:r>
          </w:p>
        </w:tc>
        <w:tc>
          <w:tcPr>
            <w:tcW w:w="1100" w:type="dxa"/>
            <w:vAlign w:val="bottom"/>
          </w:tcPr>
          <w:p>
            <w:pPr>
              <w:jc w:val="right"/>
              <w:ind w:right="17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30, 2012</w:t>
            </w:r>
          </w:p>
        </w:tc>
        <w:tc>
          <w:tcPr>
            <w:tcW w:w="10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Technique(s)</w:t>
            </w:r>
          </w:p>
        </w:tc>
        <w:tc>
          <w:tcPr>
            <w:tcW w:w="4080" w:type="dxa"/>
            <w:vAlign w:val="bottom"/>
            <w:gridSpan w:val="2"/>
            <w:vMerge w:val="continue"/>
          </w:tcPr>
          <w:p>
            <w:pPr>
              <w:spacing w:after="0"/>
              <w:rPr>
                <w:sz w:val="16"/>
                <w:szCs w:val="16"/>
                <w:color w:val="auto"/>
              </w:rPr>
            </w:pP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15"/>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loans—income</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producing properties</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93,100</w:t>
            </w:r>
          </w:p>
        </w:tc>
        <w:tc>
          <w:tcPr>
            <w:tcW w:w="1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8"/>
              </w:rPr>
              <w:t>Discounted cash flow</w:t>
            </w:r>
          </w:p>
        </w:tc>
        <w:tc>
          <w:tcPr>
            <w:tcW w:w="4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Discount rate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80" w:type="dxa"/>
            <w:vAlign w:val="bottom"/>
            <w:gridSpan w:val="2"/>
          </w:tcPr>
          <w:p>
            <w:pPr>
              <w:jc w:val="right"/>
              <w:ind w:right="120"/>
              <w:spacing w:after="0"/>
              <w:rPr>
                <w:sz w:val="20"/>
                <w:szCs w:val="20"/>
                <w:color w:val="auto"/>
              </w:rPr>
            </w:pPr>
            <w:r>
              <w:rPr>
                <w:rFonts w:ascii="Arial" w:cs="Arial" w:eastAsia="Arial" w:hAnsi="Arial"/>
                <w:sz w:val="18"/>
                <w:szCs w:val="18"/>
                <w:color w:val="auto"/>
              </w:rPr>
              <w:t>Capitalization rate</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Average annual percentage market rate growth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80" w:type="dxa"/>
            <w:vAlign w:val="bottom"/>
            <w:gridSpan w:val="2"/>
          </w:tcPr>
          <w:p>
            <w:pPr>
              <w:jc w:val="right"/>
              <w:ind w:right="120"/>
              <w:spacing w:after="0"/>
              <w:rPr>
                <w:sz w:val="20"/>
                <w:szCs w:val="20"/>
                <w:color w:val="auto"/>
              </w:rPr>
            </w:pPr>
            <w:r>
              <w:rPr>
                <w:rFonts w:ascii="Arial" w:cs="Arial" w:eastAsia="Arial" w:hAnsi="Arial"/>
                <w:sz w:val="18"/>
                <w:szCs w:val="18"/>
                <w:color w:val="auto"/>
              </w:rPr>
              <w:t>Average annual increase in occupancy</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Impaired net lease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producing properties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8"/>
              </w:rPr>
              <w:t>Discounted cash flow</w:t>
            </w:r>
          </w:p>
        </w:tc>
        <w:tc>
          <w:tcPr>
            <w:tcW w:w="4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Discount rate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80" w:type="dxa"/>
            <w:vAlign w:val="bottom"/>
            <w:gridSpan w:val="2"/>
          </w:tcPr>
          <w:p>
            <w:pPr>
              <w:jc w:val="right"/>
              <w:ind w:right="120"/>
              <w:spacing w:after="0"/>
              <w:rPr>
                <w:sz w:val="20"/>
                <w:szCs w:val="20"/>
                <w:color w:val="auto"/>
              </w:rPr>
            </w:pPr>
            <w:r>
              <w:rPr>
                <w:rFonts w:ascii="Arial" w:cs="Arial" w:eastAsia="Arial" w:hAnsi="Arial"/>
                <w:sz w:val="18"/>
                <w:szCs w:val="18"/>
                <w:color w:val="auto"/>
              </w:rPr>
              <w:t>Capitalization rate</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Average annual percentage market rate growth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80" w:type="dxa"/>
            <w:vAlign w:val="bottom"/>
            <w:gridSpan w:val="2"/>
          </w:tcPr>
          <w:p>
            <w:pPr>
              <w:jc w:val="right"/>
              <w:ind w:right="120"/>
              <w:spacing w:after="0"/>
              <w:rPr>
                <w:sz w:val="20"/>
                <w:szCs w:val="20"/>
                <w:color w:val="auto"/>
              </w:rPr>
            </w:pPr>
            <w:r>
              <w:rPr>
                <w:rFonts w:ascii="Arial" w:cs="Arial" w:eastAsia="Arial" w:hAnsi="Arial"/>
                <w:sz w:val="18"/>
                <w:szCs w:val="18"/>
                <w:color w:val="auto"/>
              </w:rPr>
              <w:t>Average annual increase in occupancy</w:t>
            </w: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98,335</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book and estimated fair values of financial instruments were as follows ($ in thousands)(1):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2012</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2011</w:t>
            </w:r>
          </w:p>
        </w:tc>
        <w:tc>
          <w:tcPr>
            <w:tcW w:w="920" w:type="dxa"/>
            <w:vAlign w:val="bottom"/>
            <w:tcBorders>
              <w:bottom w:val="single" w:sz="8" w:color="auto"/>
            </w:tcBorders>
          </w:tcPr>
          <w:p>
            <w:pPr>
              <w:spacing w:after="0"/>
              <w:rPr>
                <w:sz w:val="22"/>
                <w:szCs w:val="22"/>
                <w:color w:val="auto"/>
              </w:rPr>
            </w:pP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Book</w:t>
            </w:r>
          </w:p>
        </w:tc>
        <w:tc>
          <w:tcPr>
            <w:tcW w:w="460" w:type="dxa"/>
            <w:vAlign w:val="bottom"/>
          </w:tcPr>
          <w:p>
            <w:pPr>
              <w:spacing w:after="0"/>
              <w:rPr>
                <w:sz w:val="13"/>
                <w:szCs w:val="13"/>
                <w:color w:val="auto"/>
              </w:rPr>
            </w:pPr>
          </w:p>
        </w:tc>
        <w:tc>
          <w:tcPr>
            <w:tcW w:w="11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Book</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and other lending investments,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2,300,810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2,318,406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2,860,762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w w:val="99"/>
              </w:rPr>
              <w:t>2,786,595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Debt obligations,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5,603,939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5,582,526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5,837,540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w w:val="99"/>
              </w:rPr>
              <w:t>5,495,197</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hanging="571"/>
        <w:spacing w:after="0" w:line="29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4"/>
          <w:szCs w:val="14"/>
          <w:color w:val="auto"/>
        </w:rPr>
        <w:t>The carrying values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and marketable securities are included in the previous fair value hierarchy table.</w:t>
      </w:r>
    </w:p>
    <w:p>
      <w:pPr>
        <w:spacing w:after="0" w:line="13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 or the liabilities were settled with third parties. The methods the Company used to estimate the fair values presented in the three tables above are described more fully below for each type of asset and liability.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—The Company uses interest rate swaps and foreign currency derivatives to manage its interest rate and foreign currency risk.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addition, upon adoption of ASU 2011-04, the Company made an accounting policy election to measure derivative financial instruments subject to master netting agreements on a net basis. The Company has determined that the significant inputs used to value its derivatives fall within Level 2 of the fair value hierarchy.</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loans identified as being impaired are nearly all collateral dependent loans and are evaluated for impairment by</w:t>
      </w:r>
      <w:r>
        <w:rPr>
          <w:rFonts w:ascii="Arial" w:cs="Arial" w:eastAsia="Arial" w:hAnsi="Arial"/>
          <w:sz w:val="17"/>
          <w:szCs w:val="17"/>
          <w:b w:val="1"/>
          <w:bCs w:val="1"/>
          <w:color w:val="auto"/>
        </w:rPr>
        <w:t xml:space="preserve"> </w:t>
      </w:r>
      <w:r>
        <w:rPr>
          <w:rFonts w:ascii="Arial" w:cs="Arial" w:eastAsia="Arial" w:hAnsi="Arial"/>
          <w:sz w:val="17"/>
          <w:szCs w:val="17"/>
          <w:color w:val="auto"/>
        </w:rPr>
        <w:t>comparing the 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and costs of completion and the remaining inventory sell out periods. In more limited cases, the Company obtains external "as is" appraisals for loan collateral, generally when third party participations exist, and appraised values may be discounted when real estate markets rapidly deteriorate.</w:t>
      </w:r>
    </w:p>
    <w:p>
      <w:pPr>
        <w:spacing w:after="0" w:line="17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color w:val="auto"/>
        </w:rPr>
        <w:t>Impaired OREO assets</w:t>
      </w:r>
      <w:r>
        <w:rPr>
          <w:rFonts w:ascii="Arial" w:cs="Arial" w:eastAsia="Arial" w:hAnsi="Arial"/>
          <w:sz w:val="17"/>
          <w:szCs w:val="17"/>
          <w:color w:val="auto"/>
        </w:rPr>
        <w:t>—If the Company determines an OREO asset is impaired it records an impairment charge to adjust the asset to its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fair market value less costs to sell. Due to the nature of the individual properties in the OREO portfolio,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and costs of completion and the remaining inventory sell out periods. In more limited cases, the Company obtains external "as is" appraisals for real estate assets and appraised values may be discounted when real estate markets rapidly deteriorate. In some cases, if the Company is under contract to sell an asset it will mark the asset to the contracted sales price less costs to sell.</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Impaired net lease assets</w:t>
      </w:r>
      <w:r>
        <w:rPr>
          <w:rFonts w:ascii="Arial" w:cs="Arial" w:eastAsia="Arial" w:hAnsi="Arial"/>
          <w:sz w:val="17"/>
          <w:szCs w:val="17"/>
          <w:color w:val="auto"/>
        </w:rPr>
        <w:t>—If the Company determines a net lease asset is impaired it records an impairment charge to mark the asset to its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fair market value. Due to the nature of the individual properties in the net lease asset portfolio,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These cash flows are primarily based on expected future leasing rates and operating costs.</w:t>
      </w:r>
    </w:p>
    <w:p>
      <w:pPr>
        <w:spacing w:after="0" w:line="16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Loans and other lending investments</w:t>
      </w:r>
      <w:r>
        <w:rPr>
          <w:rFonts w:ascii="Arial" w:cs="Arial" w:eastAsia="Arial" w:hAnsi="Arial"/>
          <w:sz w:val="18"/>
          <w:szCs w:val="18"/>
          <w:color w:val="auto"/>
        </w:rPr>
        <w:t>—The Company estimates the fair value of its performing loans and other lending investments using a</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w:t>
      </w:r>
    </w:p>
    <w:p>
      <w:pPr>
        <w:spacing w:after="0" w:line="18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Debt obligations, net</w:t>
      </w:r>
      <w:r>
        <w:rPr>
          <w:rFonts w:ascii="Arial" w:cs="Arial" w:eastAsia="Arial" w:hAnsi="Arial"/>
          <w:sz w:val="18"/>
          <w:szCs w:val="18"/>
          <w:color w:val="auto"/>
        </w:rPr>
        <w:t>—For debt obligations traded in secondary markets, the Company uses market quotes, to the extent they are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fair value.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evaluates performance based on the following financial measures for each segment ($ in thousands):</w:t>
      </w:r>
    </w:p>
    <w:p>
      <w:pPr>
        <w:sectPr>
          <w:pgSz w:w="11900" w:h="16838" w:orient="portrait"/>
          <w:cols w:equalWidth="0" w:num="1">
            <w:col w:w="11420"/>
          </w:cols>
          <w:pgMar w:left="240" w:top="121" w:right="239" w:bottom="1440" w:gutter="0" w:footer="0" w:header="0"/>
        </w:sect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Lending</w:t>
            </w:r>
          </w:p>
        </w:tc>
        <w:tc>
          <w:tcPr>
            <w:tcW w:w="240" w:type="dxa"/>
            <w:vAlign w:val="bottom"/>
          </w:tcPr>
          <w:p>
            <w:pPr>
              <w:spacing w:after="0"/>
              <w:rPr>
                <w:sz w:val="16"/>
                <w:szCs w:val="16"/>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b w:val="1"/>
                <w:bCs w:val="1"/>
                <w:color w:val="auto"/>
              </w:rPr>
              <w:t>Three Months Ended June 30, 2012:</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revenue(2)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43,244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26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Income from sales of residential property</w:t>
            </w:r>
          </w:p>
        </w:tc>
        <w:tc>
          <w:tcPr>
            <w:tcW w:w="26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(1,512)</w:t>
            </w:r>
          </w:p>
        </w:tc>
        <w:tc>
          <w:tcPr>
            <w:tcW w:w="24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Direct segment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41,732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(35,129)</w:t>
            </w:r>
          </w:p>
        </w:tc>
        <w:tc>
          <w:tcPr>
            <w:tcW w:w="24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general and administrative(3)</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(3,741)</w:t>
            </w:r>
          </w:p>
        </w:tc>
        <w:tc>
          <w:tcPr>
            <w:tcW w:w="24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Segment profit (loss)(4)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significant non-cash items: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26,531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Impairment of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Capitalized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Three Months Ended June 30, 2011:</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Total revenue(2)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80,848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26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935</w:t>
            </w:r>
          </w:p>
        </w:tc>
        <w:tc>
          <w:tcPr>
            <w:tcW w:w="24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Direct segment profit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81,783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(47,557)</w:t>
            </w:r>
          </w:p>
        </w:tc>
        <w:tc>
          <w:tcPr>
            <w:tcW w:w="240" w:type="dxa"/>
            <w:vAlign w:val="bottom"/>
          </w:tcPr>
          <w:p>
            <w:pPr>
              <w:spacing w:after="0"/>
              <w:rPr>
                <w:sz w:val="23"/>
                <w:szCs w:val="23"/>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Allocated general and administrative(3)</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(5,416)</w:t>
            </w:r>
          </w:p>
        </w:tc>
        <w:tc>
          <w:tcPr>
            <w:tcW w:w="24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Segment profit (loss)(4)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28,810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significant non-cash items: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10,350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Impairment of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Capitalized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Six Months Ended June 30, 2012:</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right"/>
              <w:ind w:right="651"/>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Company</w:t>
            </w:r>
          </w:p>
        </w:tc>
      </w:tr>
      <w:tr>
        <w:trPr>
          <w:trHeight w:val="192"/>
        </w:trPr>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w w:val="86"/>
              </w:rPr>
              <w:t>Leasing</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Other(1)</w:t>
            </w:r>
          </w:p>
        </w:tc>
        <w:tc>
          <w:tcPr>
            <w:tcW w:w="280" w:type="dxa"/>
            <w:vAlign w:val="bottom"/>
          </w:tcPr>
          <w:p>
            <w:pPr>
              <w:spacing w:after="0"/>
              <w:rPr>
                <w:sz w:val="16"/>
                <w:szCs w:val="16"/>
                <w:color w:val="auto"/>
              </w:rPr>
            </w:pPr>
          </w:p>
        </w:tc>
        <w:tc>
          <w:tcPr>
            <w:tcW w:w="120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513"/>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37,928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14,756</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96,721</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18,420</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13,266</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(4,965)</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(31,296)</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33,612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13,667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97,111</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(24,513)</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(94,474)</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(2,639)</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(16,345)</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6,460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(13,708)</w:t>
            </w:r>
          </w:p>
        </w:tc>
      </w:tr>
      <w:tr>
        <w:trPr>
          <w:trHeight w:val="54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26,531</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6,150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7,496</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11,828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16,960</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2,693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18,942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21,635</w:t>
            </w:r>
          </w:p>
        </w:tc>
      </w:tr>
      <w:tr>
        <w:trPr>
          <w:trHeight w:val="54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37,641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125,426</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23,950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19,131</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(4,384)</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(22,845)</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33,888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22,806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121,712</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(21,713)</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(95,753)</w:t>
            </w:r>
          </w:p>
        </w:tc>
      </w:tr>
      <w:tr>
        <w:trPr>
          <w:trHeight w:val="270"/>
        </w:trPr>
        <w:tc>
          <w:tcPr>
            <w:tcW w:w="1080" w:type="dxa"/>
            <w:vAlign w:val="bottom"/>
          </w:tcPr>
          <w:p>
            <w:pPr>
              <w:jc w:val="right"/>
              <w:ind w:right="51"/>
              <w:spacing w:after="0"/>
              <w:rPr>
                <w:sz w:val="20"/>
                <w:szCs w:val="20"/>
                <w:color w:val="auto"/>
              </w:rPr>
            </w:pPr>
            <w:r>
              <w:rPr>
                <w:rFonts w:ascii="Arial" w:cs="Arial" w:eastAsia="Arial" w:hAnsi="Arial"/>
                <w:sz w:val="18"/>
                <w:szCs w:val="18"/>
                <w:color w:val="auto"/>
              </w:rPr>
              <w:t>(2,589)</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(21,385)</w:t>
            </w:r>
          </w:p>
        </w:tc>
      </w:tr>
      <w:tr>
        <w:trPr>
          <w:trHeight w:val="27"/>
        </w:trPr>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9,586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(39,003)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4,574</w:t>
            </w:r>
          </w:p>
        </w:tc>
      </w:tr>
      <w:tr>
        <w:trPr>
          <w:trHeight w:val="54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10,350</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2,764</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12,689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15,011</w:t>
            </w:r>
          </w:p>
        </w:tc>
      </w:tr>
      <w:tr>
        <w:trPr>
          <w:trHeight w:val="270"/>
        </w:trPr>
        <w:tc>
          <w:tcPr>
            <w:tcW w:w="1080" w:type="dxa"/>
            <w:vAlign w:val="bottom"/>
          </w:tcPr>
          <w:p>
            <w:pPr>
              <w:jc w:val="right"/>
              <w:ind w:right="111"/>
              <w:spacing w:after="0"/>
              <w:rPr>
                <w:sz w:val="20"/>
                <w:szCs w:val="20"/>
                <w:color w:val="auto"/>
              </w:rPr>
            </w:pPr>
            <w:r>
              <w:rPr>
                <w:rFonts w:ascii="Arial" w:cs="Arial" w:eastAsia="Arial" w:hAnsi="Arial"/>
                <w:sz w:val="18"/>
                <w:szCs w:val="18"/>
                <w:color w:val="auto"/>
              </w:rPr>
              <w:t>2,736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-4304665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-3961130</wp:posOffset>
            </wp:positionV>
            <wp:extent cx="7246620" cy="3978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9789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-4655820</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5300" w:space="400"/>
            <w:col w:w="57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revenue(2)</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76,408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29,150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188,690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4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37,716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53,206</w:t>
            </w:r>
          </w:p>
        </w:tc>
      </w:tr>
      <w:tr>
        <w:trPr>
          <w:trHeight w:val="27"/>
        </w:trPr>
        <w:tc>
          <w:tcPr>
            <w:tcW w:w="3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(56,986)</w:t>
            </w:r>
          </w:p>
        </w:tc>
      </w:tr>
      <w:tr>
        <w:trPr>
          <w:trHeight w:val="27"/>
        </w:trPr>
        <w:tc>
          <w:tcPr>
            <w:tcW w:w="3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segment profit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204,909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(179,818)</w:t>
            </w:r>
          </w:p>
        </w:tc>
      </w:tr>
      <w:tr>
        <w:trPr>
          <w:trHeight w:val="27"/>
        </w:trPr>
        <w:tc>
          <w:tcPr>
            <w:tcW w:w="3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general and administrative(3)</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(34,524)</w:t>
            </w:r>
          </w:p>
        </w:tc>
      </w:tr>
      <w:tr>
        <w:trPr>
          <w:trHeight w:val="453"/>
        </w:trPr>
        <w:tc>
          <w:tcPr>
            <w:tcW w:w="35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292100</wp:posOffset>
            </wp:positionV>
            <wp:extent cx="49999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Segment profit (loss)(4)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17,846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(41,764)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14,092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(9,433)</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non-cash items: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44,031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44,031</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33,475</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expenditures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2011:</w:t>
            </w: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revenue(2)</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232,981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4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44,064</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(47,640)</w:t>
            </w: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Direct segment profit (loss)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141,668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68,353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(27,090)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229,405</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(164,846)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Allocated general and administrative(3)</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(41,630)</w:t>
            </w:r>
          </w:p>
        </w:tc>
      </w:tr>
      <w:tr>
        <w:trPr>
          <w:trHeight w:val="27"/>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profit (loss)(4)</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significant non-cash items:</w:t>
            </w: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21,230</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Impairment of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4,254</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15,966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20,868</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2012</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2,333,405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1,683,703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2,058,264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1,110,840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7,186,212</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2,892,240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1,837,425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1,982,420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805,752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7,517,837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hanging="652"/>
        <w:spacing w:after="0" w:line="29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equity investment in LNR of $176.6 million and $159.8 million, as of June 30, 2012 and December 31, 2011, respectively, and the Company's share of equity in earnings from LNR of $8.7 million and $20.8 million, for the three and six months ended June 30, 2012, respectively, and $10.1 million and $24.1 million for the three and six months ended June 30, 2011. See Note 7 for further details on the Company's investment in LNR and summarized financial information of LNR.</w:t>
      </w:r>
    </w:p>
    <w:p>
      <w:pPr>
        <w:spacing w:after="0" w:line="23" w:lineRule="exact"/>
        <w:rPr>
          <w:rFonts w:ascii="Arial" w:cs="Arial" w:eastAsia="Arial" w:hAnsi="Arial"/>
          <w:sz w:val="18"/>
          <w:szCs w:val="18"/>
          <w:color w:val="auto"/>
        </w:rPr>
      </w:pPr>
    </w:p>
    <w:p>
      <w:pPr>
        <w:ind w:left="660" w:right="160" w:hanging="652"/>
        <w:spacing w:after="0" w:line="28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4"/>
          <w:szCs w:val="14"/>
          <w:color w:val="auto"/>
        </w:rPr>
        <w:t>Total revenue represents all revenue earned during the period related to the assets in each segment. Revenue from the Real Estate Lending segment primarily represents interest income, revenue from the Net Leasing segment primarily represents operating lease income and revenue from Real Estate Investment primarily represents operating revenues from REHI properties.</w:t>
      </w:r>
    </w:p>
    <w:p>
      <w:pPr>
        <w:spacing w:after="0" w:line="24" w:lineRule="exact"/>
        <w:rPr>
          <w:rFonts w:ascii="Arial" w:cs="Arial" w:eastAsia="Arial" w:hAnsi="Arial"/>
          <w:sz w:val="18"/>
          <w:szCs w:val="18"/>
          <w:color w:val="auto"/>
        </w:rPr>
      </w:pPr>
    </w:p>
    <w:p>
      <w:pPr>
        <w:ind w:left="660" w:right="100" w:hanging="652"/>
        <w:spacing w:after="0" w:line="26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4"/>
          <w:szCs w:val="14"/>
          <w:color w:val="auto"/>
        </w:rPr>
        <w:t>General and administrative excludes stock-based compensation expense of $3.4 million and $8.1 million for the three and six months ended June 30, 2012, respectively, and $4.3 million and $8.5 million for the three and six months ended June 30, 2011 respectively.</w:t>
      </w: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4"/>
          <w:szCs w:val="14"/>
          <w:color w:val="auto"/>
        </w:rPr>
        <w:t>The following is a reconciliation of segment profit (loss) to income (loss) from continuing operations ($ in thousands):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ind w:left="600"/>
              <w:spacing w:after="0"/>
              <w:rPr>
                <w:sz w:val="20"/>
                <w:szCs w:val="20"/>
                <w:color w:val="auto"/>
              </w:rPr>
            </w:pPr>
            <w:r>
              <w:rPr>
                <w:rFonts w:ascii="Arial" w:cs="Arial" w:eastAsia="Arial" w:hAnsi="Arial"/>
                <w:sz w:val="14"/>
                <w:szCs w:val="14"/>
                <w:b w:val="1"/>
                <w:bCs w:val="1"/>
                <w:color w:val="auto"/>
              </w:rPr>
              <w:t>For the Three Months</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Provision for loan losses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(21,230)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Impairment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Stock-based compensation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Income tax (expense)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from sales of residential property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 Gain (loss) on early extinguishment of debt,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105,556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56,331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2011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2011 (the "2011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lending, net leasing and real estate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quarter ended June 30, 2012, we recorded a net loss allocable to common shareholders of $(59.0) million, compared to a loss of $(35.5) million for the same period last year. Results for the prior year included $26.3 million of interest income associated with the one-time resolution of two nonperforming loans. In addition, the year-over-year change is primarily due to lower revenue from a smaller overall asset base and higher provisions for loan losses and impairments of assets of $34.0 million in the current quarter compared to $13.1 million in the same period last year. Offsetting these declines, were gains from discontinued operations of $24.9 million, and income from sales of residential property units of $13.3 million, as well as a decrease in general and administrative costs from $25.7 million to $19.8 million period to period.</w:t>
      </w:r>
    </w:p>
    <w:p>
      <w:pPr>
        <w:spacing w:after="0" w:line="19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During the quarter ended June 30, 2012, we generated a total of $555.4 million in proceeds from our portfolio, comprised primarily of $185.8 million in loan principal repayments, $117.0 million primarily from residential unit sales of OREO assets, $136.2 million from sales of net lease assets, $57.0 million from loan sales and $59.4 million from other investments. During the quarter, we funded a total of $39.7 million in new and pre-existing investments. In addition, we issued $275.0 million of 9.0% senior unsecured notes due 2017 that were sold at 98.012% of their principal amount. Interest expense for the quarter reflects an increased cost of capital as a result of the 2012 Secured Credit Facility and the $275.0 million unsecured debt issuance. While these refinancings better align our asset and liability maturity profiles and evidence our ability to access the unsecured debt markets, the higher cost of capital will continue to impact future earnings. In the near term, we expect to selectively pursue asset sales where we feel full value can be realized or should we require additional liquidity. We also expect to continue to strengthen our balance sheet through deleveraging and will make additional investments in our real estate portfolio to maximize its value.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2012, we had $463.0 million of refinancing proceeds in restricted cash, reserved for the repayment of indebtedness, and $243.8 million of available cash, totaling $706.9 million, which is sufficient to repay the total $469.2 million of debt maturing in 2012. We have also satisfied all minimum amortization requirements on the A-1 Tranches for both our 2011 and 2012 Secured Credit Facilities through December 31, 2012.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2012 compared to the Three Months Ended June 30, 2011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37,642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14,746</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96,721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125,426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Operating costs—net lease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costs—REHI and OREO</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15,011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26,531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10,350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16,181</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4,732</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3,448</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Gain (loss) on early extinguishment of debt,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(6,152)</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24,851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(25,109)</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—Interest income decreased partially due to $26.3 million of interest recorded during the three months ended June 30, 2011, on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nonperforming loans that were resolved, including interest not previously recorded due to the loans being on non-accrual status. The remaining decrease was also due to a decline in the average balance of performing loans to $1.81 billion for the three months ended June 30, 2012 from $2.80 billion for the same period in 2011. The decrease in performing loans was primarily due to loan repayments and sales as well as performing loans moving to non-performing status (see Risk Management below). For the three months ended June 30, 2012, performing loans generated a weighted average effective yield of 7.60% as compared to 7.33% in 2011.</w:t>
      </w:r>
    </w:p>
    <w:p>
      <w:pPr>
        <w:spacing w:after="0" w:line="19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June 30, 2012, net lease assets were 91.0% leased with a weighted average remaining lease term of 12.2 years compared to 89.3% leased with a remaining lease term of 12.2 years as of June 30, 2011. For the three months ended June 30, 2012, occupied net lease assets generated a weighted average yield of 9.3% compared to 9.6% during 2011, while total net lease assets generated a weighted average effective yield of 8.4% during both periods.</w:t>
      </w:r>
    </w:p>
    <w:p>
      <w:pPr>
        <w:spacing w:after="0" w:line="14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Within other income, revenue from REHI assets increased to $14.8 million during the three months ended June 30, 2012 from $6.7 million in the same period of 2011 due to additional REHI assets acquired during the last 12 months. In addition, during the three months ended June 30, 2012, we recorded income of $6.4 million related to the sale of loans.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—Provisions recorded during the three months ended June 30, 2012 included higher specific reserves on non-performing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 to the prior year; however, these were offset by a reduction in the general reserve primarily due to a reduction in the balance of performing loans outstanding during the current quarter.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Impairments of assets for the three months ended June 30, 2012, primarily consisted of a $6.2 million impairment on a net lease asset, caused by a change in the business strategy for this asset, and approximately $1.3 million on OREO assets. For the three months ended June 30, 2011, impairments of assets included $2.8 million on OREO assets.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Operating costs for REHI and OREO assets were greater during the three months ended June 30, 2012, primarily due to an increase in the number of properties held during the respective periods. In addition, other expense increased during the three months ended June 30, 2012, primarily due to increased legal costs on loans and a $2.0 million charge related to a settlement agreement on a shareholder litigation matter.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General and administrative expenses decreased primarily due to lower payroll and employee related costs resulting from staffing reductions.</w:t>
      </w:r>
    </w:p>
    <w:p>
      <w:pPr>
        <w:spacing w:after="0" w:line="2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decreased primarily due to a lower average outstanding balance of our debt which declined to $5.76 billion for the three months ended June 30, 2012 from $6.71 billion for the three months ended June 30, 2011. This decrease was offset by higher interest rates on our 2012 Secured Credit Facility as well as our $275.0 million of 9.0% senior unsecured notes issued in May 2012. Our weighted average effective cost of debt increased to 6.51% for the three months ended June 30, 2012 as compared to 5.70% during the same period in 2011.</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Gain on early extinguishment of debt, net</w:t>
      </w:r>
      <w:r>
        <w:rPr>
          <w:rFonts w:ascii="Arial" w:cs="Arial" w:eastAsia="Arial" w:hAnsi="Arial"/>
          <w:sz w:val="18"/>
          <w:szCs w:val="18"/>
          <w:color w:val="auto"/>
        </w:rPr>
        <w:t>—During the three months ended June 30, 2012, we repurchased $191.5 million aggregate principal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convertible notes due October 2012, repaid $225.7 million of the 2011 Tranche A-1 Facility and repaid $81.4 million of the 2012 Tranche A-1 Facility. In connection with these repayments and repurchases prior to maturity, we recorded a net loss on early extinguishment of debt of $4.9 million, primarily related to the write-off of unamortized deferred financing fees. Losses related to the write-off of deferred financing fees were lower during 2011 due to fewer early repayments of debt in that quarter.</w:t>
      </w:r>
    </w:p>
    <w:p>
      <w:pPr>
        <w:spacing w:after="0" w:line="18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Earnings from equity method investments</w:t>
      </w:r>
      <w:r>
        <w:rPr>
          <w:rFonts w:ascii="Arial" w:cs="Arial" w:eastAsia="Arial" w:hAnsi="Arial"/>
          <w:sz w:val="16"/>
          <w:szCs w:val="16"/>
          <w:color w:val="auto"/>
        </w:rPr>
        <w:t>—Earnings from equity methods investments declined year over year primarily due to the sale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in Oak Hill Advisors and related entities in October of 2011, which generated $6.1 million of income during the three months ended June 30, 2011, as well as from a $6.5 million reduction in earnings from our investments in the Madison Funds. These losses were offset primarily by $10.2 million of income from sales of residential properties included in earnings from certain equity method investments during the three months ended June 30, 2012.</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—During the three months ended June 30, 2012, certain of our taxable REIT subsidiaries generated income, primarily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from equity method investments, that was in excess of net operating losses. During the three months ended June 30, 2011, we recognized income tax benefits from net operating losses that were expected to be realized by our TRS entities.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—Income (loss) from discontinued operations includes operating results from net lease assets sold prior to June 30,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June 30, 2012, we sold net lease assets, including a portfolio of 12 net lease assets, with an aggregate carrying value of $111.4 million and recorded a gain of $24.9 million.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three months ended June 30, 2012, we sold OREO assets with a carrying value of $104.9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primarily comprised of sales of residential property units for which we recorded income of $13.3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2012 compared to the Six Months Ended June 30, 2011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For the Six Months Ended June 30,</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75,755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22,358</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188,690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232,981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164,846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Operating costs—net lease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costs—REHI and OREO</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29,824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44,031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22,801</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18,746</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317,893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62,054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Gain (loss) on early extinguishment of debt,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105,556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(108,720)</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3,629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27,257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57,884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(155,061)</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—The decrease in interest income is partially due to a decline in the average balance of performing loans to $1.89 billion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2012 from $2.93 billion for the same period in 2011. The decrease in performing loans was primarily due to loan repayments and sales as well as performing loans moving to non-performing status (see Risk Management below). For the six months ended June 30, 2012, performing loans generated a weighted average effective yield of 7.31% as compared to 7.50% in 2011. Additionally, during the six months ended June 30, 2011, we recorded $26.3 million of interest income related to certain nonperforming loans that were resolved, including interest not previously recorded due to the loans being on non-accrual status.</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2012, net lease assets were 91.0% leased with a weighted average remaining lease term of 12.2 years compared to 89.3% leased with a remaining lease term of 12.2 years as of June 30, 2011. For the six months ended June 30, 2012, occupied net lease assets generated a weighted average yield of 9.9% compared to 9.3% during 2011, while total net lease assets generated a weighted average effective yield of 8.9% during 2012 compared to 8.2% during 2011.</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Within other income, revenue from REHI assets increased to $29.2 million during the six months ended June 30, 2012 from $14.1 million in the same period of 2011 due to additional REHI assets acquired during the last 12 months. In addition, during the six months ended June 30, 2012, we recorded income of $6.4 million related to the sale of loans.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—Provisions recorded during the six months ended June 30, 2012 included higher specific reserves on non-performing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 to the prior year as well as a reduction in the general reserve primarily due to a reduction in the balance of performing loans outstanding during that year.</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Impairments of assets for the six months ended June 30, 2012 consisted primarily of $19.7 million of impairments on net lease assets driven primarily by changes in business strategy for these assets, and $3.9 million on OREO assets. For the six months ended June 30, 2011, impairments consisted of $3.4 million on OREO assets and $0.9 million on equity investments.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Interest expense increased primarily due to higher interest rates on our 2011 and 2012 Secured Credit Facilities as well as the $275.0 million of 9.0% senior unsecured notes issued in May 2012. This increase was partially offset by lower average outstanding borrowings. Our weighted average effective cost of debt increased to 6.22% for the six months ended June 30, 2012 as compared to 4.82% during the same period in 2011. The average outstanding balance of debt declined to $5.75 billion for the six months ended June 30, 2012 from $6.86 billion for the six months ended June 30, 2011.</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costs for REHI and OREO were greater during the six months ended June 30, 2012 primarily due to an increase in the number of properties held during the respective periods. In addition, due to the increase in REHI assets held during the respective period, depreciation and amortization expenses increased period to period. Other expense increased during the six months ended June 30, 2012, primarily due to a $2.0 million charge related to a settlement agreement on a shareholder litigation matter.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General and administrative expenses decreased primarily due to lower payroll and employee related costs resulting from staffing reductions.</w:t>
      </w:r>
    </w:p>
    <w:p>
      <w:pPr>
        <w:spacing w:after="0" w:line="2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Gain on early extinguishment of debt, net</w:t>
      </w:r>
      <w:r>
        <w:rPr>
          <w:rFonts w:ascii="Arial" w:cs="Arial" w:eastAsia="Arial" w:hAnsi="Arial"/>
          <w:sz w:val="18"/>
          <w:szCs w:val="18"/>
          <w:color w:val="auto"/>
        </w:rPr>
        <w:t>—During the six months ended June 30, 2012, we repurchased $315.6 million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notes due October 2012, fully repaid the $243.7 million remaining balance on our unsecured credit facility due in June 2012, repaid $315.5 million on the 2011 Tranche A-1 Facility, repaid $81.4 million of the 2012 Tranche A-1 Facility, and repurchased $96.3 million par value of senior unsecured notes. In connection with these repayments and repurchases prior to maturity, we recorded a net loss on early extinguishment of debt of $3.2 million related to the write-off of deferred financing fees.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same period in 2011, we fully redeemed the $312.3 million remaining principal amount of 10% senior secured notes due June 2014 and recorded a $109.0 million gain on early extinguishment of debt. This was partially offset by losses on extinguishment of debt related to the write-off of unamortized deferred financing fees resulting from repayments of our secured credit facilities and the 2011 Tranche A-1 facility.</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increased during the six months ended June 30, 2012,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$18.2 million of income from sales of residential properties included in earnings from certain equity method investments. This increase was offset by the sale of our interests in Oak Hill Advisors and related entities in October of 2011, which generated $7.7 million of income during the six months ended June 30, 2011.</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—Income tax expense for the six months ended June 30, 2012 declined from the same period in the prior year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of net operating loss carry forwards to offset income generated by our taxable REIT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Discontinued operations</w:t>
      </w:r>
      <w:r>
        <w:rPr>
          <w:rFonts w:ascii="Arial" w:cs="Arial" w:eastAsia="Arial" w:hAnsi="Arial"/>
          <w:sz w:val="16"/>
          <w:szCs w:val="16"/>
          <w:color w:val="auto"/>
        </w:rPr>
        <w:t>—Income (loss) from discontinued operations includes operating results from net lease assets sold prior to June 30, 2012.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2012, we sold net lease assets with a carrying value of $115.5 million and recorded a gain of $27.3 million.</w:t>
      </w:r>
    </w:p>
    <w:p>
      <w:pPr>
        <w:spacing w:after="0" w:line="22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six months ended June 30, 2012, we sold OREO assets with a carrying value of $149.7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comprised of sales of residential property units for which we recorded income of $20.0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 and Adjusted EBITDA</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net income (loss), we use Adjusted income and Adjusted EBITDA to measure our operating performance. Adjusted income represents net income allocable to common shareholders, prior to the effect of provision for depreciation and amortization, provisions for loan losses, impairment of assets, stock-based compensation, and the gain (loss) on early extinguishment of debt. Adjusted EBITDA represents net income (loss) plus the sum of interest expense, income taxes, depreciation and amortization, provision for loan losses, impairment of assets and stock-based compensation expense, less the gain/loss on early extinguishment of debt.</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Adjusted income and Adjusted EBITDA are useful measures to consider, in addition to net income (loss), as they may help investors evaluate our core operating performance prior to certain non-cash items.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3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19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Ended June 30,</w:t>
            </w:r>
          </w:p>
        </w:tc>
      </w:tr>
      <w:tr>
        <w:trPr>
          <w:trHeight w:val="264"/>
        </w:trPr>
        <w:tc>
          <w:tcPr>
            <w:tcW w:w="4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(58,996)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(113,789)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33,640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 (1)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32,065</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Add: Provision for loan losses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44,031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21,230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Impairment of assets (2)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4,228</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8,469</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Less: (Gain)/loss on early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(105,556)</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2,879</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Adjusted income (loss) allocable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Explanatory Notes: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280" w:hanging="652"/>
        <w:spacing w:after="0" w:line="28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4"/>
          <w:szCs w:val="14"/>
          <w:color w:val="auto"/>
        </w:rPr>
        <w:t>For the three and six months ended June 30, 2012, depreciation and amortization includes $220 and $943, respectively, of depreciation and amortization reclassified to discontinued operations. For the three and six months ended June 30, 2011, depreciation and amortization includes $1,122 and $2,241, respectively, of depreciation and amortization reclassified of discontinued operations.</w:t>
      </w:r>
    </w:p>
    <w:p>
      <w:pPr>
        <w:spacing w:after="0" w:line="22"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3"/>
          <w:szCs w:val="13"/>
          <w:color w:val="auto"/>
        </w:rPr>
        <w:t>For the six months ended June 30, 2012 and 2011, impairment of assets includes $520 and $(26), respectively, of impairment of assets reclassified to discontinued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26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3"/>
              </w:rPr>
              <w:t>For the Six Months</w:t>
            </w:r>
          </w:p>
        </w:tc>
      </w:tr>
      <w:tr>
        <w:trPr>
          <w:trHeight w:val="192"/>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1"/>
              </w:rPr>
              <w:t>Ended June 30,</w:t>
            </w:r>
          </w:p>
        </w:tc>
      </w:tr>
      <w:tr>
        <w:trPr>
          <w:trHeight w:val="264"/>
        </w:trPr>
        <w:tc>
          <w:tcPr>
            <w:tcW w:w="54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196"/>
        </w:trPr>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(51,129)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(97,177)</w:t>
            </w:r>
          </w:p>
        </w:tc>
        <w:tc>
          <w:tcPr>
            <w:tcW w:w="100" w:type="dxa"/>
            <w:vAlign w:val="bottom"/>
          </w:tcPr>
          <w:p>
            <w:pPr>
              <w:spacing w:after="0"/>
              <w:rPr>
                <w:sz w:val="21"/>
                <w:szCs w:val="21"/>
                <w:color w:val="auto"/>
              </w:rPr>
            </w:pPr>
          </w:p>
        </w:tc>
        <w:tc>
          <w:tcPr>
            <w:tcW w:w="32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57,884</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expense(1)</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94,739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166,406</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Add: Income tax expense (benefit)</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8,377</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amortization(2)</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17,180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32,065</w:t>
            </w: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64,267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84,210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122,871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264,732</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Provision for loan losses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21,230</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Add: Impairment of assets(3)</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7,496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23,520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4,228</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8,469</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Less: (Gain)/loss on early extinguishment of debt, net</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(105,556)</w:t>
            </w:r>
          </w:p>
        </w:tc>
      </w:tr>
      <w:tr>
        <w:trPr>
          <w:trHeight w:val="27"/>
        </w:trPr>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106,609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102,685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201,699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193,103</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994"/>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2" w:lineRule="exact"/>
        <w:rPr>
          <w:sz w:val="20"/>
          <w:szCs w:val="20"/>
          <w:color w:val="auto"/>
        </w:rPr>
      </w:pPr>
    </w:p>
    <w:p>
      <w:pPr>
        <w:ind w:left="660" w:right="180" w:hanging="652"/>
        <w:spacing w:after="0" w:line="26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4"/>
          <w:szCs w:val="14"/>
          <w:color w:val="auto"/>
        </w:rPr>
        <w:t>For the three and six months ended June 30, 2012, interest expense includes $265 and $1,064, respectively, of interest expense reclassified to discontinued operations. For the three and six months ended June 30, 2011, interest expense includes $1,019 and $1,560, respectively, of interest expense reclassified to discounted operations.</w:t>
      </w:r>
    </w:p>
    <w:p>
      <w:pPr>
        <w:spacing w:after="0" w:line="22" w:lineRule="exact"/>
        <w:rPr>
          <w:rFonts w:ascii="Arial" w:cs="Arial" w:eastAsia="Arial" w:hAnsi="Arial"/>
          <w:sz w:val="18"/>
          <w:szCs w:val="18"/>
          <w:color w:val="auto"/>
        </w:rPr>
      </w:pPr>
    </w:p>
    <w:p>
      <w:pPr>
        <w:ind w:left="660" w:right="280" w:hanging="652"/>
        <w:spacing w:after="0" w:line="28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4"/>
          <w:szCs w:val="14"/>
          <w:color w:val="auto"/>
        </w:rPr>
        <w:t>For the three and six months ended June 30, 2012, depreciation and amortization includes $220 and $943, respectively, of depreciation and amortization reclassified to discontinued operations. For the three and six months ended June 30, 2011, depreciation and amortization includes $1,122 and $2,241, respectively, of depreciation and amortization reclassified of discontinued operations.</w:t>
      </w:r>
    </w:p>
    <w:p>
      <w:pPr>
        <w:spacing w:after="0" w:line="22"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3"/>
          <w:szCs w:val="13"/>
          <w:color w:val="auto"/>
        </w:rPr>
        <w:t>For the six months ended June 30, 2012 and 2011, impairment of assets includes $520 and $(26), respectively, of impairment of assets reclassified to discontinued operations.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watch list loans and the reserves for loan losses associated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Pr>
          <w:p>
            <w:pPr>
              <w:spacing w:after="0"/>
              <w:rPr>
                <w:sz w:val="22"/>
                <w:szCs w:val="22"/>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2011</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Non-performing loans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Carrying value(1)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638,970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771,196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Watch list loans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136,006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reserve for loan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563,786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646,624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total loans before loan loss reserves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Non-performing loan asset-specific reserves for loan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491,286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557,129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gross carrying value of non-performing loans</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3"/>
          <w:szCs w:val="13"/>
          <w:color w:val="auto"/>
        </w:rPr>
        <w:t>As of June 30, 2012 and December 31, 2011, carrying values of non-performing loans are net of asset-specific reserves for loan losses of $491.3 million and $557.1 million, respectively.</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June 30, 2012, we had non-performing loans with an aggregate carrying value of $639.0 million. Our non-performing loans decreased during the six months ended June 30, 2012, primarily due to transfers of non-performing loans to REHI and OREO.</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Watch List Loans</w:t>
      </w:r>
      <w:r>
        <w:rPr>
          <w:rFonts w:ascii="Arial" w:cs="Arial" w:eastAsia="Arial" w:hAnsi="Arial"/>
          <w:sz w:val="18"/>
          <w:szCs w:val="18"/>
          <w:color w:val="auto"/>
        </w:rPr>
        <w:t>—During our quarterly loan portfolio assessments, loans are put on the watch list if deteriorating performance indicates they warrant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higher degree of monitoring and senior management attention. As of June 30, 2012, we had one loan on the watch list with a carrying value of $75.0 million.</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was $563.8 million as of June 30, 2012, or 19.8% of the gross carrying value of total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$646.6 million or 18.5% at December 31, 2011. The change in the balance of the reserve was the result of $44.0 million of provisioning for loan losses, reduced by $126.9 million of charge-offs during the six months ended June 30, 2012. Due to the continued volatility of the commercial real estate market, the process of estimating collateral values and reserves require us to use significant judgment. We currently believe there is adequate collateral and reserves to support the carrying values of the loans.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2012, asset-specific reserves decreased to $507.0 million compared to $573.1 million at December 31, 2011, primarily due to charge-offs on assets that were sold or transferred to REHI and OREO. The decrease was partially offset by additional reserves established on new non-performing loans.</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decreased to $56.8 million or 3.3% of the gross carrying value of performing loans as of June 30, 2012, compared to $73.5 million or 3.4% of the gross carrying value of performing loans at December 31, 2011. The weighted average risk ratings of performing loans improved to 3.16 as of June 30, 2012 compared to 3.29 as of December 31, 2011.</w:t>
      </w:r>
    </w:p>
    <w:p>
      <w:pPr>
        <w:spacing w:after="0" w:line="18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b w:val="1"/>
          <w:bCs w:val="1"/>
          <w:i w:val="1"/>
          <w:iCs w:val="1"/>
          <w:color w:val="auto"/>
        </w:rPr>
        <w:t>Real Estate Held for Investment, net and Other Real Estate Owned</w:t>
      </w:r>
      <w:r>
        <w:rPr>
          <w:rFonts w:ascii="Arial" w:cs="Arial" w:eastAsia="Arial" w:hAnsi="Arial"/>
          <w:sz w:val="16"/>
          <w:szCs w:val="16"/>
          <w:color w:val="auto"/>
        </w:rPr>
        <w:t>—REHI and OREO consist of properties acquired through foreclosure or by deed-in-lieu of foreclosure in full or partial satisfaction of non-performing loans. Properties are designated as REHI or OREO depending on our strategic plan to realize the maximum value from the collateral received. When we intend to hold, operate or develop the property for a period of at least 12 months, assets are classified as REHI, and when we intend to market these properties for sale in the near term, assets are classified as OREO. As of June 30, 2012 we had $1.25 billion of assets classified as REHI and $722.2 million as OREO. During the three and six months ended June 30, 2012, we recorded impairment charges of $1.3 million and $3.9 million, respectively, on OREO assets due to changing market conditions. The continued volatility of the commercial real estate market requires us to use significant judgment in estimating fair values of REHI and OREO properties at the time of transfer and thereafter when events or circumstances indicate there may be a potential impairment. Additionally, we will continue to incur holding and operating costs related to REHI and OREO assets while they are being marketed for sale or redeveloped and repositioned. The aggregate net operating and holding costs for REHI and OREO assets for the three and six months ended June 30, 2012 was $7.7 million and $15.3 million,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Risk concentrations</w:t>
      </w:r>
      <w:r>
        <w:rPr>
          <w:rFonts w:ascii="Arial" w:cs="Arial" w:eastAsia="Arial" w:hAnsi="Arial"/>
          <w:sz w:val="16"/>
          <w:szCs w:val="16"/>
          <w:color w:val="auto"/>
        </w:rPr>
        <w:t>—As of June 30, 2012, our total investment portfolio was comprised of the following property/collateral types ($ in thousands)(1):</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Performing</w:t>
            </w:r>
          </w:p>
        </w:tc>
        <w:tc>
          <w:tcPr>
            <w:tcW w:w="260" w:type="dxa"/>
            <w:vAlign w:val="bottom"/>
          </w:tcPr>
          <w:p>
            <w:pPr>
              <w:spacing w:after="0"/>
              <w:rPr>
                <w:sz w:val="14"/>
                <w:szCs w:val="14"/>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Net Lease</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Property/Collateral Types</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performing</w:t>
            </w:r>
          </w:p>
        </w:tc>
        <w:tc>
          <w:tcPr>
            <w:tcW w:w="30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REHI</w:t>
            </w:r>
          </w:p>
        </w:tc>
        <w:tc>
          <w:tcPr>
            <w:tcW w:w="24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OREO</w:t>
            </w:r>
          </w:p>
        </w:tc>
        <w:tc>
          <w:tcPr>
            <w:tcW w:w="3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2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1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Loans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Loans</w:t>
            </w: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199,712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195,785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1700" w:type="dxa"/>
            <w:vAlign w:val="bottom"/>
          </w:tcPr>
          <w:p>
            <w:pPr>
              <w:ind w:left="40"/>
              <w:spacing w:after="0"/>
              <w:rPr>
                <w:sz w:val="20"/>
                <w:szCs w:val="20"/>
                <w:color w:val="auto"/>
              </w:rPr>
            </w:pPr>
            <w:r>
              <w:rPr>
                <w:rFonts w:ascii="Arial" w:cs="Arial" w:eastAsia="Arial" w:hAnsi="Arial"/>
                <w:sz w:val="18"/>
                <w:szCs w:val="18"/>
                <w:color w:val="auto"/>
              </w:rPr>
              <w:t>Apartment /</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383,818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84,207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29,933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465,120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963,078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686,607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Industrial / R&amp;D</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462,889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606,780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582,637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1700" w:type="dxa"/>
            <w:vAlign w:val="bottom"/>
          </w:tcPr>
          <w:p>
            <w:pPr>
              <w:ind w:left="40"/>
              <w:spacing w:after="0"/>
              <w:rPr>
                <w:sz w:val="20"/>
                <w:szCs w:val="20"/>
                <w:color w:val="auto"/>
              </w:rPr>
            </w:pPr>
            <w:r>
              <w:rPr>
                <w:rFonts w:ascii="Arial" w:cs="Arial" w:eastAsia="Arial" w:hAnsi="Arial"/>
                <w:sz w:val="18"/>
                <w:szCs w:val="18"/>
                <w:color w:val="auto"/>
              </w:rPr>
              <w:t>Entertainment /</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40"/>
              <w:spacing w:after="0"/>
              <w:rPr>
                <w:sz w:val="20"/>
                <w:szCs w:val="20"/>
                <w:color w:val="auto"/>
              </w:rPr>
            </w:pPr>
            <w:r>
              <w:rPr>
                <w:rFonts w:ascii="Arial" w:cs="Arial" w:eastAsia="Arial" w:hAnsi="Arial"/>
                <w:sz w:val="18"/>
                <w:szCs w:val="18"/>
                <w:color w:val="auto"/>
              </w:rPr>
              <w:t>Leisure</w:t>
            </w:r>
          </w:p>
        </w:tc>
        <w:tc>
          <w:tcPr>
            <w:tcW w:w="2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40,101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420,128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79,182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539,664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488,718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1700" w:type="dxa"/>
            <w:vAlign w:val="bottom"/>
          </w:tcPr>
          <w:p>
            <w:pPr>
              <w:ind w:left="40"/>
              <w:spacing w:after="0"/>
              <w:rPr>
                <w:sz w:val="20"/>
                <w:szCs w:val="20"/>
                <w:color w:val="auto"/>
              </w:rPr>
            </w:pPr>
            <w:r>
              <w:rPr>
                <w:rFonts w:ascii="Arial" w:cs="Arial" w:eastAsia="Arial" w:hAnsi="Arial"/>
                <w:sz w:val="18"/>
                <w:szCs w:val="18"/>
                <w:color w:val="auto"/>
              </w:rPr>
              <w:t>Mixed Use / Mixed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40"/>
              <w:spacing w:after="0"/>
              <w:rPr>
                <w:sz w:val="20"/>
                <w:szCs w:val="20"/>
                <w:color w:val="auto"/>
              </w:rPr>
            </w:pPr>
            <w:r>
              <w:rPr>
                <w:rFonts w:ascii="Arial" w:cs="Arial" w:eastAsia="Arial" w:hAnsi="Arial"/>
                <w:sz w:val="18"/>
                <w:szCs w:val="18"/>
                <w:color w:val="auto"/>
              </w:rPr>
              <w:t>Collateral</w:t>
            </w:r>
          </w:p>
        </w:tc>
        <w:tc>
          <w:tcPr>
            <w:tcW w:w="2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235,448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171,512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60,872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467,832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property types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427,501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1,718,640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1,550,113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638,970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1,249,681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722,167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6,307,072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8"/>
                <w:szCs w:val="18"/>
                <w:b w:val="1"/>
                <w:bCs w:val="1"/>
                <w:color w:val="auto"/>
              </w:rPr>
              <w:t>Explanatory Note:</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4"/>
          <w:szCs w:val="14"/>
          <w:color w:val="auto"/>
        </w:rPr>
        <w:t>Based on the carrying value of our total investment portfolio gross of general loan loss reserves.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2012, our total investment portfolio had the following characteristics by geographical region ($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15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Value(1)</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Northeast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1,161,873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898,679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Southwest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798,354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Mid-Atlantic</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624,219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Various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404,954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352,640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Central</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329,758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202,827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82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6,307,072</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Explanatory Notes:</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8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4"/>
          <w:szCs w:val="14"/>
          <w:color w:val="auto"/>
        </w:rPr>
        <w:t>Based on the carrying value of our total investment portfolio gross of general loan loss reserves.</w:t>
      </w:r>
    </w:p>
    <w:p>
      <w:pPr>
        <w:spacing w:after="0" w:line="25" w:lineRule="exact"/>
        <w:rPr>
          <w:rFonts w:ascii="Arial" w:cs="Arial" w:eastAsia="Arial" w:hAnsi="Arial"/>
          <w:sz w:val="18"/>
          <w:szCs w:val="18"/>
          <w:color w:val="auto"/>
        </w:rPr>
      </w:pPr>
    </w:p>
    <w:p>
      <w:pPr>
        <w:ind w:left="660" w:hanging="652"/>
        <w:spacing w:after="0" w:line="22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4"/>
          <w:szCs w:val="14"/>
          <w:color w:val="auto"/>
        </w:rPr>
        <w:t>Includes $221.8 million of European assets.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quarter ended June 30, 2012, we generated a total of $555.4 million in proceeds from our portfolio, comprised primarily of $185.8 million in loan principal repayments, $117.0 million primarily from residential unit sales of OREO assets, $136.2 million from sales of net lease assets, $57.0 million from loan sales and $59.4 million from other investments. We also funded a total of $39.7 million in new and pre-existing investments. In addition, we issued $275.0 million of 9.0% senior unsecured notes due 2017 that were sold at 98.012% of their principal amount.</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of June 30, 2012, our debt maturities and minimum amortization requirements due in the next 12 months include $970.9 million of unsecured debt and $699.9 million of secured debt. We have met the minimum required amortization payments due through December 31, 2012 on our secured facilities and expect to primarily use proceeds from repayments and sales of a portion of the $3.79 billion of collateral pledged under our secured debt to meet the amortization and maturities due under such debt during the first half of 2013.</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June 30, 2012, we had $463.0 million of refinancing proceeds in restricted cash, reserved for the repayment of indebtedness, and $243.8 million of available cash, totaling $706.9 million, which is sufficient to repay the $469.2 million of remaining debt maturities in 2012. Our other capital sources to meet our remaining $501.7 million of unsecured debt maturities in the next 12 months will primarily include debt refinancings, proceeds from unencumbered asset sales and loan repayments from borrowers, and may include equity capital raising transactions. As of June 30, 2012, we had unencumbered assets, excluding cash and other assets, with a carrying value of approximately $2.40 billion. Based on the dynamic nature of our assets and our liquidity plan and the time frame in which we need to generate liquidity, the specific assets, nature of the transactions, timing and amount of asset sales and refinancing transactions could vary and are subject to factors outside our control and cannot be predicted with certainty. We may also encounter difficulty in finding buyers of assets or executing capital raising strategies on acceptable terms in a timely manner, which could impact our ability to make scheduled repayments on our outstanding debt.</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may adjust our plans in response to changes in our expectations and changes in market conditions. In addition, although there have been early signs of improvement in the commercial real estate and credit markets during the past two years, such markets remain volatile and it is not possible for us to predict whether these trends will continue in the future or to quantify the impact of these or other trends on our financial results. If we fail to repay our obligations as they become due, it would be an event of default under the relevant debt instruments, which could result in a cross-default and acceleration of our other outstanding debt obligations, all of which would have a material adverse effect on our business.</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June 30, 2012 (see Note 9 of the Notes to the Consolidated Financial Statements).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Principal And Interest Payments Due By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6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Less Than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514"/>
              <w:spacing w:after="0" w:line="153" w:lineRule="exact"/>
              <w:rPr>
                <w:sz w:val="20"/>
                <w:szCs w:val="20"/>
                <w:color w:val="auto"/>
              </w:rPr>
            </w:pPr>
            <w:r>
              <w:rPr>
                <w:rFonts w:ascii="Arial" w:cs="Arial" w:eastAsia="Arial" w:hAnsi="Arial"/>
                <w:sz w:val="14"/>
                <w:szCs w:val="14"/>
                <w:b w:val="1"/>
                <w:bCs w:val="1"/>
                <w:color w:val="auto"/>
              </w:rPr>
              <w:t>2 - 3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6 - 10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Years(1)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Years(1)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Obligations</w:t>
            </w: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Secured credit facilities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2,894,673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646,673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1,614,000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634,000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821,874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469,166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469,166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11,544</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maturities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5,661,964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1,670,808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2,435,874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1,270,125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111,544</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Interest Payable(2)</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921,779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345,005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348,291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161,783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38,991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27,709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Obligations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180" w:type="dxa"/>
            <w:vAlign w:val="bottom"/>
          </w:tcPr>
          <w:p>
            <w:pPr>
              <w:ind w:left="180"/>
              <w:spacing w:after="0"/>
              <w:rPr>
                <w:sz w:val="20"/>
                <w:szCs w:val="20"/>
                <w:color w:val="auto"/>
              </w:rPr>
            </w:pPr>
            <w:r>
              <w:rPr>
                <w:rFonts w:ascii="Arial" w:cs="Arial" w:eastAsia="Arial" w:hAnsi="Arial"/>
                <w:sz w:val="18"/>
                <w:szCs w:val="18"/>
                <w:color w:val="auto"/>
              </w:rPr>
              <w:t>Total(3)</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6,619,529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2,021,626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2,793,872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1,440,887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223,891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139,253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014"/>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4"/>
          <w:szCs w:val="14"/>
          <w:color w:val="auto"/>
        </w:rPr>
        <w:t>Future long-term debt obligations due during the years ending December 31, 2013 and 2014 are $1.91 billion and $1.58 billion, respectively.</w:t>
      </w:r>
    </w:p>
    <w:p>
      <w:pPr>
        <w:spacing w:after="0" w:line="25" w:lineRule="exact"/>
        <w:rPr>
          <w:rFonts w:ascii="Arial" w:cs="Arial" w:eastAsia="Arial" w:hAnsi="Arial"/>
          <w:sz w:val="18"/>
          <w:szCs w:val="18"/>
          <w:color w:val="auto"/>
        </w:rPr>
      </w:pPr>
    </w:p>
    <w:p>
      <w:pPr>
        <w:ind w:left="660" w:hanging="652"/>
        <w:spacing w:after="0" w:line="22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4"/>
          <w:szCs w:val="14"/>
          <w:color w:val="auto"/>
        </w:rPr>
        <w:t>All variable-rate debt assumes a 30-day LIBOR rate of 0.25% (the 30-day LIBOR rate at June 30, 2012).</w:t>
      </w:r>
    </w:p>
    <w:p>
      <w:pPr>
        <w:spacing w:after="0" w:line="34" w:lineRule="exact"/>
        <w:rPr>
          <w:rFonts w:ascii="Arial" w:cs="Arial" w:eastAsia="Arial" w:hAnsi="Arial"/>
          <w:sz w:val="18"/>
          <w:szCs w:val="18"/>
          <w:color w:val="auto"/>
        </w:rPr>
      </w:pPr>
    </w:p>
    <w:p>
      <w:pPr>
        <w:ind w:left="660" w:right="740" w:hanging="652"/>
        <w:spacing w:after="0" w:line="28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4"/>
          <w:szCs w:val="14"/>
          <w:color w:val="auto"/>
        </w:rPr>
        <w:t>We also have issued letters of credit totaling $12.7 million in connection with six of our investments. See Unfunded Commitments below, for a discussion of certain unfunded commitments related to our lending and net lease businesses.</w:t>
      </w:r>
    </w:p>
    <w:p>
      <w:pPr>
        <w:spacing w:after="0" w:line="13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2012 Secured Credit Facilities</w:t>
      </w:r>
      <w:r>
        <w:rPr>
          <w:rFonts w:ascii="Arial" w:cs="Arial" w:eastAsia="Arial" w:hAnsi="Arial"/>
          <w:sz w:val="17"/>
          <w:szCs w:val="17"/>
          <w:color w:val="auto"/>
        </w:rPr>
        <w:t>—In March 2012, we entered into a new $880.0 million senior secured credit agreement providing for two tranches of</w:t>
      </w:r>
      <w:r>
        <w:rPr>
          <w:rFonts w:ascii="Arial" w:cs="Arial" w:eastAsia="Arial" w:hAnsi="Arial"/>
          <w:sz w:val="17"/>
          <w:szCs w:val="17"/>
          <w:b w:val="1"/>
          <w:bCs w:val="1"/>
          <w:color w:val="auto"/>
        </w:rPr>
        <w:t xml:space="preserve"> </w:t>
      </w:r>
      <w:r>
        <w:rPr>
          <w:rFonts w:ascii="Arial" w:cs="Arial" w:eastAsia="Arial" w:hAnsi="Arial"/>
          <w:sz w:val="17"/>
          <w:szCs w:val="17"/>
          <w:color w:val="auto"/>
        </w:rPr>
        <w:t>term 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were used to repurchase $315.6 million aggregate principal amount of our convertible notes due October 2012, to fully repay the $244.0 million balance on our unsecured credit facility due June 2012, and to repay, upon maturity, $90.3 million outstanding principal balance of our 5.50% senior unsecured notes. As of June 30, 2012, remaining proceeds were included in restricted cash as they are reserved for the repayment of indebtedness.</w:t>
      </w:r>
    </w:p>
    <w:p>
      <w:pPr>
        <w:spacing w:after="0" w:line="17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2012 Secured Credit Facilities are collateralized by a first lien on a fixed pool of collateral consisting of loan, net lease, OREO and REHI assets. Proceeds from principal repayments and sales of collateral are applied to amortize the 2012 Secured Credit Facilities. Proceeds received for interest, rent, lease payments and fee income are retained by us.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We may make optional prepayments on each tranche of term loans, subject to prepayment fees.</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Through June 30, 2012, we have made cumulative amortization repayments of $81.4 million on the 2012 Tranche A-1 Facility, which exceeds the $41.0 million minimum amortization required to be paid by December 31, 2012, leaving $0.6 million to be paid by the next required amortization payment in June 2013. Repayments of the 2012 A-1 Tranche Facility prior to scheduled amortization dates have resulted in losses on early extinguishment of debt of $3.1 million for both the three and six months ended June 30, 2012, related to the acceleration of discounts and unamortized deferred financing fees on the portion of the facility that was repaid.</w:t>
      </w:r>
    </w:p>
    <w:p>
      <w:pPr>
        <w:spacing w:after="0" w:line="184"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2011 Secured Credit Facilities</w:t>
      </w:r>
      <w:r>
        <w:rPr>
          <w:rFonts w:ascii="Arial" w:cs="Arial" w:eastAsia="Arial" w:hAnsi="Arial"/>
          <w:sz w:val="16"/>
          <w:szCs w:val="16"/>
          <w:color w:val="auto"/>
        </w:rPr>
        <w:t>—In March 2011, we entered into a $2.95 billion senior secured credit agreement providing for two tranches of term</w:t>
      </w:r>
      <w:r>
        <w:rPr>
          <w:rFonts w:ascii="Arial" w:cs="Arial" w:eastAsia="Arial" w:hAnsi="Arial"/>
          <w:sz w:val="16"/>
          <w:szCs w:val="16"/>
          <w:b w:val="1"/>
          <w:bCs w:val="1"/>
          <w:color w:val="auto"/>
        </w:rPr>
        <w:t xml:space="preserve"> </w:t>
      </w:r>
      <w:r>
        <w:rPr>
          <w:rFonts w:ascii="Arial" w:cs="Arial" w:eastAsia="Arial" w:hAnsi="Arial"/>
          <w:sz w:val="16"/>
          <w:szCs w:val="16"/>
          <w:color w:val="auto"/>
        </w:rPr>
        <w:t>loans: a $1.50 billion 2011 A-1 tranche due June 2013, which bears interest at a rate of LIBOR + 3.75% (the "2011 Tranche A-1 Facility"), and a $1.45 billion 2011 A-2 tranche due June 2014, which bears interest at a rate of LIBOR + 5.75% (the "2011 Tranche A-2 Facility") together the "2011 Secured Credit Facilities." The 2011 A-1 and A-2 tranches were issued at 99.0% of par and 98.5% of par, respectively, and both tranches include a LIBOR floor of 1.25%.</w:t>
      </w:r>
    </w:p>
    <w:p>
      <w:pPr>
        <w:spacing w:after="0" w:line="15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2011 Secured Credit Facilities are collateralized by a first lien on a fixed pool of collateral consisting of loan, net lease, OREO and REHI assets. Proceeds from principal repayments and sales of collateral are applied to amortize the 2011 Secured Credit Facilities. Proceeds received for interest, rent, lease payments, fee income and, under certain circumstances, additional amounts funded on assets serving as collateral are retained by us. The 2011 Tranche A-1 Facility requires that aggregate cumulative amortization payments of not less than $200.0 million shall be made on or before December 30, 2011, not less than $450.0 million on or before June 30, 2012, not less than $750.0 million on or before December 31, 2012 and not less than $1.50 billion on or before June 28, 2013. The 2011 Tranche A-2 Facility will begin amortizing six months after the repayment in full of the 2011 Tranche A-1 Facility, such that not less than $150.0 million of cumulative amortization payments shall be made on or before the six month anniversary of repayment of the A-1 Facility, with additional amortization payments of $150.0 million due on or before each six month anniversary thereafter, with any unpaid principal amounts due at maturity in June 2014.</w:t>
      </w:r>
    </w:p>
    <w:p>
      <w:pPr>
        <w:spacing w:after="0" w:line="1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Through June 30, 2012, we have made cumulative amortization repayments of $853.9 million on the 2011 Tranche A-1 Facility, which exceeds the $750.0 million cumulative amortization required to be paid by December 31, 2012 on that facility, leaving $646.1 million to be paid by maturity in June 2013. Repayments of the 2011 A-1 Tranche Facility prior to scheduled amortization dates have resulted in losses on early extinguishment of debt of $2.1 million and $3.1 million for the three and six months ended June 30, 2012, respectively, related to the acceleration of discounts and unamortized deferred financing fees on the portion of the facility that was repaid.</w:t>
      </w:r>
    </w:p>
    <w:p>
      <w:pPr>
        <w:spacing w:after="0" w:line="18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Term Loans</w:t>
      </w:r>
      <w:r>
        <w:rPr>
          <w:rFonts w:ascii="Arial" w:cs="Arial" w:eastAsia="Arial" w:hAnsi="Arial"/>
          <w:sz w:val="18"/>
          <w:szCs w:val="18"/>
          <w:color w:val="auto"/>
        </w:rPr>
        <w:t>—During the six months ended June 30, 2012, in conjunction with the sale of a portfolio of 12 net lease assets, we repaid the</w:t>
      </w:r>
      <w:r>
        <w:rPr>
          <w:rFonts w:ascii="Arial" w:cs="Arial" w:eastAsia="Arial" w:hAnsi="Arial"/>
          <w:sz w:val="18"/>
          <w:szCs w:val="18"/>
          <w:b w:val="1"/>
          <w:bCs w:val="1"/>
          <w:color w:val="auto"/>
        </w:rPr>
        <w:t xml:space="preserve"> </w:t>
      </w:r>
      <w:r>
        <w:rPr>
          <w:rFonts w:ascii="Arial" w:cs="Arial" w:eastAsia="Arial" w:hAnsi="Arial"/>
          <w:sz w:val="18"/>
          <w:szCs w:val="18"/>
          <w:color w:val="auto"/>
        </w:rPr>
        <w:t>$50.8 million outstanding balances of our LIBOR + 4.50% secured term loans due in 2014 and terminated the related interest rate swaps associated with the loans.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Unsecured Credit Facility</w:t>
      </w:r>
      <w:r>
        <w:rPr>
          <w:rFonts w:ascii="Arial" w:cs="Arial" w:eastAsia="Arial" w:hAnsi="Arial"/>
          <w:sz w:val="18"/>
          <w:szCs w:val="18"/>
          <w:color w:val="auto"/>
        </w:rPr>
        <w:t>—During the six months ended June 30, 2012, we fully repaid the $243.7 million remaining principal balance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LIBOR + 0.85% unsecured credit facility due June 2012. In connection with the repayments, we recorded a loss on early extinguishment of debt of $0.2 million.</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Notes</w:t>
      </w:r>
      <w:r>
        <w:rPr>
          <w:rFonts w:ascii="Arial" w:cs="Arial" w:eastAsia="Arial" w:hAnsi="Arial"/>
          <w:sz w:val="18"/>
          <w:szCs w:val="18"/>
          <w:color w:val="auto"/>
        </w:rPr>
        <w:t>—In January 2011, we fully redeemed the $312.3 million remaining principal balance of its 10% 2014 secured exchange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 gain on early extinguishment of debt of $109.0 million primarily related to the recognition of the deferred gain premiums that resulted from a previous debt exchange.</w:t>
      </w:r>
    </w:p>
    <w:p>
      <w:pPr>
        <w:spacing w:after="0" w:line="17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May 2012, we issued $275.0 million aggregate principal of 9.0% senior unsecured notes due June 2017 that were sold at</w:t>
      </w:r>
      <w:r>
        <w:rPr>
          <w:rFonts w:ascii="Arial" w:cs="Arial" w:eastAsia="Arial" w:hAnsi="Arial"/>
          <w:sz w:val="18"/>
          <w:szCs w:val="18"/>
          <w:b w:val="1"/>
          <w:bCs w:val="1"/>
          <w:color w:val="auto"/>
        </w:rPr>
        <w:t xml:space="preserve"> </w:t>
      </w:r>
      <w:r>
        <w:rPr>
          <w:rFonts w:ascii="Arial" w:cs="Arial" w:eastAsia="Arial" w:hAnsi="Arial"/>
          <w:sz w:val="18"/>
          <w:szCs w:val="18"/>
          <w:color w:val="auto"/>
        </w:rPr>
        <w:t>98.012% of their principal amount. Proceeds from this transaction are reserved for the repayment of indebtedness and included in "Restricted cash" on our Consolidated Balance Sheet as of June 30, 2012.</w:t>
      </w:r>
    </w:p>
    <w:p>
      <w:pPr>
        <w:spacing w:after="0" w:line="18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six months ended June 30, 2012, we repaid, upon maturity, the $169.7 million outstanding principal balance of our 5.15% senior unsecured notes and the $90.3 million outstanding principal balance of our 5.50% senior unsecured notes. In addition, we repurchased $411.9 million par value of senior unsecured notes with various maturities ranging from March 2012 to October 2012. In connection with these repurchases, we recorded aggregate gains on early extinguishment of debt of $0.3 million and $3.2 million, for the three and six months ended June 30, 2012, respectively.</w:t>
      </w:r>
    </w:p>
    <w:p>
      <w:pPr>
        <w:spacing w:after="0" w:line="366"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June 30, 2012, the carrying value of our unencumbered and encumbered assets by asset type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0"/>
              </w:rPr>
              <w:t>As of June 30, 2012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w w:val="92"/>
              </w:rPr>
              <w:t>As of December 31, 2011</w:t>
            </w:r>
          </w:p>
        </w:tc>
      </w:tr>
      <w:tr>
        <w:trPr>
          <w:trHeight w:val="152"/>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Encumbered</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Unencumbered</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Encumbered</w:t>
            </w:r>
          </w:p>
        </w:tc>
        <w:tc>
          <w:tcPr>
            <w:tcW w:w="160" w:type="dxa"/>
            <w:vAlign w:val="bottom"/>
          </w:tcPr>
          <w:p>
            <w:pPr>
              <w:spacing w:after="0"/>
              <w:rPr>
                <w:sz w:val="13"/>
                <w:szCs w:val="13"/>
                <w:color w:val="auto"/>
              </w:rPr>
            </w:pPr>
          </w:p>
        </w:tc>
        <w:tc>
          <w:tcPr>
            <w:tcW w:w="122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6"/>
              </w:rPr>
              <w:t>Unencumbered</w:t>
            </w:r>
          </w:p>
        </w:tc>
      </w:tr>
      <w:tr>
        <w:trPr>
          <w:trHeight w:val="192"/>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Assets</w:t>
            </w:r>
          </w:p>
        </w:tc>
        <w:tc>
          <w:tcPr>
            <w:tcW w:w="160" w:type="dxa"/>
            <w:vAlign w:val="bottom"/>
          </w:tcPr>
          <w:p>
            <w:pPr>
              <w:spacing w:after="0"/>
              <w:rPr>
                <w:sz w:val="16"/>
                <w:szCs w:val="16"/>
                <w:color w:val="auto"/>
              </w:rPr>
            </w:pP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color w:val="auto"/>
              </w:rPr>
              <w:t>Assets</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other lending investments, net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1,723,459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1,153,671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lease assets, net</w:t>
            </w:r>
          </w:p>
        </w:tc>
        <w:tc>
          <w:tcPr>
            <w:tcW w:w="16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1,272,528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277,585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1,173,982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528,782</w:t>
            </w:r>
          </w:p>
        </w:tc>
      </w:tr>
      <w:tr>
        <w:trPr>
          <w:trHeight w:val="27"/>
        </w:trPr>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REHI, net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824,167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868,537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OREO</w:t>
            </w:r>
          </w:p>
        </w:tc>
        <w:tc>
          <w:tcPr>
            <w:tcW w:w="16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417,011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305,156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177,092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500,366</w:t>
            </w:r>
          </w:p>
        </w:tc>
      </w:tr>
      <w:tr>
        <w:trPr>
          <w:trHeight w:val="27"/>
        </w:trPr>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419,878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935,940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590,884</w:t>
            </w:r>
          </w:p>
        </w:tc>
      </w:tr>
      <w:tr>
        <w:trPr>
          <w:trHeight w:val="27"/>
        </w:trPr>
        <w:tc>
          <w:tcPr>
            <w:tcW w:w="5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3,908,252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3,334,760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4,062,118</w:t>
            </w: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4"/>
          <w:szCs w:val="14"/>
          <w:color w:val="auto"/>
        </w:rPr>
        <w:t>As of June 30, 2012 and December 31, 2011, the amounts presented exclude general reserves for loan losses of $56.8 million and $73.5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its debt securities unless a waiver or modification is agreed upon with the requisite percentage of the bondholders. While we expect that our ability to incur new indebtedness under the fixed charge coverage ratio will be limited for the foreseeable future, we will continue to be permitted to incur indebtedness for the purpose of refinancing existing indebtedness and for other permitted purposes under the indentures.</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2012 Secured Credit Facilities and 2011 Secured Credit Facilities both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maintains our qualification as a REIT, the 2012 Secured Credit Facilities and 2011 Secured Credit Facilities permit us to distribute 100% of our REIT taxable income on an annual basis. We may not pay common dividends if it ceases to qualify as a REIT.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2012 Secured Credit Facilities and 2011 Secured Credit Facilities contain cross default provisions that would allow the lenders to declare an event of default and accelerate our indebtedness to them if the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Derivatives</w:t>
      </w:r>
      <w:r>
        <w:rPr>
          <w:rFonts w:ascii="Arial" w:cs="Arial" w:eastAsia="Arial" w:hAnsi="Arial"/>
          <w:sz w:val="18"/>
          <w:szCs w:val="18"/>
          <w:color w:val="auto"/>
        </w:rPr>
        <w:t>—Our use of derivative financial instruments is primarily limited to the utilization of interest rate hedges or other instruments to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 exposure and foreign exchange hedges to manage our risk to changes in foreign currencies. The principal objectives of such hedges are to minimize the risks and/or costs associated with our operating and financial structure and to manage our exposure to foreign exchange rate movements. See Note 11 of the Notes to the Consolidated Financial Statements.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Off-Balance Sheet Arrangements</w:t>
      </w:r>
      <w:r>
        <w:rPr>
          <w:rFonts w:ascii="Arial" w:cs="Arial" w:eastAsia="Arial" w:hAnsi="Arial"/>
          <w:sz w:val="18"/>
          <w:szCs w:val="18"/>
          <w:color w:val="auto"/>
        </w:rPr>
        <w:t>—We are not dependent on the use of any off-balance sheet financing arrangements for liquidity.</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June 30, 2012,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Loans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Strategic</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Discretionary Fundings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127,948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127,948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171,986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17,259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214,335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Transactions with Related Parties</w:t>
      </w:r>
      <w:r>
        <w:rPr>
          <w:rFonts w:ascii="Arial" w:cs="Arial" w:eastAsia="Arial" w:hAnsi="Arial"/>
          <w:sz w:val="18"/>
          <w:szCs w:val="18"/>
          <w:color w:val="auto"/>
        </w:rPr>
        <w:t>—Prior to our annual stockholders' meeting in May 2012, Glenn August served as a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Mr. August is the president and senior partner of Oak Hill Advisors, L.P.</w:t>
      </w:r>
    </w:p>
    <w:p>
      <w:pPr>
        <w:spacing w:after="0" w:line="170" w:lineRule="exact"/>
        <w:rPr>
          <w:sz w:val="20"/>
          <w:szCs w:val="20"/>
          <w:color w:val="auto"/>
        </w:rPr>
      </w:pPr>
    </w:p>
    <w:p>
      <w:pPr>
        <w:ind w:left="660" w:right="2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recorded equity in earnings from our investments in Oak Hill funds of $0.5 million and $3.9 million, respectively, for the three and six months ended June 30, 2012.</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six months ended June 30, 2012, we redeemed our interests in four investments in Oak Hill related entities for $7.8 million of net cash proceeds.</w:t>
      </w:r>
    </w:p>
    <w:p>
      <w:pPr>
        <w:spacing w:after="0" w:line="170" w:lineRule="exact"/>
        <w:rPr>
          <w:rFonts w:ascii="Arial" w:cs="Arial" w:eastAsia="Arial" w:hAnsi="Arial"/>
          <w:sz w:val="18"/>
          <w:szCs w:val="18"/>
          <w:color w:val="auto"/>
        </w:rPr>
      </w:pPr>
    </w:p>
    <w:p>
      <w:pPr>
        <w:ind w:left="660" w:right="360" w:hanging="328"/>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2011, we sold a substantial portion of our interests in Oak Hill Advisors, L.P. and related entities. The transaction was completed in part through sales of interests to unrelated third parties and in part through redemption of interests by principals of Oak Hill Advisors, L.P., including Mr. August. In conjunction with the sale, we retained interests in our share of certain unearned incentive fees of various funds. These fees are contingent on the future performance of the funds and we will recognize income related to these fees if and when the amounts are realized.</w:t>
      </w:r>
    </w:p>
    <w:p>
      <w:pPr>
        <w:spacing w:after="0" w:line="15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have an equity interest of approximately 24% in LNR Property Corporation ("LNR") and two of our executive officers serve on LNR's board of managers.</w:t>
      </w:r>
    </w:p>
    <w:p>
      <w:pPr>
        <w:spacing w:after="0" w:line="17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b w:val="1"/>
          <w:bCs w:val="1"/>
          <w:i w:val="1"/>
          <w:iCs w:val="1"/>
          <w:color w:val="auto"/>
        </w:rPr>
        <w:t>Stock Repurchase Program</w:t>
      </w:r>
      <w:r>
        <w:rPr>
          <w:rFonts w:ascii="Arial" w:cs="Arial" w:eastAsia="Arial" w:hAnsi="Arial"/>
          <w:sz w:val="16"/>
          <w:szCs w:val="16"/>
          <w:color w:val="auto"/>
        </w:rPr>
        <w:t>—On May 16, 2012, our Board of Directors approved a stock repurchase program that authorized the repurchase of up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 million of our Common Stock from time to time in open market and privately negotiated purchases, including pursuant to one or more trading plans.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2012, we repurchased 0.8 million shares of our outstanding Common Stock for approximately $4.6 million, at an average cost of $5.69 per share. As of June 30, 2012, we had $16.0 million of Common Stock available to repurchase under our Board authorized stock repurchase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corporate and industry experience and various other assumptions that we believe to be appropriate under the circumstances.</w:t>
      </w:r>
    </w:p>
    <w:p>
      <w:pPr>
        <w:spacing w:after="0" w:line="15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 summary of our critical accounting estimates is included in our Annual Report on Form 10-K for the year ended December 31, 2011 in Management's Discussion and Analysis of Financial Condition. There have been no significant changes to our critical accounting estimates as of June 30, 2012.</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six months of 2012 as compared to the disclosures included in our Annual Report on Form 10-K for the year ended December 31, 2011. See discussion of quantitative and qualitative disclosures about market risk under Item 7a—"Quantitative and Qualitative Disclosures about Market Risk," included in our Annual Report on Form 10-K for the year ended December 31, 2011.</w:t>
      </w: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7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 related proceedings. In addition to such matters, the Company or its subsidiaries is a party to, or any of their property is the subject of, the following pending 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Citiline Holdings, Inc., et al. v. iStar Financial, Inc., et al.</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previously reported, in April 2008, two putative class action complaints were filed in the United States District Court for the Southern District of New York alleging violations of federal securities laws by the Company and certain of its current and former executive officers. Both suits were purportedly filed on behalf of the same putative class of investors who purchased Common Stock in the Company's December 13, 2007 public offering (“Offering”). The two complaints were subsequently consolidated in a single proceeding (the "Citiline Action") and an amended consolidated complaint was filed that named as defendants the Company, certain of its current and former executive officers, and certain investment banks who served as underwriters in the Offering.</w:t>
      </w:r>
    </w:p>
    <w:p>
      <w:pPr>
        <w:spacing w:after="0" w:line="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4, 2012, we reached an agreement in principle with the plaintiffs' Court-appointed representatives in the Citiline Action to settle the litigation. Settlement payments will be primarily funded by our insurance carriers. We will contribute $2.0 million to the settlement.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agreement in principle to settle the Citiline Action is subject to Court approval and a motion for preliminary Court approval is being prepared for filing. The parties to the Citiline Action intend to execute a definitive settlement agreement, including releases of liability in favor of the defendants. Assuming preliminary Court approval is obtained, notice of the settlement would then be mailed to class members and we anticipate that a final hearing would be held in the second half of 2012. Upon final Court approval of the settlement, the Citiline Action will be dismissed in its entirety with prejudice and the settlement will be final.</w:t>
      </w:r>
    </w:p>
    <w:p>
      <w:pPr>
        <w:spacing w:after="0" w:line="2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Annual Report on Form 10-K for the fiscal year ended December 31, 2011.</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June 30,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4"/>
                <w:szCs w:val="14"/>
                <w:color w:val="auto"/>
              </w:rPr>
            </w:pPr>
          </w:p>
        </w:tc>
        <w:tc>
          <w:tcPr>
            <w:tcW w:w="1680" w:type="dxa"/>
            <w:vAlign w:val="bottom"/>
          </w:tcPr>
          <w:p>
            <w:pPr>
              <w:jc w:val="center"/>
              <w:ind w:right="203"/>
              <w:spacing w:after="0"/>
              <w:rPr>
                <w:sz w:val="20"/>
                <w:szCs w:val="20"/>
                <w:color w:val="auto"/>
              </w:rPr>
            </w:pPr>
            <w:r>
              <w:rPr>
                <w:rFonts w:ascii="Arial" w:cs="Arial" w:eastAsia="Arial" w:hAnsi="Arial"/>
                <w:sz w:val="14"/>
                <w:szCs w:val="14"/>
                <w:b w:val="1"/>
                <w:bCs w:val="1"/>
                <w:color w:val="auto"/>
                <w:w w:val="99"/>
              </w:rPr>
              <w:t>Maximum Dollar</w:t>
            </w:r>
          </w:p>
        </w:tc>
      </w:tr>
      <w:tr>
        <w:trPr>
          <w:trHeight w:val="162"/>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360" w:type="dxa"/>
            <w:vAlign w:val="bottom"/>
          </w:tcPr>
          <w:p>
            <w:pPr>
              <w:spacing w:after="0"/>
              <w:rPr>
                <w:sz w:val="14"/>
                <w:szCs w:val="14"/>
                <w:color w:val="auto"/>
              </w:rPr>
            </w:pPr>
          </w:p>
        </w:tc>
        <w:tc>
          <w:tcPr>
            <w:tcW w:w="1680" w:type="dxa"/>
            <w:vAlign w:val="bottom"/>
          </w:tcPr>
          <w:p>
            <w:pPr>
              <w:jc w:val="center"/>
              <w:ind w:right="203"/>
              <w:spacing w:after="0"/>
              <w:rPr>
                <w:sz w:val="20"/>
                <w:szCs w:val="20"/>
                <w:color w:val="auto"/>
              </w:rPr>
            </w:pPr>
            <w:r>
              <w:rPr>
                <w:rFonts w:ascii="Arial" w:cs="Arial" w:eastAsia="Arial" w:hAnsi="Arial"/>
                <w:sz w:val="14"/>
                <w:szCs w:val="14"/>
                <w:b w:val="1"/>
                <w:bCs w:val="1"/>
                <w:color w:val="auto"/>
                <w:w w:val="91"/>
              </w:rPr>
              <w:t>Value of Shares</w:t>
            </w:r>
          </w:p>
        </w:tc>
      </w:tr>
      <w:tr>
        <w:trPr>
          <w:trHeight w:val="162"/>
        </w:trPr>
        <w:tc>
          <w:tcPr>
            <w:tcW w:w="36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jc w:val="center"/>
              <w:ind w:right="3"/>
              <w:spacing w:after="0"/>
              <w:rPr>
                <w:sz w:val="20"/>
                <w:szCs w:val="20"/>
                <w:color w:val="auto"/>
              </w:rPr>
            </w:pPr>
            <w:r>
              <w:rPr>
                <w:rFonts w:ascii="Arial" w:cs="Arial" w:eastAsia="Arial" w:hAnsi="Arial"/>
                <w:sz w:val="14"/>
                <w:szCs w:val="14"/>
                <w:b w:val="1"/>
                <w:bCs w:val="1"/>
                <w:color w:val="auto"/>
                <w:w w:val="93"/>
              </w:rPr>
              <w:t>as Part of</w:t>
            </w:r>
          </w:p>
        </w:tc>
        <w:tc>
          <w:tcPr>
            <w:tcW w:w="360" w:type="dxa"/>
            <w:vAlign w:val="bottom"/>
          </w:tcPr>
          <w:p>
            <w:pPr>
              <w:spacing w:after="0"/>
              <w:rPr>
                <w:sz w:val="14"/>
                <w:szCs w:val="14"/>
                <w:color w:val="auto"/>
              </w:rPr>
            </w:pPr>
          </w:p>
        </w:tc>
        <w:tc>
          <w:tcPr>
            <w:tcW w:w="1680" w:type="dxa"/>
            <w:vAlign w:val="bottom"/>
          </w:tcPr>
          <w:p>
            <w:pPr>
              <w:jc w:val="center"/>
              <w:ind w:right="223"/>
              <w:spacing w:after="0"/>
              <w:rPr>
                <w:sz w:val="20"/>
                <w:szCs w:val="20"/>
                <w:color w:val="auto"/>
              </w:rPr>
            </w:pPr>
            <w:r>
              <w:rPr>
                <w:rFonts w:ascii="Arial" w:cs="Arial" w:eastAsia="Arial" w:hAnsi="Arial"/>
                <w:sz w:val="14"/>
                <w:szCs w:val="14"/>
                <w:b w:val="1"/>
                <w:bCs w:val="1"/>
                <w:color w:val="auto"/>
                <w:w w:val="95"/>
              </w:rPr>
              <w:t>that May Yet be</w:t>
            </w:r>
          </w:p>
        </w:tc>
      </w:tr>
      <w:tr>
        <w:trPr>
          <w:trHeight w:val="162"/>
        </w:trPr>
        <w:tc>
          <w:tcPr>
            <w:tcW w:w="36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34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Average Price</w:t>
            </w:r>
          </w:p>
        </w:tc>
        <w:tc>
          <w:tcPr>
            <w:tcW w:w="1800" w:type="dxa"/>
            <w:vAlign w:val="bottom"/>
          </w:tcPr>
          <w:p>
            <w:pPr>
              <w:jc w:val="center"/>
              <w:ind w:right="3"/>
              <w:spacing w:after="0"/>
              <w:rPr>
                <w:sz w:val="20"/>
                <w:szCs w:val="20"/>
                <w:color w:val="auto"/>
              </w:rPr>
            </w:pPr>
            <w:r>
              <w:rPr>
                <w:rFonts w:ascii="Arial" w:cs="Arial" w:eastAsia="Arial" w:hAnsi="Arial"/>
                <w:sz w:val="14"/>
                <w:szCs w:val="14"/>
                <w:b w:val="1"/>
                <w:bCs w:val="1"/>
                <w:color w:val="auto"/>
                <w:w w:val="92"/>
              </w:rPr>
              <w:t>Publicly Announced</w:t>
            </w:r>
          </w:p>
        </w:tc>
        <w:tc>
          <w:tcPr>
            <w:tcW w:w="360" w:type="dxa"/>
            <w:vAlign w:val="bottom"/>
          </w:tcPr>
          <w:p>
            <w:pPr>
              <w:spacing w:after="0"/>
              <w:rPr>
                <w:sz w:val="14"/>
                <w:szCs w:val="14"/>
                <w:color w:val="auto"/>
              </w:rPr>
            </w:pPr>
          </w:p>
        </w:tc>
        <w:tc>
          <w:tcPr>
            <w:tcW w:w="1680" w:type="dxa"/>
            <w:vAlign w:val="bottom"/>
          </w:tcPr>
          <w:p>
            <w:pPr>
              <w:jc w:val="center"/>
              <w:ind w:right="203"/>
              <w:spacing w:after="0"/>
              <w:rPr>
                <w:sz w:val="20"/>
                <w:szCs w:val="20"/>
                <w:color w:val="auto"/>
              </w:rPr>
            </w:pPr>
            <w:r>
              <w:rPr>
                <w:rFonts w:ascii="Arial" w:cs="Arial" w:eastAsia="Arial" w:hAnsi="Arial"/>
                <w:sz w:val="14"/>
                <w:szCs w:val="14"/>
                <w:b w:val="1"/>
                <w:bCs w:val="1"/>
                <w:color w:val="auto"/>
                <w:w w:val="93"/>
              </w:rPr>
              <w:t>Purchased Under</w:t>
            </w:r>
          </w:p>
        </w:tc>
      </w:tr>
      <w:tr>
        <w:trPr>
          <w:trHeight w:val="186"/>
        </w:trPr>
        <w:tc>
          <w:tcPr>
            <w:tcW w:w="36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26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w w:val="95"/>
              </w:rPr>
              <w:t>Paid per 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Plans</w:t>
            </w:r>
          </w:p>
        </w:tc>
        <w:tc>
          <w:tcPr>
            <w:tcW w:w="360" w:type="dxa"/>
            <w:vAlign w:val="bottom"/>
          </w:tcPr>
          <w:p>
            <w:pPr>
              <w:spacing w:after="0"/>
              <w:rPr>
                <w:sz w:val="16"/>
                <w:szCs w:val="16"/>
                <w:color w:val="auto"/>
              </w:rPr>
            </w:pPr>
          </w:p>
        </w:tc>
        <w:tc>
          <w:tcPr>
            <w:tcW w:w="1680" w:type="dxa"/>
            <w:vAlign w:val="bottom"/>
          </w:tcPr>
          <w:p>
            <w:pPr>
              <w:jc w:val="center"/>
              <w:ind w:right="203"/>
              <w:spacing w:after="0"/>
              <w:rPr>
                <w:sz w:val="20"/>
                <w:szCs w:val="20"/>
                <w:color w:val="auto"/>
              </w:rPr>
            </w:pPr>
            <w:r>
              <w:rPr>
                <w:rFonts w:ascii="Arial" w:cs="Arial" w:eastAsia="Arial" w:hAnsi="Arial"/>
                <w:sz w:val="14"/>
                <w:szCs w:val="14"/>
                <w:b w:val="1"/>
                <w:bCs w:val="1"/>
                <w:color w:val="auto"/>
                <w:w w:val="90"/>
              </w:rPr>
              <w:t>the Plans(1)</w:t>
            </w:r>
          </w:p>
        </w:tc>
      </w:tr>
      <w:tr>
        <w:trPr>
          <w:trHeight w:val="26"/>
        </w:trPr>
        <w:tc>
          <w:tcPr>
            <w:tcW w:w="36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900"/>
              <w:spacing w:after="0"/>
              <w:rPr>
                <w:sz w:val="20"/>
                <w:szCs w:val="20"/>
                <w:color w:val="auto"/>
              </w:rPr>
            </w:pPr>
            <w:r>
              <w:rPr>
                <w:rFonts w:ascii="Arial" w:cs="Arial" w:eastAsia="Arial" w:hAnsi="Arial"/>
                <w:sz w:val="18"/>
                <w:szCs w:val="18"/>
                <w:color w:val="auto"/>
              </w:rPr>
              <w:t>May 1 - May 31, 2012</w:t>
            </w:r>
          </w:p>
        </w:tc>
        <w:tc>
          <w:tcPr>
            <w:tcW w:w="1460" w:type="dxa"/>
            <w:vAlign w:val="bottom"/>
          </w:tcPr>
          <w:p>
            <w:pPr>
              <w:jc w:val="right"/>
              <w:ind w:right="41"/>
              <w:spacing w:after="0"/>
              <w:rPr>
                <w:sz w:val="20"/>
                <w:szCs w:val="20"/>
                <w:color w:val="auto"/>
              </w:rPr>
            </w:pPr>
            <w:r>
              <w:rPr>
                <w:rFonts w:ascii="Arial" w:cs="Arial" w:eastAsia="Arial" w:hAnsi="Arial"/>
                <w:sz w:val="18"/>
                <w:szCs w:val="18"/>
                <w:color w:val="auto"/>
              </w:rPr>
              <w:t>351,086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5.72</w:t>
            </w: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351,086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3"/>
              <w:spacing w:after="0"/>
              <w:rPr>
                <w:sz w:val="20"/>
                <w:szCs w:val="20"/>
                <w:color w:val="auto"/>
              </w:rPr>
            </w:pPr>
            <w:r>
              <w:rPr>
                <w:rFonts w:ascii="Arial" w:cs="Arial" w:eastAsia="Arial" w:hAnsi="Arial"/>
                <w:sz w:val="18"/>
                <w:szCs w:val="18"/>
                <w:color w:val="auto"/>
              </w:rPr>
              <w:t>18,634,702</w:t>
            </w:r>
          </w:p>
        </w:tc>
      </w:tr>
      <w:tr>
        <w:trPr>
          <w:trHeight w:val="270"/>
        </w:trPr>
        <w:tc>
          <w:tcPr>
            <w:tcW w:w="3660" w:type="dxa"/>
            <w:vAlign w:val="bottom"/>
          </w:tcPr>
          <w:p>
            <w:pPr>
              <w:ind w:left="900"/>
              <w:spacing w:after="0"/>
              <w:rPr>
                <w:sz w:val="20"/>
                <w:szCs w:val="20"/>
                <w:color w:val="auto"/>
              </w:rPr>
            </w:pPr>
            <w:r>
              <w:rPr>
                <w:rFonts w:ascii="Arial" w:cs="Arial" w:eastAsia="Arial" w:hAnsi="Arial"/>
                <w:sz w:val="18"/>
                <w:szCs w:val="18"/>
                <w:color w:val="auto"/>
              </w:rPr>
              <w:t>June 1 - June 30, 2012</w:t>
            </w:r>
          </w:p>
        </w:tc>
        <w:tc>
          <w:tcPr>
            <w:tcW w:w="1460" w:type="dxa"/>
            <w:vAlign w:val="bottom"/>
          </w:tcPr>
          <w:p>
            <w:pPr>
              <w:jc w:val="right"/>
              <w:ind w:right="41"/>
              <w:spacing w:after="0"/>
              <w:rPr>
                <w:sz w:val="20"/>
                <w:szCs w:val="20"/>
                <w:color w:val="auto"/>
              </w:rPr>
            </w:pPr>
            <w:r>
              <w:rPr>
                <w:rFonts w:ascii="Arial" w:cs="Arial" w:eastAsia="Arial" w:hAnsi="Arial"/>
                <w:sz w:val="18"/>
                <w:szCs w:val="18"/>
                <w:color w:val="auto"/>
              </w:rPr>
              <w:t>458,634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5.67</w:t>
            </w: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458,634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3"/>
              <w:spacing w:after="0"/>
              <w:rPr>
                <w:sz w:val="20"/>
                <w:szCs w:val="20"/>
                <w:color w:val="auto"/>
              </w:rPr>
            </w:pPr>
            <w:r>
              <w:rPr>
                <w:rFonts w:ascii="Arial" w:cs="Arial" w:eastAsia="Arial" w:hAnsi="Arial"/>
                <w:sz w:val="18"/>
                <w:szCs w:val="18"/>
                <w:color w:val="auto"/>
              </w:rPr>
              <w:t>16,033,753</w:t>
            </w:r>
          </w:p>
        </w:tc>
      </w:tr>
      <w:tr>
        <w:trPr>
          <w:trHeight w:val="452"/>
        </w:trPr>
        <w:tc>
          <w:tcPr>
            <w:tcW w:w="3660" w:type="dxa"/>
            <w:vAlign w:val="bottom"/>
          </w:tcPr>
          <w:p>
            <w:pPr>
              <w:spacing w:after="0"/>
              <w:rPr>
                <w:sz w:val="20"/>
                <w:szCs w:val="20"/>
                <w:color w:val="auto"/>
              </w:rPr>
            </w:pPr>
            <w:r>
              <w:rPr>
                <w:rFonts w:ascii="Arial" w:cs="Arial" w:eastAsia="Arial" w:hAnsi="Arial"/>
                <w:sz w:val="18"/>
                <w:szCs w:val="18"/>
                <w:b w:val="1"/>
                <w:bCs w:val="1"/>
                <w:color w:val="auto"/>
              </w:rPr>
              <w:t>Explanatory Note:</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9" w:lineRule="exact"/>
        <w:rPr>
          <w:sz w:val="20"/>
          <w:szCs w:val="20"/>
          <w:color w:val="auto"/>
        </w:rPr>
      </w:pPr>
    </w:p>
    <w:p>
      <w:pPr>
        <w:ind w:left="660" w:right="60" w:hanging="652"/>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May 16, 2012, the Company authorized the repurchase, from time to time, on the open market or otherwise, of up to an additional $20.0 million of its Common Stock at prevailing market prices or at negotiated prices, including pursuant to one or more trading pans. There is no fixed expiration date to this stock repurchase program.</w:t>
      </w:r>
    </w:p>
    <w:p>
      <w:pPr>
        <w:spacing w:after="0" w:line="200" w:lineRule="exact"/>
        <w:rPr>
          <w:sz w:val="20"/>
          <w:szCs w:val="20"/>
          <w:color w:val="auto"/>
        </w:rPr>
      </w:pPr>
    </w:p>
    <w:p>
      <w:pPr>
        <w:spacing w:after="0" w:line="3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(REMOVED AND RESERVED)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37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4"/>
          <w:szCs w:val="14"/>
          <w:b w:val="1"/>
          <w:bCs w:val="1"/>
          <w:color w:val="auto"/>
        </w:rPr>
        <w:t>Number</w:t>
        <w:tab/>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ind w:left="840" w:right="140" w:hanging="544"/>
        <w:spacing w:after="0" w:line="277" w:lineRule="auto"/>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between iStar Financial Inc. and U.S. Bank Trust National Association, as trustee, dated as of May 8, 2012 (incorporated by reference from the Company's Current Report on Form 8-K filed on May 11, 2012).</w:t>
      </w:r>
    </w:p>
    <w:p>
      <w:pPr>
        <w:spacing w:after="0" w:line="8" w:lineRule="exact"/>
        <w:rPr>
          <w:sz w:val="20"/>
          <w:szCs w:val="20"/>
          <w:color w:val="auto"/>
        </w:rPr>
      </w:pPr>
    </w:p>
    <w:p>
      <w:pPr>
        <w:ind w:left="300"/>
        <w:spacing w:after="0"/>
        <w:tabs>
          <w:tab w:leader="none" w:pos="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9.0% Senior Notes due 2017 - Rule 144A Global Note (incorporated by reference from the Company's Current Report on Form 8-K filed on May</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11, 2012).</w:t>
      </w:r>
    </w:p>
    <w:p>
      <w:pPr>
        <w:spacing w:after="0" w:line="49" w:lineRule="exact"/>
        <w:rPr>
          <w:sz w:val="20"/>
          <w:szCs w:val="20"/>
          <w:color w:val="auto"/>
        </w:rPr>
      </w:pPr>
    </w:p>
    <w:p>
      <w:pPr>
        <w:ind w:left="840" w:right="300" w:hanging="544"/>
        <w:spacing w:after="0" w:line="277" w:lineRule="auto"/>
        <w:tabs>
          <w:tab w:leader="none" w:pos="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9.0% Senior Notes due 2017 - Regulation S Global Note (incorporated by reference from the Company's Current Report on Form 8-K filed on May 11, 2012).</w:t>
      </w:r>
    </w:p>
    <w:p>
      <w:pPr>
        <w:spacing w:after="0" w:line="8" w:lineRule="exact"/>
        <w:rPr>
          <w:sz w:val="20"/>
          <w:szCs w:val="20"/>
          <w:color w:val="auto"/>
        </w:rPr>
      </w:pPr>
    </w:p>
    <w:p>
      <w:pPr>
        <w:ind w:left="840" w:right="20" w:hanging="589"/>
        <w:spacing w:after="0" w:line="264" w:lineRule="auto"/>
        <w:tabs>
          <w:tab w:leader="none" w:pos="820" w:val="left"/>
        </w:tabs>
        <w:rPr>
          <w:sz w:val="20"/>
          <w:szCs w:val="20"/>
          <w:color w:val="auto"/>
        </w:rPr>
      </w:pPr>
      <w:r>
        <w:rPr>
          <w:rFonts w:ascii="Arial" w:cs="Arial" w:eastAsia="Arial" w:hAnsi="Arial"/>
          <w:sz w:val="18"/>
          <w:szCs w:val="18"/>
          <w:color w:val="auto"/>
        </w:rPr>
        <w:t>10.1</w:t>
        <w:tab/>
        <w:t>Registration Rights Agreement, by and among iStar Financial Inc., Merrill Lynch, Pierce, Fenner &amp; Smith Incorporated, Barclays Capital Inc. and J.P. Morgan Securities LLC, as the initial purchasers, dated as of May 8, 2012 (incorporated by reference from the Company's Current Report on Form 8-K filed on May 11, 2012).</w:t>
      </w:r>
    </w:p>
    <w:p>
      <w:pPr>
        <w:spacing w:after="0" w:line="19"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Sarbanes-Oxley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Sarbanes-Oxley Act.</w:t>
      </w:r>
    </w:p>
    <w:p>
      <w:pPr>
        <w:spacing w:after="0" w:line="63" w:lineRule="exact"/>
        <w:rPr>
          <w:sz w:val="20"/>
          <w:szCs w:val="20"/>
          <w:color w:val="auto"/>
        </w:rPr>
      </w:pPr>
    </w:p>
    <w:p>
      <w:pPr>
        <w:ind w:left="840" w:hanging="562"/>
        <w:spacing w:after="0" w:line="293" w:lineRule="auto"/>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June 30, 2012 is formatted in XBRL ("eXtensible Business Reporting Language"): (i) the Consolidated Balance Sheets (unaudited) as of June 30, 2012 and December 31, 2011, (ii) the Consolidated Statements of Operations (unaudited) for the three and six months ended June 30, 2012 and 2011, (iii) the Consolidated Statements of Comprehensive Income (Loss) (unaudited) for the three and six months ended June 30, 2012 and 2011, (iv) the Consolidated Statement of Changes in Equity (unaudited) for the six months ended June 30, 2012, (v) the Consolidated Statements of Cash Flows (unaudited) for the six months ended June 30, 2012 and 2011 and (vi) the Notes to the Consolidated Financial Statements (unaudited).*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5" w:lineRule="exact"/>
        <w:rPr>
          <w:sz w:val="20"/>
          <w:szCs w:val="20"/>
          <w:color w:val="auto"/>
        </w:rPr>
      </w:pPr>
    </w:p>
    <w:p>
      <w:pPr>
        <w:ind w:left="500" w:right="120" w:hanging="492"/>
        <w:spacing w:after="0" w:line="312" w:lineRule="auto"/>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18" w:right="2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August 7, 2012</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760" w:val="left"/>
        </w:tabs>
        <w:rPr>
          <w:sz w:val="20"/>
          <w:szCs w:val="20"/>
          <w:color w:val="auto"/>
        </w:rPr>
      </w:pPr>
      <w:r>
        <w:rPr>
          <w:rFonts w:ascii="Arial" w:cs="Arial" w:eastAsia="Arial" w:hAnsi="Arial"/>
          <w:sz w:val="18"/>
          <w:szCs w:val="18"/>
          <w:color w:val="auto"/>
        </w:rPr>
        <w:t>Date: August 7, 2012</w:t>
      </w:r>
      <w:r>
        <w:rPr>
          <w:sz w:val="20"/>
          <w:szCs w:val="20"/>
          <w:color w:val="auto"/>
        </w:rPr>
        <w:tab/>
      </w:r>
      <w:r>
        <w:rPr>
          <w:rFonts w:ascii="Arial" w:cs="Arial" w:eastAsia="Arial" w:hAnsi="Arial"/>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David M. DiStaso</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7, 2012</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340" w:firstLine="332"/>
        <w:spacing w:after="0" w:line="342" w:lineRule="auto"/>
        <w:tabs>
          <w:tab w:leader="none" w:pos="5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332"/>
        <w:spacing w:after="0" w:line="277"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160" w:firstLine="332"/>
        <w:spacing w:after="0" w:line="264" w:lineRule="auto"/>
        <w:tabs>
          <w:tab w:leader="none" w:pos="5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200" w:firstLine="316"/>
        <w:spacing w:after="0" w:line="264" w:lineRule="auto"/>
        <w:tabs>
          <w:tab w:leader="none" w:pos="9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460" w:firstLine="316"/>
        <w:spacing w:after="0" w:line="264"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740" w:firstLine="316"/>
        <w:spacing w:after="0" w:line="342" w:lineRule="auto"/>
        <w:tabs>
          <w:tab w:leader="none" w:pos="909"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firstLine="316"/>
        <w:spacing w:after="0" w:line="264"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332"/>
        <w:spacing w:after="0" w:line="308" w:lineRule="auto"/>
        <w:tabs>
          <w:tab w:leader="none" w:pos="5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100" w:firstLine="316"/>
        <w:spacing w:after="0" w:line="277" w:lineRule="auto"/>
        <w:tabs>
          <w:tab w:leader="none" w:pos="9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80" w:firstLine="316"/>
        <w:spacing w:after="0" w:line="277"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Date:   August 7, 2012</w:t>
            </w:r>
          </w:p>
        </w:tc>
        <w:tc>
          <w:tcPr>
            <w:tcW w:w="1900" w:type="dxa"/>
            <w:vAlign w:val="bottom"/>
          </w:tcPr>
          <w:p>
            <w:pPr>
              <w:ind w:left="13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40"/>
              <w:spacing w:after="0"/>
              <w:rPr>
                <w:sz w:val="20"/>
                <w:szCs w:val="20"/>
                <w:color w:val="auto"/>
              </w:rPr>
            </w:pPr>
            <w:r>
              <w:rPr>
                <w:rFonts w:ascii="Arial" w:cs="Arial" w:eastAsia="Arial" w:hAnsi="Arial"/>
                <w:sz w:val="18"/>
                <w:szCs w:val="18"/>
                <w:color w:val="auto"/>
              </w:rPr>
              <w:t>/s/ DAVID M. DISTASO</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42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Title:</w:t>
            </w:r>
          </w:p>
        </w:tc>
        <w:tc>
          <w:tcPr>
            <w:tcW w:w="442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0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June 30, 2012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7, 2012</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undersigned, the principal financial officer of iStar Financial Inc. (the "Company"), hereby certifies on the date hereof, pursuant to 18 U.S.C. 1350, as adopted pursuant to Section 906 of The Sarbanes-Oxley Act of 2002, that the Quarterly Report on Form 10-Q for the quarter ended June 30, 2012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Date:   August 7, 2012</w:t>
            </w:r>
          </w:p>
        </w:tc>
        <w:tc>
          <w:tcPr>
            <w:tcW w:w="1900" w:type="dxa"/>
            <w:vAlign w:val="bottom"/>
          </w:tcPr>
          <w:p>
            <w:pPr>
              <w:ind w:left="13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40"/>
              <w:spacing w:after="0"/>
              <w:rPr>
                <w:sz w:val="20"/>
                <w:szCs w:val="20"/>
                <w:color w:val="auto"/>
              </w:rPr>
            </w:pPr>
            <w:r>
              <w:rPr>
                <w:rFonts w:ascii="Arial" w:cs="Arial" w:eastAsia="Arial" w:hAnsi="Arial"/>
                <w:sz w:val="18"/>
                <w:szCs w:val="18"/>
                <w:color w:val="auto"/>
              </w:rPr>
              <w:t>/s/ DAVID M. DISTASO</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42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Title:</w:t>
            </w:r>
          </w:p>
        </w:tc>
        <w:tc>
          <w:tcPr>
            <w:tcW w:w="442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240" w:top="20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0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2019-12-09T14:16:33Z</dcterms:created>
  <dcterms:modified xsi:type="dcterms:W3CDTF">2019-12-09T14:16:33Z</dcterms:modified>
</cp:coreProperties>
</file>