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17"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600" w:right="1840" w:hanging="850"/>
        <w:spacing w:after="0" w:line="256" w:lineRule="auto"/>
        <w:tabs>
          <w:tab w:leader="none" w:pos="2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2600" w:right="1820" w:hanging="809"/>
        <w:spacing w:after="0" w:line="256" w:lineRule="auto"/>
        <w:tabs>
          <w:tab w:leader="none" w:pos="26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10"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220" w:space="620"/>
            <w:col w:w="4580"/>
          </w:cols>
          <w:pgMar w:left="240" w:top="233"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No. 1-15371</w:t>
      </w:r>
    </w:p>
    <w:p>
      <w:pPr>
        <w:spacing w:after="0" w:line="144" w:lineRule="exact"/>
        <w:rPr>
          <w:sz w:val="24"/>
          <w:szCs w:val="24"/>
          <w:color w:val="auto"/>
        </w:rPr>
      </w:pPr>
    </w:p>
    <w:p>
      <w:pPr>
        <w:ind w:left="2880"/>
        <w:spacing w:after="0"/>
        <w:rPr>
          <w:sz w:val="20"/>
          <w:szCs w:val="20"/>
          <w:color w:val="auto"/>
        </w:rPr>
      </w:pPr>
      <w:r>
        <w:rPr>
          <w:rFonts w:ascii="Arial" w:cs="Arial" w:eastAsia="Arial" w:hAnsi="Arial"/>
          <w:sz w:val="12"/>
          <w:szCs w:val="12"/>
          <w:color w:val="auto"/>
        </w:rPr>
        <w:t>_______________________________________________________________________________</w:t>
      </w:r>
    </w:p>
    <w:p>
      <w:pPr>
        <w:sectPr>
          <w:pgSz w:w="11900" w:h="16838" w:orient="portrait"/>
          <w:cols w:equalWidth="0" w:num="1">
            <w:col w:w="11420"/>
          </w:cols>
          <w:pgMar w:left="240" w:top="233" w:right="239" w:bottom="1440" w:gutter="0" w:footer="0" w:header="0"/>
          <w:type w:val="continuous"/>
        </w:sectPr>
      </w:pPr>
    </w:p>
    <w:p>
      <w:pPr>
        <w:spacing w:after="0" w:line="150" w:lineRule="exact"/>
        <w:rPr>
          <w:sz w:val="24"/>
          <w:szCs w:val="24"/>
          <w:color w:val="auto"/>
        </w:rPr>
      </w:pPr>
    </w:p>
    <w:tbl>
      <w:tblPr>
        <w:tblLayout w:type="fixed"/>
        <w:tblInd w:w="1220" w:type="dxa"/>
        <w:tblCellMar>
          <w:top w:w="0" w:type="dxa"/>
          <w:left w:w="0" w:type="dxa"/>
          <w:bottom w:w="0" w:type="dxa"/>
          <w:right w:w="0" w:type="dxa"/>
        </w:tblCellMar>
      </w:tblPr>
      <w:tr>
        <w:trPr>
          <w:trHeight w:val="391"/>
        </w:trPr>
        <w:tc>
          <w:tcPr>
            <w:tcW w:w="6500" w:type="dxa"/>
            <w:vAlign w:val="bottom"/>
          </w:tcPr>
          <w:p>
            <w:pPr>
              <w:jc w:val="center"/>
              <w:ind w:left="2381"/>
              <w:spacing w:after="0"/>
              <w:rPr>
                <w:sz w:val="20"/>
                <w:szCs w:val="20"/>
                <w:color w:val="auto"/>
              </w:rPr>
            </w:pPr>
            <w:r>
              <w:rPr>
                <w:rFonts w:ascii="Arial" w:cs="Arial" w:eastAsia="Arial" w:hAnsi="Arial"/>
                <w:sz w:val="32"/>
                <w:szCs w:val="32"/>
                <w:b w:val="1"/>
                <w:bCs w:val="1"/>
                <w:color w:val="auto"/>
              </w:rPr>
              <w:t>iSTAR FINANCIAL INC.</w:t>
            </w:r>
          </w:p>
        </w:tc>
        <w:tc>
          <w:tcPr>
            <w:tcW w:w="1800" w:type="dxa"/>
            <w:vAlign w:val="bottom"/>
          </w:tcPr>
          <w:p>
            <w:pPr>
              <w:spacing w:after="0"/>
              <w:rPr>
                <w:sz w:val="24"/>
                <w:szCs w:val="24"/>
                <w:color w:val="auto"/>
              </w:rPr>
            </w:pPr>
          </w:p>
        </w:tc>
      </w:tr>
      <w:tr>
        <w:trPr>
          <w:trHeight w:val="230"/>
        </w:trPr>
        <w:tc>
          <w:tcPr>
            <w:tcW w:w="6500" w:type="dxa"/>
            <w:vAlign w:val="bottom"/>
          </w:tcPr>
          <w:p>
            <w:pPr>
              <w:jc w:val="center"/>
              <w:ind w:left="2401"/>
              <w:spacing w:after="0"/>
              <w:rPr>
                <w:sz w:val="20"/>
                <w:szCs w:val="20"/>
                <w:color w:val="auto"/>
              </w:rPr>
            </w:pPr>
            <w:r>
              <w:rPr>
                <w:rFonts w:ascii="Arial" w:cs="Arial" w:eastAsia="Arial" w:hAnsi="Arial"/>
                <w:sz w:val="18"/>
                <w:szCs w:val="18"/>
                <w:color w:val="auto"/>
                <w:w w:val="90"/>
              </w:rPr>
              <w:t>(Exact name of registrant as specified in its charter)</w:t>
            </w:r>
          </w:p>
        </w:tc>
        <w:tc>
          <w:tcPr>
            <w:tcW w:w="1800" w:type="dxa"/>
            <w:vAlign w:val="bottom"/>
          </w:tcPr>
          <w:p>
            <w:pPr>
              <w:spacing w:after="0"/>
              <w:rPr>
                <w:sz w:val="20"/>
                <w:szCs w:val="20"/>
                <w:color w:val="auto"/>
              </w:rPr>
            </w:pPr>
          </w:p>
        </w:tc>
      </w:tr>
      <w:tr>
        <w:trPr>
          <w:trHeight w:val="499"/>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98"/>
              </w:rPr>
              <w:t>Maryland</w:t>
            </w: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3"/>
              </w:rPr>
              <w:t>(State or other jurisdiction of</w:t>
            </w: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2"/>
              </w:rPr>
              <w:t>(I.R.S. Employer</w:t>
            </w:r>
          </w:p>
        </w:tc>
      </w:tr>
      <w:tr>
        <w:trPr>
          <w:trHeight w:val="230"/>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3"/>
              </w:rPr>
              <w:t>incorporation or organization)</w:t>
            </w: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4"/>
              </w:rPr>
              <w:t>Identification Number)</w:t>
            </w:r>
          </w:p>
        </w:tc>
      </w:tr>
      <w:tr>
        <w:trPr>
          <w:trHeight w:val="270"/>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89"/>
              </w:rPr>
              <w:t>1114 Avenue of the Americas, 39</w:t>
            </w:r>
            <w:r>
              <w:rPr>
                <w:rFonts w:ascii="Arial" w:cs="Arial" w:eastAsia="Arial" w:hAnsi="Arial"/>
                <w:sz w:val="14"/>
                <w:szCs w:val="14"/>
                <w:b w:val="1"/>
                <w:bCs w:val="1"/>
                <w:color w:val="auto"/>
                <w:w w:val="89"/>
              </w:rPr>
              <w:t>th</w:t>
            </w:r>
            <w:r>
              <w:rPr>
                <w:rFonts w:ascii="Arial" w:cs="Arial" w:eastAsia="Arial" w:hAnsi="Arial"/>
                <w:sz w:val="18"/>
                <w:szCs w:val="18"/>
                <w:b w:val="1"/>
                <w:bCs w:val="1"/>
                <w:color w:val="auto"/>
                <w:w w:val="89"/>
              </w:rPr>
              <w:t xml:space="preserve"> Floor</w:t>
            </w:r>
          </w:p>
        </w:tc>
        <w:tc>
          <w:tcPr>
            <w:tcW w:w="1800" w:type="dxa"/>
            <w:vAlign w:val="bottom"/>
          </w:tcPr>
          <w:p>
            <w:pPr>
              <w:spacing w:after="0"/>
              <w:rPr>
                <w:sz w:val="23"/>
                <w:szCs w:val="23"/>
                <w:color w:val="auto"/>
              </w:rPr>
            </w:pPr>
          </w:p>
        </w:tc>
      </w:tr>
      <w:tr>
        <w:trPr>
          <w:trHeight w:val="256"/>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93"/>
              </w:rPr>
              <w:t>New York, NY</w:t>
            </w: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10036</w:t>
            </w:r>
          </w:p>
        </w:tc>
      </w:tr>
      <w:tr>
        <w:trPr>
          <w:trHeight w:val="230"/>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2"/>
              </w:rPr>
              <w:t>(Address of principal executive offices)</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3"/>
              </w:rPr>
              <w:t>(Zip code)</w:t>
            </w: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2"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259"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8" w:lineRule="exact"/>
        <w:rPr>
          <w:sz w:val="24"/>
          <w:szCs w:val="24"/>
          <w:color w:val="auto"/>
        </w:rPr>
      </w:pPr>
    </w:p>
    <w:p>
      <w:pPr>
        <w:sectPr>
          <w:pgSz w:w="11900" w:h="16838" w:orient="portrait"/>
          <w:cols w:equalWidth="0" w:num="4">
            <w:col w:w="2680" w:space="720"/>
            <w:col w:w="1820" w:space="720"/>
            <w:col w:w="2120" w:space="720"/>
            <w:col w:w="2640"/>
          </w:cols>
          <w:pgMar w:left="240" w:top="233" w:right="239" w:bottom="1440" w:gutter="0" w:footer="0" w:header="0"/>
          <w:type w:val="continuous"/>
        </w:sectPr>
      </w:pPr>
    </w:p>
    <w:p>
      <w:pPr>
        <w:ind w:left="6260"/>
        <w:spacing w:after="0"/>
        <w:rPr>
          <w:sz w:val="20"/>
          <w:szCs w:val="20"/>
          <w:color w:val="auto"/>
        </w:rPr>
      </w:pPr>
      <w:r>
        <w:rPr>
          <w:rFonts w:ascii="Arial" w:cs="Arial" w:eastAsia="Arial" w:hAnsi="Arial"/>
          <w:sz w:val="14"/>
          <w:szCs w:val="14"/>
          <w:color w:val="auto"/>
        </w:rPr>
        <w:t>(Do not check if a</w:t>
      </w:r>
    </w:p>
    <w:p>
      <w:pPr>
        <w:spacing w:after="0" w:line="21" w:lineRule="exact"/>
        <w:rPr>
          <w:sz w:val="24"/>
          <w:szCs w:val="24"/>
          <w:color w:val="auto"/>
        </w:rPr>
      </w:pPr>
    </w:p>
    <w:p>
      <w:pPr>
        <w:ind w:left="5960"/>
        <w:spacing w:after="0"/>
        <w:rPr>
          <w:sz w:val="20"/>
          <w:szCs w:val="20"/>
          <w:color w:val="auto"/>
        </w:rPr>
      </w:pPr>
      <w:r>
        <w:rPr>
          <w:rFonts w:ascii="Arial" w:cs="Arial" w:eastAsia="Arial" w:hAnsi="Arial"/>
          <w:sz w:val="13"/>
          <w:szCs w:val="13"/>
          <w:color w:val="auto"/>
        </w:rPr>
        <w:t>smaller reporting company)</w:t>
      </w:r>
    </w:p>
    <w:p>
      <w:pPr>
        <w:sectPr>
          <w:pgSz w:w="11900" w:h="16838" w:orient="portrait"/>
          <w:cols w:equalWidth="0" w:num="1">
            <w:col w:w="11420"/>
          </w:cols>
          <w:pgMar w:left="240" w:top="233" w:right="239" w:bottom="1440" w:gutter="0" w:footer="0" w:header="0"/>
          <w:type w:val="continuous"/>
        </w:sectPr>
      </w:pPr>
    </w:p>
    <w:p>
      <w:pPr>
        <w:spacing w:after="0" w:line="15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2">
            <w:col w:w="8300" w:space="180"/>
            <w:col w:w="2940"/>
          </w:cols>
          <w:pgMar w:left="240" w:top="233" w:right="239" w:bottom="1440" w:gutter="0" w:footer="0" w:header="0"/>
          <w:type w:val="continuous"/>
        </w:sectPr>
      </w:pPr>
    </w:p>
    <w:p>
      <w:pPr>
        <w:spacing w:after="0" w:line="102" w:lineRule="exact"/>
        <w:rPr>
          <w:sz w:val="24"/>
          <w:szCs w:val="24"/>
          <w:color w:val="auto"/>
        </w:rPr>
      </w:pPr>
    </w:p>
    <w:p>
      <w:pPr>
        <w:ind w:left="420"/>
        <w:spacing w:after="0"/>
        <w:rPr>
          <w:sz w:val="20"/>
          <w:szCs w:val="20"/>
          <w:color w:val="auto"/>
        </w:rPr>
      </w:pPr>
      <w:r>
        <w:rPr>
          <w:rFonts w:ascii="Arial" w:cs="Arial" w:eastAsia="Arial" w:hAnsi="Arial"/>
          <w:sz w:val="16"/>
          <w:szCs w:val="16"/>
          <w:color w:val="auto"/>
        </w:rPr>
        <w:t>As of July 31, 2014, there were 85,153,226 shares of common stock, $0.001 par value per share, of iStar Financial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196"/>
        </w:trPr>
        <w:tc>
          <w:tcPr>
            <w:tcW w:w="500" w:type="dxa"/>
            <w:vAlign w:val="bottom"/>
            <w:tcBorders>
              <w:bottom w:val="single" w:sz="8" w:color="0000EE"/>
            </w:tcBorders>
          </w:tcPr>
          <w:p>
            <w:pPr>
              <w:spacing w:after="0" w:line="170" w:lineRule="exact"/>
              <w:rPr>
                <w:rFonts w:ascii="Arial" w:cs="Arial" w:eastAsia="Arial" w:hAnsi="Arial"/>
                <w:sz w:val="18"/>
                <w:szCs w:val="18"/>
                <w:b w:val="1"/>
                <w:bCs w:val="1"/>
                <w:color w:val="0000EE"/>
                <w:w w:val="95"/>
              </w:rPr>
            </w:pPr>
            <w:hyperlink w:anchor="page2">
              <w:r>
                <w:rPr>
                  <w:rFonts w:ascii="Arial" w:cs="Arial" w:eastAsia="Arial" w:hAnsi="Arial"/>
                  <w:sz w:val="18"/>
                  <w:szCs w:val="18"/>
                  <w:b w:val="1"/>
                  <w:bCs w:val="1"/>
                  <w:color w:val="0000EE"/>
                  <w:w w:val="95"/>
                </w:rPr>
                <w:t>Part I.</w:t>
              </w:r>
            </w:hyperlink>
          </w:p>
        </w:tc>
        <w:tc>
          <w:tcPr>
            <w:tcW w:w="660" w:type="dxa"/>
            <w:vAlign w:val="bottom"/>
            <w:gridSpan w:val="3"/>
          </w:tcPr>
          <w:p>
            <w:pPr>
              <w:spacing w:after="0"/>
              <w:rPr>
                <w:sz w:val="17"/>
                <w:szCs w:val="17"/>
                <w:color w:val="auto"/>
              </w:rPr>
            </w:pPr>
          </w:p>
        </w:tc>
        <w:tc>
          <w:tcPr>
            <w:tcW w:w="4000" w:type="dxa"/>
            <w:vAlign w:val="bottom"/>
            <w:tcBorders>
              <w:bottom w:val="single" w:sz="8" w:color="0000EE"/>
            </w:tcBorders>
            <w:gridSpan w:val="10"/>
          </w:tcPr>
          <w:p>
            <w:pPr>
              <w:spacing w:after="0" w:line="170" w:lineRule="exact"/>
              <w:rPr>
                <w:rFonts w:ascii="Arial" w:cs="Arial" w:eastAsia="Arial" w:hAnsi="Arial"/>
                <w:sz w:val="18"/>
                <w:szCs w:val="18"/>
                <w:color w:val="0000EE"/>
              </w:rPr>
            </w:pPr>
            <w:hyperlink w:anchor="page2">
              <w:r>
                <w:rPr>
                  <w:rFonts w:ascii="Arial" w:cs="Arial" w:eastAsia="Arial" w:hAnsi="Arial"/>
                  <w:sz w:val="18"/>
                  <w:szCs w:val="18"/>
                  <w:color w:val="0000EE"/>
                </w:rPr>
                <w:t>Consolidated Financial Information</w:t>
              </w:r>
            </w:hyperlink>
          </w:p>
        </w:tc>
        <w:tc>
          <w:tcPr>
            <w:tcW w:w="5540" w:type="dxa"/>
            <w:vAlign w:val="bottom"/>
            <w:gridSpan w:val="8"/>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2">
              <w:r>
                <w:rPr>
                  <w:rFonts w:ascii="Arial" w:cs="Arial" w:eastAsia="Arial" w:hAnsi="Arial"/>
                  <w:sz w:val="18"/>
                  <w:szCs w:val="18"/>
                  <w:color w:val="0000EE"/>
                  <w:w w:val="79"/>
                </w:rPr>
                <w:t>1</w:t>
              </w:r>
            </w:hyperlink>
          </w:p>
        </w:tc>
        <w:tc>
          <w:tcPr>
            <w:tcW w:w="20" w:type="dxa"/>
            <w:vAlign w:val="bottom"/>
          </w:tcPr>
          <w:p>
            <w:pPr>
              <w:spacing w:after="0"/>
              <w:rPr>
                <w:sz w:val="17"/>
                <w:szCs w:val="17"/>
                <w:color w:val="auto"/>
              </w:rPr>
            </w:pPr>
          </w:p>
        </w:tc>
      </w:tr>
      <w:tr>
        <w:trPr>
          <w:trHeight w:val="257"/>
        </w:trPr>
        <w:tc>
          <w:tcPr>
            <w:tcW w:w="116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5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1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(unaudited) as of June 30, 2014 and December 31, 2013</w:t>
              </w:r>
            </w:hyperlink>
          </w:p>
        </w:tc>
        <w:tc>
          <w:tcPr>
            <w:tcW w:w="3380" w:type="dxa"/>
            <w:vAlign w:val="bottom"/>
            <w:gridSpan w:val="6"/>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Operations (unaudited)—For the three and six months ended June 30, 2014 and 2013</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Statements of Comprehensive Income (Loss) (unaudited)—For the three and six months ended June 30, 2014 and</w:t>
              </w:r>
            </w:hyperlink>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2013</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Changes in Equity (unaudited)—For the six months ended June 30, 2014 and 2013</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900" w:type="dxa"/>
            <w:vAlign w:val="bottom"/>
            <w:tcBorders>
              <w:top w:val="single" w:sz="8" w:color="0000EE"/>
            </w:tcBorders>
            <w:gridSpan w:val="15"/>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Consolidated Statements of Cash Flows (unaudited)—For the six months ended June 30, 2014 and 2013</w:t>
              </w:r>
            </w:hyperlink>
          </w:p>
        </w:tc>
        <w:tc>
          <w:tcPr>
            <w:tcW w:w="164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80" w:type="dxa"/>
            <w:vAlign w:val="bottom"/>
            <w:tcBorders>
              <w:top w:val="single" w:sz="8" w:color="0000EE"/>
            </w:tcBorders>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206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954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3.</w:t>
              </w:r>
            </w:hyperlink>
          </w:p>
        </w:tc>
        <w:tc>
          <w:tcPr>
            <w:tcW w:w="954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tcBorders>
              <w:left w:val="single" w:sz="8" w:color="0000EE"/>
            </w:tcBorders>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4.</w:t>
              </w:r>
            </w:hyperlink>
          </w:p>
        </w:tc>
        <w:tc>
          <w:tcPr>
            <w:tcW w:w="954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w:t>
              </w:r>
            </w:hyperlink>
          </w:p>
        </w:tc>
        <w:tc>
          <w:tcPr>
            <w:tcW w:w="954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Item 1.</w:t>
              </w:r>
            </w:hyperlink>
          </w:p>
        </w:tc>
        <w:tc>
          <w:tcPr>
            <w:tcW w:w="600" w:type="dxa"/>
            <w:vAlign w:val="bottom"/>
            <w:gridSpan w:val="2"/>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Item 1A.</w:t>
              </w:r>
            </w:hyperlink>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2.</w:t>
              </w:r>
            </w:hyperlink>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3.</w:t>
              </w:r>
            </w:hyperlink>
          </w:p>
        </w:tc>
        <w:tc>
          <w:tcPr>
            <w:tcW w:w="954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Defaults Upon Senior Securities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4.</w:t>
              </w:r>
            </w:hyperlink>
          </w:p>
        </w:tc>
        <w:tc>
          <w:tcPr>
            <w:tcW w:w="954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5.</w:t>
              </w:r>
            </w:hyperlink>
          </w:p>
        </w:tc>
        <w:tc>
          <w:tcPr>
            <w:tcW w:w="954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6.</w:t>
              </w:r>
            </w:hyperlink>
          </w:p>
        </w:tc>
        <w:tc>
          <w:tcPr>
            <w:tcW w:w="954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96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EE"/>
                <w:w w:val="94"/>
              </w:rPr>
            </w:pPr>
            <w:hyperlink w:anchor="page51">
              <w:r>
                <w:rPr>
                  <w:rFonts w:ascii="Arial" w:cs="Arial" w:eastAsia="Arial" w:hAnsi="Arial"/>
                  <w:sz w:val="18"/>
                  <w:szCs w:val="18"/>
                  <w:b w:val="1"/>
                  <w:bCs w:val="1"/>
                  <w:color w:val="0000EE"/>
                  <w:w w:val="94"/>
                </w:rPr>
                <w:t>SIGNATURES</w:t>
              </w:r>
            </w:hyperlink>
          </w:p>
        </w:tc>
        <w:tc>
          <w:tcPr>
            <w:tcW w:w="9540" w:type="dxa"/>
            <w:vAlign w:val="bottom"/>
            <w:gridSpan w:val="1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at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3,184,770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3,220,634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(443,380)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(424,453)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2,741,390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2,796,181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354,814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360,517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3,096,204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3,156,698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Loans receivable and other lending investments, net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1,456,407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1,370,109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207,209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356,513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513,568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48,769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interest and operating lease income receivable, net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14,335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14,941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operating lease income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92,737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187,148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237,980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5,473,485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5,642,011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136,850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170,831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4,082,511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4,158,125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4,219,361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4,328,956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11,433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11,590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iStar Financial Inc. shareholders' equity: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Series D, E, F, G and I, liquidation preference $25.00 per share (see Note 11)</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Convertible Preferred Stock Series J, liquidation preference $50.00 per share (see Note 11)</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 Performance Units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1"/>
              </w:rPr>
              <w:t>Common Stock, $0.001 par value, 200,000 shares authorized, 145,770 issued and 85,153 outstanding at June 30,</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2014 and 144,334 issued and 83,717 outstanding at December 31, 2013</w:t>
            </w:r>
          </w:p>
        </w:tc>
        <w:tc>
          <w:tcPr>
            <w:tcW w:w="3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4,009,462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4,022,138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Retained earnings (deficit)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(2,565,828)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(2,521,618)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 (see Note 11)</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Treasury stock, at cost, $0.001 par value, 60,617 shares at June 30, 2014 and December 31, 2013</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(262,954)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(262,954)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iStar Financial Inc. 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1,243,260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55,786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58,205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1,242,691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1,301,465</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5,473,485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5,642,011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56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9"/>
              </w:rPr>
              <w:t>For the Three Months Ended June 30,</w:t>
            </w:r>
          </w:p>
        </w:tc>
        <w:tc>
          <w:tcPr>
            <w:tcW w:w="220" w:type="dxa"/>
            <w:vAlign w:val="bottom"/>
          </w:tcPr>
          <w:p>
            <w:pPr>
              <w:spacing w:after="0"/>
              <w:rPr>
                <w:sz w:val="14"/>
                <w:szCs w:val="14"/>
                <w:color w:val="auto"/>
              </w:rPr>
            </w:pPr>
          </w:p>
        </w:tc>
        <w:tc>
          <w:tcPr>
            <w:tcW w:w="212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560" w:type="dxa"/>
            <w:vAlign w:val="bottom"/>
            <w:gridSpan w:val="6"/>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Operating lease income</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60,967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57,112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123,075</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115,128</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63,041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54,349</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29,262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13,125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43,846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24,544</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Land sales revenue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52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129,843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99,919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238,592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194,021</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56,530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69,157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113,986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140,723</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 estate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74,815</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Land cost of sales</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7,265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37,435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34,653</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26,623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20,876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46,411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42,723</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(recovery of) loan losses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15,226</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3,300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6,279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5,770</w:t>
            </w:r>
          </w:p>
        </w:tc>
        <w:tc>
          <w:tcPr>
            <w:tcW w:w="0" w:type="dxa"/>
            <w:vAlign w:val="bottom"/>
          </w:tcPr>
          <w:p>
            <w:pPr>
              <w:spacing w:after="0"/>
              <w:rPr>
                <w:sz w:val="1"/>
                <w:szCs w:val="1"/>
                <w:color w:val="auto"/>
              </w:rPr>
            </w:pPr>
          </w:p>
        </w:tc>
      </w:tr>
      <w:tr>
        <w:trPr>
          <w:trHeight w:val="217"/>
        </w:trPr>
        <w:tc>
          <w:tcPr>
            <w:tcW w:w="6520" w:type="dxa"/>
            <w:vAlign w:val="bottom"/>
          </w:tcPr>
          <w:p>
            <w:pPr>
              <w:ind w:left="280"/>
              <w:spacing w:after="0"/>
              <w:rPr>
                <w:sz w:val="20"/>
                <w:szCs w:val="20"/>
                <w:color w:val="auto"/>
              </w:rPr>
            </w:pPr>
            <w:r>
              <w:rPr>
                <w:rFonts w:ascii="Arial" w:cs="Arial" w:eastAsia="Arial" w:hAnsi="Arial"/>
                <w:sz w:val="16"/>
                <w:szCs w:val="16"/>
                <w:color w:val="auto"/>
              </w:rPr>
              <w:t>Total costs and expenses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151,338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149,510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293,262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313,910</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earnings from equity method investments and other items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(49,591)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(54,670)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(119,889)</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Loss on early extinguishment of debt, net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(24,767)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(24,784)</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from equity method investments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24,093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27,270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30,001</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(20,989)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(56,510)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(52,167)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(114,672)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(4,504)</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Income (loss) from continuing operations(1)</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(20,774)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(56,939)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(51,445)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(119,176)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Gain from discontinued operations</w:t>
            </w: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8,279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13,323</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sales of residential property</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17,180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58,016</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(14,398)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(17,771)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(46,651)</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Net income (loss) attributable to iStar Financial Inc.</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(3,919)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(14,087)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(18,550)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(46,151)</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dividends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(23,360)</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Net (income) loss allocable to HPU holders and Participating Security holders(2)(3)</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2,247</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allocable to common shareholders</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(67,264)</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common share data(1):</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attributable to iStar Financial Inc.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iStar Financial Inc.: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(0.79)</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Weighted average number of common shares—basic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84,916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85,125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84,868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84,975</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Per HPU share data(1)(2):</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attributable to iStar Financial Inc.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(36.13)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(75.41)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(95.40)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(181.07)</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iStar Financial Inc.: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(36.13)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(57.74)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(95.40)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(149.81)</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number of HPU shares—basic and diluted</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6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1" w:lineRule="exact"/>
        <w:rPr>
          <w:sz w:val="20"/>
          <w:szCs w:val="20"/>
          <w:color w:val="auto"/>
        </w:rPr>
      </w:pPr>
    </w:p>
    <w:p>
      <w:pPr>
        <w:ind w:left="660" w:hanging="652"/>
        <w:spacing w:after="0" w:line="269"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Income (loss) from continuing operations attributable to iStar Financial Inc. was $(21.1) million and $(52.2) million for the three and six months ended June 30, 2014, respectively, and $(56.6) million and $(118.7) million for the three and six months ended June 30, 2013, respectively. See Note 13 for details on the calculation of earnings per share.</w:t>
      </w:r>
    </w:p>
    <w:p>
      <w:pPr>
        <w:spacing w:after="0" w:line="1" w:lineRule="exact"/>
        <w:rPr>
          <w:rFonts w:ascii="Arial" w:cs="Arial" w:eastAsia="Arial" w:hAnsi="Arial"/>
          <w:sz w:val="13"/>
          <w:szCs w:val="13"/>
          <w:color w:val="auto"/>
        </w:rPr>
      </w:pPr>
    </w:p>
    <w:p>
      <w:pPr>
        <w:ind w:left="660" w:hanging="652"/>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HPU holders are current and former Company employees who purchased high performance common stock units under the Company's High Performance Unit Program.</w:t>
      </w:r>
    </w:p>
    <w:p>
      <w:pPr>
        <w:spacing w:after="0" w:line="1" w:lineRule="exact"/>
        <w:rPr>
          <w:rFonts w:ascii="Arial" w:cs="Arial" w:eastAsia="Arial" w:hAnsi="Arial"/>
          <w:sz w:val="14"/>
          <w:szCs w:val="14"/>
          <w:color w:val="auto"/>
        </w:rPr>
      </w:pPr>
    </w:p>
    <w:p>
      <w:pPr>
        <w:ind w:left="660" w:right="20" w:hanging="652"/>
        <w:spacing w:after="0" w:line="255"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Participating Security holders are Company employees and directors who hold unvested restricted stock units, restricted stock awards and common stock equivalents granted under the Company's Long Term Incentive Plans that are eligible to participate in dividends (see Note 12 and Note 13).</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5" w:right="239" w:bottom="5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57"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300" w:type="dxa"/>
            <w:vAlign w:val="bottom"/>
          </w:tcPr>
          <w:p>
            <w:pPr>
              <w:spacing w:after="0"/>
              <w:rPr>
                <w:sz w:val="14"/>
                <w:szCs w:val="14"/>
                <w:color w:val="auto"/>
              </w:rPr>
            </w:pPr>
          </w:p>
        </w:tc>
        <w:tc>
          <w:tcPr>
            <w:tcW w:w="232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vMerge w:val="continue"/>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(46,651)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Reclassification of (gains)/losses on available-for-sale securities into earnings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upon realization(1)</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rPr>
              <w:t>Reclassification of (gains)/losses on cash flow hedges into earnings upon</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realization(2)</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Realization of (gains)/losses on cumulative translation adjustment into earnings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upon realization(1)</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Unrealized gains/(losses) on available-for-sale securities</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gains/(losses) on cash flow hedges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Unrealized gains/(losses) on cumulative translation adjustment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(47,832)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iStar Financial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(47,332)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"Earnings from equity method investments" on the Company's Consolidated Statements of Operations.</w:t>
      </w:r>
    </w:p>
    <w:p>
      <w:pPr>
        <w:spacing w:after="0" w:line="13" w:lineRule="exact"/>
        <w:rPr>
          <w:rFonts w:ascii="Arial" w:cs="Arial" w:eastAsia="Arial" w:hAnsi="Arial"/>
          <w:sz w:val="14"/>
          <w:szCs w:val="14"/>
          <w:color w:val="auto"/>
        </w:rPr>
      </w:pPr>
    </w:p>
    <w:p>
      <w:pPr>
        <w:jc w:val="both"/>
        <w:ind w:left="660" w:hanging="652"/>
        <w:spacing w:after="0" w:line="248"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three and six months ended June 30, 2014, $3,634 is included in "Other expense" on the Company's Consolidated Statements of Operations (see Note 10). Included in "Interest expense" on the Company's Consolidated Statements of Operations are $(39) and $96 for the three and six months ended June 30, 2014, respectively, and $79 and $151 for the three and six months ended June 30, 2013, respectively.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2014 and 2013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iStar Financial Inc. Shareholders' Equity</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Preferred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Retained</w:t>
            </w: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2"/>
            <w:vMerge w:val="continue"/>
          </w:tcPr>
          <w:p>
            <w:pPr>
              <w:spacing w:after="0"/>
              <w:rPr>
                <w:sz w:val="12"/>
                <w:szCs w:val="12"/>
                <w:color w:val="auto"/>
              </w:rPr>
            </w:pPr>
          </w:p>
        </w:tc>
        <w:tc>
          <w:tcPr>
            <w:tcW w:w="1140" w:type="dxa"/>
            <w:vAlign w:val="bottom"/>
            <w:tcBorders>
              <w:right w:val="single" w:sz="8" w:color="auto"/>
            </w:tcBorders>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Noncontrolling</w:t>
            </w:r>
          </w:p>
        </w:tc>
        <w:tc>
          <w:tcPr>
            <w:tcW w:w="9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Series</w:t>
            </w: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HPU's</w:t>
            </w:r>
          </w:p>
        </w:tc>
        <w:tc>
          <w:tcPr>
            <w:tcW w:w="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Stock at</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Stock at</w:t>
            </w:r>
          </w:p>
        </w:tc>
        <w:tc>
          <w:tcPr>
            <w:tcW w:w="1140" w:type="dxa"/>
            <w:vAlign w:val="bottom"/>
            <w:tcBorders>
              <w:right w:val="single" w:sz="8" w:color="auto"/>
            </w:tcBorders>
            <w:gridSpan w:val="3"/>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2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Stock(1)</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J(1)</w:t>
            </w: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Par</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(Deficit)</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Income (Loss)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9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Interests</w:t>
            </w:r>
          </w:p>
        </w:tc>
        <w:tc>
          <w:tcPr>
            <w:tcW w:w="960" w:type="dxa"/>
            <w:vAlign w:val="bottom"/>
          </w:tcPr>
          <w:p>
            <w:pPr>
              <w:jc w:val="right"/>
              <w:ind w:right="19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1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w:t>
            </w: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$ 9,800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$4,022,138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$(2,521,618)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(262,954)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58,205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$1,301,465</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preferred</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(25,660)</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stock/restricted stock</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 amortization, net</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(12,022)</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Net loss for the</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period(2)</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(18,550)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1,588</w:t>
            </w:r>
          </w:p>
        </w:tc>
        <w:tc>
          <w:tcPr>
            <w:tcW w:w="120" w:type="dxa"/>
            <w:vAlign w:val="bottom"/>
            <w:tcBorders>
              <w:right w:val="single" w:sz="8" w:color="auto"/>
            </w:tcBorders>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(16,962)</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Change in accumulated</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Additional paid in</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40"/>
              <w:spacing w:after="0"/>
              <w:rPr>
                <w:sz w:val="20"/>
                <w:szCs w:val="20"/>
                <w:color w:val="auto"/>
              </w:rPr>
            </w:pPr>
            <w:r>
              <w:rPr>
                <w:rFonts w:ascii="Arial" w:cs="Arial" w:eastAsia="Arial" w:hAnsi="Arial"/>
                <w:sz w:val="18"/>
                <w:szCs w:val="18"/>
                <w:color w:val="auto"/>
              </w:rPr>
              <w:t>capital attributable to</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40"/>
              <w:spacing w:after="0"/>
              <w:rPr>
                <w:sz w:val="20"/>
                <w:szCs w:val="20"/>
                <w:color w:val="auto"/>
              </w:rPr>
            </w:pPr>
            <w:r>
              <w:rPr>
                <w:rFonts w:ascii="Arial" w:cs="Arial" w:eastAsia="Arial" w:hAnsi="Arial"/>
                <w:sz w:val="18"/>
                <w:szCs w:val="18"/>
                <w:color w:val="auto"/>
              </w:rPr>
              <w:t>redeemable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Distributions to</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(4,479)</w:t>
            </w:r>
          </w:p>
        </w:tc>
        <w:tc>
          <w:tcPr>
            <w:tcW w:w="120" w:type="dxa"/>
            <w:vAlign w:val="bottom"/>
            <w:tcBorders>
              <w:right w:val="single" w:sz="8" w:color="auto"/>
            </w:tcBorders>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89"/>
              </w:rPr>
              <w:t>$ 9,800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0"/>
              </w:rPr>
              <w:t>$4,009,462</w:t>
            </w:r>
          </w:p>
        </w:tc>
        <w:tc>
          <w:tcPr>
            <w:tcW w:w="10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$(2,565,828)</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 (262,954)</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55,786</w:t>
            </w: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w w:val="88"/>
              </w:rPr>
              <w:t>$ 1,242,691</w:t>
            </w: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11 for details on the Company's Cumulative Redeemable Preferred Stock.</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six months ended June 30, 2014, net loss shown above excludes $809 of net loss attributable to redeemable noncontrolling interests.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Changes in Equity (Continued)</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Six Months Ended June 30, 2014 and 2013</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iStar Financial Inc. Shareholders' Equity</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Preferred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Retained</w:t>
            </w: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2"/>
            <w:vMerge w:val="continue"/>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Series</w:t>
            </w: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HPU's</w:t>
            </w:r>
          </w:p>
        </w:tc>
        <w:tc>
          <w:tcPr>
            <w:tcW w:w="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Stock at</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Stock at</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Stock(1)</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J(1)</w:t>
            </w: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Par</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(Deficit)</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Income (Loss)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840" w:type="dxa"/>
            <w:vAlign w:val="bottom"/>
          </w:tcPr>
          <w:p>
            <w:pPr>
              <w:jc w:val="right"/>
              <w:ind w:right="152"/>
              <w:spacing w:after="0"/>
              <w:rPr>
                <w:sz w:val="20"/>
                <w:szCs w:val="20"/>
                <w:color w:val="auto"/>
              </w:rPr>
            </w:pPr>
            <w:r>
              <w:rPr>
                <w:rFonts w:ascii="Arial" w:cs="Arial" w:eastAsia="Arial" w:hAnsi="Arial"/>
                <w:sz w:val="14"/>
                <w:szCs w:val="14"/>
                <w:b w:val="1"/>
                <w:bCs w:val="1"/>
                <w:color w:val="auto"/>
                <w:w w:val="99"/>
              </w:rPr>
              <w:t>Interests</w:t>
            </w:r>
          </w:p>
        </w:tc>
        <w:tc>
          <w:tcPr>
            <w:tcW w:w="0" w:type="dxa"/>
            <w:vAlign w:val="bottom"/>
          </w:tcPr>
          <w:p>
            <w:pPr>
              <w:spacing w:after="0"/>
              <w:rPr>
                <w:sz w:val="1"/>
                <w:szCs w:val="1"/>
                <w:color w:val="auto"/>
              </w:rPr>
            </w:pPr>
          </w:p>
        </w:tc>
      </w:tr>
      <w:tr>
        <w:trPr>
          <w:trHeight w:val="215"/>
        </w:trPr>
        <w:tc>
          <w:tcPr>
            <w:tcW w:w="1880" w:type="dxa"/>
            <w:vAlign w:val="bottom"/>
          </w:tcPr>
          <w:p>
            <w:pPr>
              <w:spacing w:after="0"/>
              <w:rPr>
                <w:sz w:val="20"/>
                <w:szCs w:val="20"/>
                <w:color w:val="auto"/>
              </w:rPr>
            </w:pPr>
            <w:r>
              <w:rPr>
                <w:rFonts w:ascii="Arial" w:cs="Arial" w:eastAsia="Arial" w:hAnsi="Arial"/>
                <w:sz w:val="18"/>
                <w:szCs w:val="18"/>
                <w:color w:val="auto"/>
              </w:rPr>
              <w:t>Balance at December</w:t>
            </w: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31, 2012</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89"/>
              </w:rPr>
              <w:t>$ 9,800</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w w:val="90"/>
              </w:rPr>
              <w:t>$3,832,780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2"/>
              </w:rPr>
              <w:t>$(2,360,647)</w:t>
            </w:r>
          </w:p>
        </w:tc>
        <w:tc>
          <w:tcPr>
            <w:tcW w:w="100" w:type="dxa"/>
            <w:vAlign w:val="bottom"/>
          </w:tcPr>
          <w:p>
            <w:pPr>
              <w:spacing w:after="0"/>
              <w:rPr>
                <w:sz w:val="20"/>
                <w:szCs w:val="20"/>
                <w:color w:val="auto"/>
              </w:rPr>
            </w:pPr>
          </w:p>
        </w:tc>
        <w:tc>
          <w:tcPr>
            <w:tcW w:w="220" w:type="dxa"/>
            <w:vAlign w:val="bottom"/>
          </w:tcPr>
          <w:p>
            <w:pPr>
              <w:jc w:val="right"/>
              <w:ind w:right="21"/>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 (241,969)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74,210</w:t>
            </w:r>
          </w:p>
        </w:tc>
        <w:tc>
          <w:tcPr>
            <w:tcW w:w="0" w:type="dxa"/>
            <w:vAlign w:val="bottom"/>
          </w:tcPr>
          <w:p>
            <w:pPr>
              <w:spacing w:after="0"/>
              <w:rPr>
                <w:sz w:val="1"/>
                <w:szCs w:val="1"/>
                <w:color w:val="auto"/>
              </w:rPr>
            </w:pPr>
          </w:p>
        </w:tc>
      </w:tr>
      <w:tr>
        <w:trPr>
          <w:trHeight w:val="256"/>
        </w:trPr>
        <w:tc>
          <w:tcPr>
            <w:tcW w:w="1880" w:type="dxa"/>
            <w:vAlign w:val="bottom"/>
          </w:tcPr>
          <w:p>
            <w:pPr>
              <w:spacing w:after="0"/>
              <w:rPr>
                <w:sz w:val="20"/>
                <w:szCs w:val="20"/>
                <w:color w:val="auto"/>
              </w:rPr>
            </w:pPr>
            <w:r>
              <w:rPr>
                <w:rFonts w:ascii="Arial" w:cs="Arial" w:eastAsia="Arial" w:hAnsi="Arial"/>
                <w:sz w:val="18"/>
                <w:szCs w:val="18"/>
                <w:color w:val="auto"/>
              </w:rPr>
              <w:t>Issuance of Preferred</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193,506</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880" w:type="dxa"/>
            <w:vAlign w:val="bottom"/>
          </w:tcPr>
          <w:p>
            <w:pPr>
              <w:spacing w:after="0"/>
              <w:rPr>
                <w:sz w:val="20"/>
                <w:szCs w:val="20"/>
                <w:color w:val="auto"/>
              </w:rPr>
            </w:pPr>
            <w:r>
              <w:rPr>
                <w:rFonts w:ascii="Arial" w:cs="Arial" w:eastAsia="Arial" w:hAnsi="Arial"/>
                <w:sz w:val="18"/>
                <w:szCs w:val="18"/>
                <w:color w:val="auto"/>
              </w:rPr>
              <w:t>Dividends declared—</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preferred</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(23,360)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880" w:type="dxa"/>
            <w:vAlign w:val="bottom"/>
          </w:tcPr>
          <w:p>
            <w:pPr>
              <w:spacing w:after="0"/>
              <w:rPr>
                <w:sz w:val="20"/>
                <w:szCs w:val="20"/>
                <w:color w:val="auto"/>
              </w:rPr>
            </w:pPr>
            <w:r>
              <w:rPr>
                <w:rFonts w:ascii="Arial" w:cs="Arial" w:eastAsia="Arial" w:hAnsi="Arial"/>
                <w:sz w:val="18"/>
                <w:szCs w:val="18"/>
                <w:color w:val="auto"/>
              </w:rPr>
              <w:t>Issuance of</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stock/restricted stock</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unit amortization, net</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(5,119)</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880" w:type="dxa"/>
            <w:vAlign w:val="bottom"/>
          </w:tcPr>
          <w:p>
            <w:pPr>
              <w:spacing w:after="0"/>
              <w:rPr>
                <w:sz w:val="20"/>
                <w:szCs w:val="20"/>
                <w:color w:val="auto"/>
              </w:rPr>
            </w:pPr>
            <w:r>
              <w:rPr>
                <w:rFonts w:ascii="Arial" w:cs="Arial" w:eastAsia="Arial" w:hAnsi="Arial"/>
                <w:sz w:val="18"/>
                <w:szCs w:val="18"/>
                <w:color w:val="auto"/>
              </w:rPr>
              <w:t>Net loss for the</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period(2)</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(46,151)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56"/>
        </w:trPr>
        <w:tc>
          <w:tcPr>
            <w:tcW w:w="1880" w:type="dxa"/>
            <w:vAlign w:val="bottom"/>
          </w:tcPr>
          <w:p>
            <w:pPr>
              <w:spacing w:after="0"/>
              <w:rPr>
                <w:sz w:val="20"/>
                <w:szCs w:val="20"/>
                <w:color w:val="auto"/>
              </w:rPr>
            </w:pPr>
            <w:r>
              <w:rPr>
                <w:rFonts w:ascii="Arial" w:cs="Arial" w:eastAsia="Arial" w:hAnsi="Arial"/>
                <w:sz w:val="18"/>
                <w:szCs w:val="18"/>
                <w:color w:val="auto"/>
                <w:w w:val="98"/>
              </w:rPr>
              <w:t>Change in accumulated</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other comprehensive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income (loss)</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880" w:type="dxa"/>
            <w:vAlign w:val="bottom"/>
          </w:tcPr>
          <w:p>
            <w:pPr>
              <w:spacing w:after="0"/>
              <w:rPr>
                <w:sz w:val="20"/>
                <w:szCs w:val="20"/>
                <w:color w:val="auto"/>
              </w:rPr>
            </w:pPr>
            <w:r>
              <w:rPr>
                <w:rFonts w:ascii="Arial" w:cs="Arial" w:eastAsia="Arial" w:hAnsi="Arial"/>
                <w:sz w:val="18"/>
                <w:szCs w:val="18"/>
                <w:color w:val="auto"/>
              </w:rPr>
              <w:t>Additional paid in</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capital attributable to</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redeemable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noncontrolling</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interest(4)</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880" w:type="dxa"/>
            <w:vAlign w:val="bottom"/>
          </w:tcPr>
          <w:p>
            <w:pPr>
              <w:spacing w:after="0"/>
              <w:rPr>
                <w:sz w:val="20"/>
                <w:szCs w:val="20"/>
                <w:color w:val="auto"/>
              </w:rPr>
            </w:pPr>
            <w:r>
              <w:rPr>
                <w:rFonts w:ascii="Arial" w:cs="Arial" w:eastAsia="Arial" w:hAnsi="Arial"/>
                <w:sz w:val="18"/>
                <w:szCs w:val="18"/>
                <w:color w:val="auto"/>
              </w:rPr>
              <w:t>Contributions from</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noncontrolling</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interests(3)</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9,687</w:t>
            </w:r>
          </w:p>
        </w:tc>
        <w:tc>
          <w:tcPr>
            <w:tcW w:w="0" w:type="dxa"/>
            <w:vAlign w:val="bottom"/>
          </w:tcPr>
          <w:p>
            <w:pPr>
              <w:spacing w:after="0"/>
              <w:rPr>
                <w:sz w:val="1"/>
                <w:szCs w:val="1"/>
                <w:color w:val="auto"/>
              </w:rPr>
            </w:pPr>
          </w:p>
        </w:tc>
      </w:tr>
      <w:tr>
        <w:trPr>
          <w:trHeight w:val="256"/>
        </w:trPr>
        <w:tc>
          <w:tcPr>
            <w:tcW w:w="1880" w:type="dxa"/>
            <w:vAlign w:val="bottom"/>
          </w:tcPr>
          <w:p>
            <w:pPr>
              <w:spacing w:after="0"/>
              <w:rPr>
                <w:sz w:val="20"/>
                <w:szCs w:val="20"/>
                <w:color w:val="auto"/>
              </w:rPr>
            </w:pPr>
            <w:r>
              <w:rPr>
                <w:rFonts w:ascii="Arial" w:cs="Arial" w:eastAsia="Arial" w:hAnsi="Arial"/>
                <w:sz w:val="18"/>
                <w:szCs w:val="18"/>
                <w:color w:val="auto"/>
              </w:rPr>
              <w:t>Distributions to</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noncontrolling</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interests(4)</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(20,404)</w:t>
            </w:r>
          </w:p>
        </w:tc>
        <w:tc>
          <w:tcPr>
            <w:tcW w:w="0" w:type="dxa"/>
            <w:vAlign w:val="bottom"/>
          </w:tcPr>
          <w:p>
            <w:pPr>
              <w:spacing w:after="0"/>
              <w:rPr>
                <w:sz w:val="1"/>
                <w:szCs w:val="1"/>
                <w:color w:val="auto"/>
              </w:rPr>
            </w:pPr>
          </w:p>
        </w:tc>
      </w:tr>
      <w:tr>
        <w:trPr>
          <w:trHeight w:val="27"/>
        </w:trPr>
        <w:tc>
          <w:tcPr>
            <w:tcW w:w="1880" w:type="dxa"/>
            <w:vAlign w:val="bottom"/>
            <w:vMerge w:val="restart"/>
          </w:tcPr>
          <w:p>
            <w:pPr>
              <w:spacing w:after="0"/>
              <w:rPr>
                <w:sz w:val="20"/>
                <w:szCs w:val="20"/>
                <w:color w:val="auto"/>
              </w:rPr>
            </w:pPr>
            <w:r>
              <w:rPr>
                <w:rFonts w:ascii="Arial" w:cs="Arial" w:eastAsia="Arial" w:hAnsi="Arial"/>
                <w:sz w:val="18"/>
                <w:szCs w:val="18"/>
                <w:color w:val="auto"/>
              </w:rPr>
              <w:t>Balance at June 30,</w:t>
            </w: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80" w:type="dxa"/>
            <w:vAlign w:val="bottom"/>
            <w:vMerge w:val="continue"/>
          </w:tcPr>
          <w:p>
            <w:pPr>
              <w:spacing w:after="0"/>
              <w:rPr>
                <w:sz w:val="18"/>
                <w:szCs w:val="18"/>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8"/>
                <w:szCs w:val="18"/>
                <w:color w:val="auto"/>
                <w:w w:val="89"/>
              </w:rPr>
              <w:t>$ 9,800</w:t>
            </w:r>
          </w:p>
        </w:tc>
        <w:tc>
          <w:tcPr>
            <w:tcW w:w="100" w:type="dxa"/>
            <w:vAlign w:val="bottom"/>
          </w:tcPr>
          <w:p>
            <w:pPr>
              <w:spacing w:after="0"/>
              <w:rPr>
                <w:sz w:val="18"/>
                <w:szCs w:val="18"/>
                <w:color w:val="auto"/>
              </w:rPr>
            </w:pPr>
          </w:p>
        </w:tc>
        <w:tc>
          <w:tcPr>
            <w:tcW w:w="160" w:type="dxa"/>
            <w:vAlign w:val="bottom"/>
            <w:vMerge w:val="restart"/>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vMerge w:val="restart"/>
          </w:tcPr>
          <w:p>
            <w:pPr>
              <w:jc w:val="right"/>
              <w:ind w:right="3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8"/>
                <w:szCs w:val="18"/>
                <w:color w:val="auto"/>
                <w:w w:val="90"/>
              </w:rPr>
              <w:t>$4,019,423</w:t>
            </w: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w w:val="92"/>
              </w:rPr>
              <w:t>$(2,430,158)</w:t>
            </w:r>
          </w:p>
        </w:tc>
        <w:tc>
          <w:tcPr>
            <w:tcW w:w="100" w:type="dxa"/>
            <w:vAlign w:val="bottom"/>
          </w:tcPr>
          <w:p>
            <w:pPr>
              <w:spacing w:after="0"/>
              <w:rPr>
                <w:sz w:val="18"/>
                <w:szCs w:val="18"/>
                <w:color w:val="auto"/>
              </w:rPr>
            </w:pPr>
          </w:p>
        </w:tc>
        <w:tc>
          <w:tcPr>
            <w:tcW w:w="220" w:type="dxa"/>
            <w:vAlign w:val="bottom"/>
            <w:vMerge w:val="restart"/>
          </w:tcPr>
          <w:p>
            <w:pPr>
              <w:jc w:val="right"/>
              <w:ind w:right="21"/>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1"/>
              </w:rPr>
              <w:t>$ (241,969)</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12"/>
              <w:spacing w:after="0"/>
              <w:rPr>
                <w:sz w:val="20"/>
                <w:szCs w:val="20"/>
                <w:color w:val="auto"/>
              </w:rPr>
            </w:pPr>
            <w:r>
              <w:rPr>
                <w:rFonts w:ascii="Arial" w:cs="Arial" w:eastAsia="Arial" w:hAnsi="Arial"/>
                <w:sz w:val="18"/>
                <w:szCs w:val="18"/>
                <w:color w:val="auto"/>
              </w:rPr>
              <w:t>64,420</w:t>
            </w:r>
          </w:p>
        </w:tc>
        <w:tc>
          <w:tcPr>
            <w:tcW w:w="0" w:type="dxa"/>
            <w:vAlign w:val="bottom"/>
          </w:tcPr>
          <w:p>
            <w:pPr>
              <w:spacing w:after="0"/>
              <w:rPr>
                <w:sz w:val="1"/>
                <w:szCs w:val="1"/>
                <w:color w:val="auto"/>
              </w:rPr>
            </w:pPr>
          </w:p>
        </w:tc>
      </w:tr>
      <w:tr>
        <w:trPr>
          <w:trHeight w:val="242"/>
        </w:trPr>
        <w:tc>
          <w:tcPr>
            <w:tcW w:w="1880" w:type="dxa"/>
            <w:vAlign w:val="bottom"/>
          </w:tcPr>
          <w:p>
            <w:pPr>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-4484370</wp:posOffset>
            </wp:positionV>
            <wp:extent cx="7246620" cy="4168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Note 11 for details on the Company's Cumulative Redeemable Preferred Stock.</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six months ended June 30, 2013, net loss shown above excludes $1,427 of net loss attributable to redeemable noncontrolling interests.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$9.4 million of operating property assets contributed by a noncontrolling partner (see Note 4).</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an $8.8 million payment to redeem a noncontrolling member's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Total</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Equity</w:t>
      </w:r>
    </w:p>
    <w:p>
      <w:pPr>
        <w:spacing w:after="0" w:line="250" w:lineRule="exact"/>
        <w:rPr>
          <w:sz w:val="20"/>
          <w:szCs w:val="20"/>
          <w:color w:val="auto"/>
        </w:rPr>
      </w:pPr>
    </w:p>
    <w:p>
      <w:pPr>
        <w:ind w:left="120" w:hanging="112"/>
        <w:spacing w:after="0"/>
        <w:tabs>
          <w:tab w:leader="none" w:pos="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1,313,154</w:t>
      </w:r>
    </w:p>
    <w:p>
      <w:pPr>
        <w:spacing w:after="0" w:line="290" w:lineRule="exact"/>
        <w:rPr>
          <w:rFonts w:ascii="Arial" w:cs="Arial" w:eastAsia="Arial" w:hAnsi="Arial"/>
          <w:sz w:val="17"/>
          <w:szCs w:val="17"/>
          <w:color w:val="auto"/>
        </w:rPr>
      </w:pPr>
    </w:p>
    <w:p>
      <w:pPr>
        <w:ind w:left="240"/>
        <w:spacing w:after="0"/>
        <w:rPr>
          <w:rFonts w:ascii="Arial" w:cs="Arial" w:eastAsia="Arial" w:hAnsi="Arial"/>
          <w:sz w:val="17"/>
          <w:szCs w:val="17"/>
          <w:color w:val="auto"/>
        </w:rPr>
      </w:pPr>
      <w:r>
        <w:rPr>
          <w:rFonts w:ascii="Arial" w:cs="Arial" w:eastAsia="Arial" w:hAnsi="Arial"/>
          <w:sz w:val="18"/>
          <w:szCs w:val="18"/>
          <w:color w:val="auto"/>
        </w:rPr>
        <w:t>193,510</w:t>
      </w:r>
    </w:p>
    <w:p>
      <w:pPr>
        <w:spacing w:after="0" w:line="279" w:lineRule="exact"/>
        <w:rPr>
          <w:rFonts w:ascii="Arial" w:cs="Arial" w:eastAsia="Arial" w:hAnsi="Arial"/>
          <w:sz w:val="17"/>
          <w:szCs w:val="17"/>
          <w:color w:val="auto"/>
        </w:rPr>
      </w:pPr>
    </w:p>
    <w:p>
      <w:pPr>
        <w:ind w:left="280"/>
        <w:spacing w:after="0"/>
        <w:rPr>
          <w:rFonts w:ascii="Arial" w:cs="Arial" w:eastAsia="Arial" w:hAnsi="Arial"/>
          <w:sz w:val="17"/>
          <w:szCs w:val="17"/>
          <w:color w:val="auto"/>
        </w:rPr>
      </w:pPr>
      <w:r>
        <w:rPr>
          <w:rFonts w:ascii="Arial" w:cs="Arial" w:eastAsia="Arial" w:hAnsi="Arial"/>
          <w:sz w:val="16"/>
          <w:szCs w:val="16"/>
          <w:color w:val="auto"/>
        </w:rPr>
        <w:t>(23,360)</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(5,118)</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(45,224)</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(1,744)</w:t>
      </w:r>
    </w:p>
    <w:p>
      <w:pPr>
        <w:spacing w:after="0" w:line="200" w:lineRule="exact"/>
        <w:rPr>
          <w:sz w:val="20"/>
          <w:szCs w:val="20"/>
          <w:color w:val="auto"/>
        </w:rPr>
      </w:pP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9,687</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(20,404)</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$ 1,419,320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39370</wp:posOffset>
            </wp:positionV>
            <wp:extent cx="617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56515</wp:posOffset>
            </wp:positionV>
            <wp:extent cx="6172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591" w:lineRule="exact"/>
        <w:rPr>
          <w:sz w:val="20"/>
          <w:szCs w:val="20"/>
          <w:color w:val="auto"/>
        </w:rPr>
      </w:pPr>
    </w:p>
    <w:p>
      <w:pPr>
        <w:sectPr>
          <w:pgSz w:w="11900" w:h="16838" w:orient="portrait"/>
          <w:cols w:equalWidth="0" w:num="2">
            <w:col w:w="10340" w:space="140"/>
            <w:col w:w="900"/>
          </w:cols>
          <w:pgMar w:left="240" w:top="125" w:right="27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5" w:right="27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4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For the Six Months Ended June 30,</w:t>
            </w:r>
          </w:p>
        </w:tc>
      </w:tr>
      <w:tr>
        <w:trPr>
          <w:trHeight w:val="33"/>
        </w:trPr>
        <w:tc>
          <w:tcPr>
            <w:tcW w:w="74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0"/>
              <w:spacing w:after="0"/>
              <w:rPr>
                <w:sz w:val="20"/>
                <w:szCs w:val="20"/>
                <w:color w:val="auto"/>
              </w:rPr>
            </w:pPr>
            <w:r>
              <w:rPr>
                <w:rFonts w:ascii="Arial" w:cs="Arial" w:eastAsia="Arial" w:hAnsi="Arial"/>
                <w:sz w:val="16"/>
                <w:szCs w:val="16"/>
                <w:b w:val="1"/>
                <w:bCs w:val="1"/>
                <w:color w:val="auto"/>
              </w:rPr>
              <w:t>2013</w:t>
            </w:r>
          </w:p>
        </w:tc>
      </w:tr>
      <w:tr>
        <w:trPr>
          <w:trHeight w:val="33"/>
        </w:trPr>
        <w:tc>
          <w:tcPr>
            <w:tcW w:w="74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(17,771)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(46,651)</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cash flows from 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Provision for (recovery of) loan losses</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15,226</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assets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37,435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34,750</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cost of sales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Payments for withholding taxes upon vesting of stock-based compensation</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(18,266)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(13,790)</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expense for stock-based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Amortization of discounts/premiums and deferred financing costs on debt</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9,030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10,403</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discounts/premiums and deferred interest on loans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(16,858)</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(Gain) loss from sales of loans</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(18,995)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596</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from equity method investments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Distributions from operations of equity method investments</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10,939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10,211</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operating lease income</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Income from sales of residential property</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(33,674)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(58,016)</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Loss on early extinguishment of debt, net</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24,767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13,270</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and repurchases of debt—debt discount and prepayment penalty</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operating activities, net</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6,848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4,109</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Changes in accrued interest and operating lease income receivable, net</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5,763</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deferred expenses and other assets, net</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4,702</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Changes in accounts payable, accrued expenses and other liabilities</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(23,325)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(10,527)</w:t>
            </w:r>
          </w:p>
        </w:tc>
      </w:tr>
      <w:tr>
        <w:trPr>
          <w:trHeight w:val="27"/>
        </w:trPr>
        <w:tc>
          <w:tcPr>
            <w:tcW w:w="74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(106,536)</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originations and fundings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(319,938)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(89,328)</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Acquisitions of and capital expenditures on real estate assets</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(63,858)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(56,450)</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and principal collections on loans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298,633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proceeds from sales of loans</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56,404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79,671</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sales of real estate</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204,236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260,937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proceeds from sale of other investments</w:t>
            </w:r>
          </w:p>
        </w:tc>
        <w:tc>
          <w:tcPr>
            <w:tcW w:w="44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220,281</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other investments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20,437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Contributions to other investments</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(30,561)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(3,248)</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restricted cash held in connection with investing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investing activities, net</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908</w:t>
            </w:r>
          </w:p>
        </w:tc>
      </w:tr>
      <w:tr>
        <w:trPr>
          <w:trHeight w:val="27"/>
        </w:trPr>
        <w:tc>
          <w:tcPr>
            <w:tcW w:w="74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58,691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708,708</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debt obligations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1,323,822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1,232,259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Repayments of debt obligations</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(1,408,935)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(1,519,101)</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dividends paid</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issuance of preferred stock</w:t>
            </w:r>
          </w:p>
        </w:tc>
        <w:tc>
          <w:tcPr>
            <w:tcW w:w="44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193,510</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deferred financing costs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financing activities, net</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(13,061)</w:t>
            </w:r>
          </w:p>
        </w:tc>
      </w:tr>
      <w:tr>
        <w:trPr>
          <w:trHeight w:val="27"/>
        </w:trPr>
        <w:tc>
          <w:tcPr>
            <w:tcW w:w="74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(132,269)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(142,610)</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Changes in cash and cash equivalents</w:t>
            </w: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(157,055)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459,562</w:t>
            </w: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513,568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256,344</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356,513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715,906</w:t>
            </w:r>
          </w:p>
        </w:tc>
      </w:tr>
      <w:tr>
        <w:trPr>
          <w:trHeight w:val="20"/>
        </w:trPr>
        <w:tc>
          <w:tcPr>
            <w:tcW w:w="7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5" w:right="239" w:bottom="5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57"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—iStar Financial Inc., or the "Company," is a fully-integrated finance and investment company focused on the commercial real estate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provides custom-tailored investment capital to high-end private and corporate owners of real estate and invests directly across a range of real estate sectors. The Company, which is taxed as a real estate investment trust, or "REIT," has invested more than $35 billion over the past two decades. The Company's primary business segments are real estate finance, net lease, operating properties and land (see Note 15).</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the management of private investment funds and became publicly traded in 1998.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Since that time, the Company has grown through the origination of new investments, as well as through corporate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144"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Consolidated Financial Statements have been prepared in conformity with the instructions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2013.</w:t>
      </w:r>
    </w:p>
    <w:p>
      <w:pPr>
        <w:spacing w:after="0" w:line="10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Certain prior year amounts have been reclassified in the Consolidated Financial Statements and the related Notes to conform to the 2014 presentation.</w:t>
      </w:r>
    </w:p>
    <w:p>
      <w:pPr>
        <w:spacing w:after="0" w:line="20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financial statements of the Company, its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partnerships and variable interest entities ("VIEs") for which the Company is the primary beneficiary. All significant intercompany balances and transactions have been eliminated in consolidation. The Company's involvement with VIEs affects its financial performance and cash flows primarily through amounts recorded in "Operating lease income," "Earnings from equity method investments," "Real estate expense" and "Interest expense" in the Company's Consolidated Statements of Operations. The Company has not provided financial support to these VIEs that it was not previously contractually required to provide.</w:t>
      </w:r>
    </w:p>
    <w:p>
      <w:pPr>
        <w:spacing w:after="0" w:line="19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Consolidated VIEs</w:t>
      </w:r>
      <w:r>
        <w:rPr>
          <w:rFonts w:ascii="Arial" w:cs="Arial" w:eastAsia="Arial" w:hAnsi="Arial"/>
          <w:sz w:val="18"/>
          <w:szCs w:val="18"/>
          <w:color w:val="auto"/>
        </w:rPr>
        <w:t>—As of June 30, 2014, the Company consolidated 5 VIEs for which the Company is considered the primary beneficiary.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2014, the total assets of these consolidated VIEs were $204.4 million and total liabilities were $36.7 million. The classifications of these assets are primarily within "Real estate, net" and "Other investments" on the Company's Consolidated Balance Sheets. The classifications of liabilities are primarily within "Debt obligations, net," and "Accounts payable, accrued expenses and other liabilities" on the Company's Consolidated Balance Sheets. The liabilities of these VIEs are non-recourse to the Company and can only be satisfied from each VIE's respective assets. The Company's total unfunded commitments related to consolidated VIEs was $38.8 million as of June 30, 2014.</w:t>
      </w:r>
    </w:p>
    <w:p>
      <w:pPr>
        <w:spacing w:after="0" w:line="1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Unconsolidated VIEs</w:t>
      </w:r>
      <w:r>
        <w:rPr>
          <w:rFonts w:ascii="Arial" w:cs="Arial" w:eastAsia="Arial" w:hAnsi="Arial"/>
          <w:sz w:val="18"/>
          <w:szCs w:val="18"/>
          <w:color w:val="auto"/>
        </w:rPr>
        <w:t>—As of June 30, 2014, 29 of the Company's investments were in VIEs where it is not the primary beneficiary and accordingly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VIEs have not been consolidated in the Company's Consolidated Financial Statements. As of June 30, 2014, the Company's maximum exposure to loss from these investments does not exceed the sum of the $190.1 million carrying value of the investments, which are classified in "Other investments" on the Company's Consolidated Balance Sheets, and $26.8 million of related unfunded commitments.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2014, the Company's significant accounting policies, which are detailed in the Company's Annual Report on Form 10-K for the year ended December 31, 2013, have not changed materially other than the policies described below.</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Real Estate</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Capitalization—</w:t>
      </w:r>
      <w:r>
        <w:rPr>
          <w:rFonts w:ascii="Arial" w:cs="Arial" w:eastAsia="Arial" w:hAnsi="Arial"/>
          <w:sz w:val="18"/>
          <w:szCs w:val="18"/>
          <w:color w:val="auto"/>
        </w:rPr>
        <w:t>For real estate projects, the Company begins to capitalize qualified development and construction costs, including interest,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taxes, compensation and certain other carrying costs incurred which are specifically identifiable to a development project once activities necessary to get the asset ready for its intended use have commenced. If specific allocation of costs is not practicable, the Company will allocate costs based on relative fair value prior to construction or relative sales value, relative size or other value methods as appropriate during construction. The Company ceases capitalization on the portions substantially completed and ready for their intended use.</w:t>
      </w:r>
    </w:p>
    <w:p>
      <w:pPr>
        <w:spacing w:after="0" w:line="18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Dispositions—</w:t>
      </w:r>
      <w:r>
        <w:rPr>
          <w:rFonts w:ascii="Arial" w:cs="Arial" w:eastAsia="Arial" w:hAnsi="Arial"/>
          <w:sz w:val="17"/>
          <w:szCs w:val="17"/>
          <w:color w:val="auto"/>
        </w:rPr>
        <w:t>Revenues from sales of land are recognized in accordance with Accounting Standards Codification ("ASC") 360-20</w:t>
      </w:r>
      <w:r>
        <w:rPr>
          <w:rFonts w:ascii="Arial" w:cs="Arial" w:eastAsia="Arial" w:hAnsi="Arial"/>
          <w:sz w:val="17"/>
          <w:szCs w:val="17"/>
          <w:i w:val="1"/>
          <w:iCs w:val="1"/>
          <w:color w:val="auto"/>
        </w:rPr>
        <w:t>, Real Estate Sales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Sales of land are recognized for full profit recognition upon closing of the sale transactions, when the profit is determinable, the earnings process is virtually complete, the parties are bound by the terms of the contract, all consideration has been exchanged, any permanent financing for which the seller is responsible has been arranged and all conditions for closing have been performed. Revenues from sales of land are included in "Land sales revenue" and costs of land sales are included in "Land cost of sales" on the Company’s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In April 2014, the FASB issued ASU 2014-08, </w:t>
      </w:r>
      <w:r>
        <w:rPr>
          <w:rFonts w:ascii="Arial" w:cs="Arial" w:eastAsia="Arial" w:hAnsi="Arial"/>
          <w:sz w:val="17"/>
          <w:szCs w:val="17"/>
          <w:i w:val="1"/>
          <w:iCs w:val="1"/>
          <w:color w:val="auto"/>
        </w:rPr>
        <w:t>Reporting Discontinued Operations and Disclosures of Disposals of Components of an Entity</w:t>
      </w:r>
      <w:r>
        <w:rPr>
          <w:rFonts w:ascii="Arial" w:cs="Arial" w:eastAsia="Arial" w:hAnsi="Arial"/>
          <w:sz w:val="17"/>
          <w:szCs w:val="17"/>
          <w:color w:val="auto"/>
        </w:rPr>
        <w:t xml:space="preserve"> ("ASU 2014-08"). This guidance requires disposals of a component of an entity or group of components of an entity that represent a strategic shift that has (or will have) a major effect on an entity's operations and financial results to be reported as discontinued operations. Assets and liabilities of a disposal group that includes a discontinued operation must be presented separately in asset and liability sections, respectively, of the Company's Consolidated Balance Sheets for each comparative period. Expanded disclosures about the assets, liabilities, revenues and expenses of discontinued operations are also required. For individually significant disposals that do not qualify as discontinued operations, disclosure of pre-tax income is required. ASU 2014-08 is effective for interim and annual periods beginning on or after December 15, 2014. Early adoption is permitted for disposals (or classifications as held for sale) that have not been reported in previously-issued financial statements. The Company has elected to early adopt ASU 2014-08 beginning with disposals and classifications of assets as held for sale that occurred after December 31, 2013.</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supersedes existing industry-specific guidance, including ASC 360-20, </w:t>
      </w:r>
      <w:r>
        <w:rPr>
          <w:rFonts w:ascii="Arial" w:cs="Arial" w:eastAsia="Arial" w:hAnsi="Arial"/>
          <w:sz w:val="17"/>
          <w:szCs w:val="17"/>
          <w:i w:val="1"/>
          <w:iCs w:val="1"/>
          <w:color w:val="auto"/>
        </w:rPr>
        <w:t>Real Estate Sales</w:t>
      </w:r>
      <w:r>
        <w:rPr>
          <w:rFonts w:ascii="Arial" w:cs="Arial" w:eastAsia="Arial" w:hAnsi="Arial"/>
          <w:sz w:val="17"/>
          <w:szCs w:val="17"/>
          <w:color w:val="auto"/>
        </w:rPr>
        <w:t>. The new standard is principles-based and requires more estimates and judgment than current guidance. Certain contracts with customers, including lease contracts and financial instruments and other contractual rights, are not within the scope of the new guidance. ASU 2014-09 is effective for interim and annual reporting periods beginning after December 15, 2016. Early adoption is not permitted. Management is evaluating the impact of the guidance on the Company's Consolidated Financial Statements.</w:t>
      </w:r>
    </w:p>
    <w:p>
      <w:pPr>
        <w:spacing w:after="0" w:line="13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In June 2014, the FASB issued ASU 2014-12, </w:t>
      </w:r>
      <w:r>
        <w:rPr>
          <w:rFonts w:ascii="Arial" w:cs="Arial" w:eastAsia="Arial" w:hAnsi="Arial"/>
          <w:sz w:val="17"/>
          <w:szCs w:val="17"/>
          <w:i w:val="1"/>
          <w:iCs w:val="1"/>
          <w:color w:val="auto"/>
        </w:rPr>
        <w:t>Accounting for Share-Based Payments When the Terms of an Award Provide That a Performance Target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Could Be Achieved after the Requisite Service Period </w:t>
      </w:r>
      <w:r>
        <w:rPr>
          <w:rFonts w:ascii="Arial" w:cs="Arial" w:eastAsia="Arial" w:hAnsi="Arial"/>
          <w:sz w:val="17"/>
          <w:szCs w:val="17"/>
          <w:color w:val="auto"/>
        </w:rPr>
        <w:t>("ASU 2014-12") which requires a performance target that affects vesting and that could be achieved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after the requisite service period be treated as a performance condition in accordance with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ASU 2014-12 is effective for interim and annual reporting periods beginning after December 15, 2015. Early adoption is permitted. Management does not believe the guidance will have a significant impact on the Company's Consolidated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real estate assets were comprised of the following ($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Net Lease</w:t>
            </w: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Properties</w:t>
            </w:r>
          </w:p>
        </w:tc>
        <w:tc>
          <w:tcPr>
            <w:tcW w:w="360" w:type="dxa"/>
            <w:vAlign w:val="bottom"/>
          </w:tcPr>
          <w:p>
            <w:pPr>
              <w:spacing w:after="0"/>
              <w:rPr>
                <w:sz w:val="17"/>
                <w:szCs w:val="17"/>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Land</w:t>
            </w:r>
          </w:p>
        </w:tc>
        <w:tc>
          <w:tcPr>
            <w:tcW w:w="36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2014</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328,143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152,332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829,112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1,309,587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1,283,303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591,880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1,875,183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(352,418)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(86,747)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(443,380)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1,259,028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824,897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2,741,390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232,771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122,043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354,814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1,259,028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890,236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946,940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3,096,204</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2013</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350,817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1,286,989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1,346,071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587,574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1,933,645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(338,640)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(424,453)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1,358,248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638,088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799,845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2,796,181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228,328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132,189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360,517</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real estate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1,358,248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866,416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932,034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3,156,698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Real Estate Available and Held for Sale—</w:t>
      </w:r>
      <w:r>
        <w:rPr>
          <w:rFonts w:ascii="Arial" w:cs="Arial" w:eastAsia="Arial" w:hAnsi="Arial"/>
          <w:sz w:val="18"/>
          <w:szCs w:val="18"/>
          <w:color w:val="auto"/>
        </w:rPr>
        <w:t>As of June 30, 2014 and December 31, 2013, the Company had $225.8 million and $221.0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of residential properties available for sale in its operating properties portfolio.</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six months ended June 30, 2014, the Company reclassified land with a carrying value of $6.5 million from held for sale to held for investment due to a change in the Company's strategy and its plan to re-entitle the property. The asset is included in "Real estate, net" on the Company's Consolidated Balance Sheets. There were no operations to reclassify on the Company's Consolidated Statements of Operations as a result of this change. During the same period, the Company reclassified units with a carrying value of $56.7 million to held for sale due to the conversion of hotel rooms to residential units to be sold.</w:t>
      </w:r>
    </w:p>
    <w:p>
      <w:pPr>
        <w:spacing w:after="0" w:line="184"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During the six months ended June 30, 2014, the Company acquired, via deed-in-lieu, title to three commercial operating properties and a</w:t>
      </w:r>
      <w:r>
        <w:rPr>
          <w:rFonts w:ascii="Arial" w:cs="Arial" w:eastAsia="Arial" w:hAnsi="Arial"/>
          <w:sz w:val="18"/>
          <w:szCs w:val="18"/>
          <w:b w:val="1"/>
          <w:bCs w:val="1"/>
          <w:color w:val="auto"/>
        </w:rPr>
        <w:t xml:space="preserve"> </w:t>
      </w:r>
      <w:r>
        <w:rPr>
          <w:rFonts w:ascii="Arial" w:cs="Arial" w:eastAsia="Arial" w:hAnsi="Arial"/>
          <w:sz w:val="18"/>
          <w:szCs w:val="18"/>
          <w:color w:val="auto"/>
        </w:rPr>
        <w:t>land asset, which had a total fair value of $77.9 million and previously served as collateral for loans receivable held by the Company. No gain or loss was recorded in connection with this transaction. The following table summarizes the Company's pro forma revenues and net income for the three and six months ended June 30, 2014, as if the acquisition of the properties acquired during the six months ended June 30, 2014 was completed on January 1, 2013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860" w:type="dxa"/>
            <w:vAlign w:val="bottom"/>
            <w:gridSpan w:val="4"/>
          </w:tcPr>
          <w:p>
            <w:pPr>
              <w:jc w:val="center"/>
              <w:ind w:left="668"/>
              <w:spacing w:after="0"/>
              <w:rPr>
                <w:sz w:val="20"/>
                <w:szCs w:val="20"/>
                <w:color w:val="auto"/>
              </w:rPr>
            </w:pPr>
            <w:r>
              <w:rPr>
                <w:rFonts w:ascii="Arial" w:cs="Arial" w:eastAsia="Arial" w:hAnsi="Arial"/>
                <w:sz w:val="14"/>
                <w:szCs w:val="14"/>
                <w:b w:val="1"/>
                <w:bCs w:val="1"/>
                <w:color w:val="auto"/>
                <w:w w:val="94"/>
              </w:rPr>
              <w:t>For the Three Months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For the Six Months Ended</w:t>
            </w:r>
          </w:p>
        </w:tc>
      </w:tr>
      <w:tr>
        <w:trPr>
          <w:trHeight w:val="192"/>
        </w:trPr>
        <w:tc>
          <w:tcPr>
            <w:tcW w:w="42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right="208"/>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Borders>
              <w:bottom w:val="single" w:sz="8" w:color="auto"/>
            </w:tcBorders>
            <w:gridSpan w:val="3"/>
          </w:tcPr>
          <w:p>
            <w:pPr>
              <w:jc w:val="center"/>
              <w:ind w:left="1201"/>
              <w:spacing w:after="0"/>
              <w:rPr>
                <w:sz w:val="20"/>
                <w:szCs w:val="20"/>
                <w:color w:val="auto"/>
              </w:rPr>
            </w:pPr>
            <w:r>
              <w:rPr>
                <w:rFonts w:ascii="Arial" w:cs="Arial" w:eastAsia="Arial" w:hAnsi="Arial"/>
                <w:sz w:val="14"/>
                <w:szCs w:val="14"/>
                <w:b w:val="1"/>
                <w:bCs w:val="1"/>
                <w:color w:val="auto"/>
                <w:w w:val="92"/>
              </w:rPr>
              <w:t>June 30,</w:t>
            </w:r>
          </w:p>
        </w:tc>
        <w:tc>
          <w:tcPr>
            <w:tcW w:w="124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2013</w:t>
            </w: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 forma total revenues</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89"/>
              </w:rPr>
              <w:t>131,038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103,175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242,892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200,072</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Pro forma net income (loss)</w:t>
            </w:r>
          </w:p>
        </w:tc>
        <w:tc>
          <w:tcPr>
            <w:tcW w:w="720" w:type="dxa"/>
            <w:vAlign w:val="bottom"/>
          </w:tcPr>
          <w:p>
            <w:pPr>
              <w:jc w:val="right"/>
              <w:spacing w:after="0"/>
              <w:rPr>
                <w:sz w:val="20"/>
                <w:szCs w:val="20"/>
                <w:color w:val="auto"/>
              </w:rPr>
            </w:pPr>
            <w:r>
              <w:rPr>
                <w:rFonts w:ascii="Arial" w:cs="Arial" w:eastAsia="Arial" w:hAnsi="Arial"/>
                <w:sz w:val="18"/>
                <w:szCs w:val="18"/>
                <w:color w:val="auto"/>
              </w:rPr>
              <w:t>(3,614)</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(14,531)</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(18,001)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(47,177)</w:t>
            </w:r>
          </w:p>
        </w:tc>
      </w:tr>
    </w:tbl>
    <w:p>
      <w:pPr>
        <w:spacing w:after="0" w:line="1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From the date of acquisition through June 30, 2014, $1.8 million in total revenues and $0.6 million in net loss of the acquiree were included in the Company’s Consolidated Statements of Operations for the three and six months ended June 30, 2014. The pro forma revenues and net income are presented for informational purposes only and may not be indicative of what the actual results of operations of the Company would have been assuming the transaction occurred on January 1, 2013, nor do they purport to represent the Company’s results of operations for future periods.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six months ended June 30, 2013, the Company acquired, via foreclosure, title to a residential operating property, which previously served as collateral for a loan receivable held by the Company. The Company contributed the residential operating property which had a fair value of $25.5 million, to an entity of which it owns 63%. Based on the control provisions in the partnership agreement, the Company consolidates the entity and reflects its partner's 37% share of equity in "Noncontrolling interests" on the</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Company's Consolidated Balance Sheets. The acquisition was accounted for at fair value. No gain or loss was recorded in connection with this transaction.</w:t>
      </w:r>
    </w:p>
    <w:p>
      <w:pPr>
        <w:spacing w:after="0" w:line="244"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Dispositions—</w:t>
      </w:r>
      <w:r>
        <w:rPr>
          <w:rFonts w:ascii="Arial" w:cs="Arial" w:eastAsia="Arial" w:hAnsi="Arial"/>
          <w:sz w:val="18"/>
          <w:szCs w:val="18"/>
          <w:color w:val="auto"/>
        </w:rPr>
        <w:t>During the six months ended June 30, 2014 and 2013, the Company sold residential condominiums for total net proceeds of $94.8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$164.1 million, respectively, and recorded income from sales of residential properties totaling $33.7 million and $54.6 million, respectively. During the six months ended June 30, 2014, the Company sold residential lots from two of our master planned community properties for proceeds of $8.6 million which had associated cost of sales of $7.3 million. During the same period, the Company also sold properties with a carrying value of $6.7 million for proceeds that approximated carrying value.</w:t>
      </w:r>
    </w:p>
    <w:p>
      <w:pPr>
        <w:spacing w:after="0" w:line="14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six months ended June 30, 2014, the Company sold a net lease asset for net proceeds of $93.7 million which approximated carrying value and contributed land with a carrying value of $9.5 million to newly formed unconsolidated entities. (See Note 6.)</w:t>
      </w:r>
    </w:p>
    <w:p>
      <w:pPr>
        <w:spacing w:after="0" w:line="13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Additionally, during the six months ended June 30, 2014, the Company sold a net lease asset for net proceeds of $7.8 million. The Company recorded an impairment loss of $3.0 million in connection with the sale.</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six months ended June 30, 2013, the Company sold land for net proceeds of $21.4 million to a newly formed unconsolidated entity in which the Company also received a preferred partnership interest and a 47.5% equity interest. The Company recognized a gain of $3.4 million, reflecting the proportionate share of the sold interest, which was recorded as "Income from sales of residential property" in the Company's Consolidated Statements of Operations.</w:t>
      </w:r>
    </w:p>
    <w:p>
      <w:pPr>
        <w:spacing w:after="0" w:line="14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Additionally, during the six months ended June 30, 2013, the Company sold three net lease assets with a carrying value of $13.5 million resulting in a net gain of $3.4 million. During the same period, the Company sold three commercial operating properties with a carrying value of $43.2 million resulting in a net gain of $9.9 million. These gains were recorded as "Gain from discontinued operations" in the Company's Consolidated Statement of Operations. The Company also sold other land assets with a carrying value of $5.5 million for proceeds that approximated carrying value.</w:t>
      </w:r>
    </w:p>
    <w:p>
      <w:pPr>
        <w:spacing w:after="0" w:line="127"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color w:val="auto"/>
        </w:rPr>
        <w:t>Discontinued Operations—</w:t>
      </w:r>
      <w:r>
        <w:rPr>
          <w:rFonts w:ascii="Arial" w:cs="Arial" w:eastAsia="Arial" w:hAnsi="Arial"/>
          <w:sz w:val="16"/>
          <w:szCs w:val="16"/>
          <w:color w:val="auto"/>
        </w:rPr>
        <w:t>The Company has elected to early adopt ASU 2014-08 beginning with disposals and classifications of assets as held for</w:t>
      </w:r>
      <w:r>
        <w:rPr>
          <w:rFonts w:ascii="Arial" w:cs="Arial" w:eastAsia="Arial" w:hAnsi="Arial"/>
          <w:sz w:val="16"/>
          <w:szCs w:val="16"/>
          <w:b w:val="1"/>
          <w:bCs w:val="1"/>
          <w:color w:val="auto"/>
        </w:rPr>
        <w:t xml:space="preserve"> </w:t>
      </w:r>
      <w:r>
        <w:rPr>
          <w:rFonts w:ascii="Arial" w:cs="Arial" w:eastAsia="Arial" w:hAnsi="Arial"/>
          <w:sz w:val="16"/>
          <w:szCs w:val="16"/>
          <w:color w:val="auto"/>
        </w:rPr>
        <w:t>sale that occurred after December 31, 2013. During the six months ended June 30, 2014, there were no disposals or assets classified as held for sale which were individually significant or represented a strategic shift that has (or will have) a major effect on the Company's operations and financial results.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income (loss) from discontinued operations for the three and six months ended June 30, 2013 ($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For the Three Months Ended</w:t>
            </w:r>
          </w:p>
        </w:tc>
        <w:tc>
          <w:tcPr>
            <w:tcW w:w="140" w:type="dxa"/>
            <w:vAlign w:val="bottom"/>
          </w:tcPr>
          <w:p>
            <w:pPr>
              <w:spacing w:after="0"/>
              <w:rPr>
                <w:sz w:val="14"/>
                <w:szCs w:val="14"/>
                <w:color w:val="auto"/>
              </w:rPr>
            </w:pPr>
          </w:p>
        </w:tc>
        <w:tc>
          <w:tcPr>
            <w:tcW w:w="180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92"/>
        </w:trPr>
        <w:tc>
          <w:tcPr>
            <w:tcW w:w="7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June 30, 2013</w:t>
            </w:r>
          </w:p>
        </w:tc>
        <w:tc>
          <w:tcPr>
            <w:tcW w:w="140" w:type="dxa"/>
            <w:vAlign w:val="bottom"/>
          </w:tcPr>
          <w:p>
            <w:pPr>
              <w:spacing w:after="0"/>
              <w:rPr>
                <w:sz w:val="16"/>
                <w:szCs w:val="16"/>
                <w:color w:val="auto"/>
              </w:rPr>
            </w:pPr>
          </w:p>
        </w:tc>
        <w:tc>
          <w:tcPr>
            <w:tcW w:w="1800" w:type="dxa"/>
            <w:vAlign w:val="bottom"/>
          </w:tcPr>
          <w:p>
            <w:pPr>
              <w:jc w:val="right"/>
              <w:ind w:right="456"/>
              <w:spacing w:after="0"/>
              <w:rPr>
                <w:sz w:val="20"/>
                <w:szCs w:val="20"/>
                <w:color w:val="auto"/>
              </w:rPr>
            </w:pPr>
            <w:r>
              <w:rPr>
                <w:rFonts w:ascii="Arial" w:cs="Arial" w:eastAsia="Arial" w:hAnsi="Arial"/>
                <w:sz w:val="14"/>
                <w:szCs w:val="14"/>
                <w:b w:val="1"/>
                <w:bCs w:val="1"/>
                <w:color w:val="auto"/>
              </w:rPr>
              <w:t>June 30, 2013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3,677</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Impairment of assets</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1,186</w:t>
            </w: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405"/>
        <w:spacing w:after="0" w:line="313" w:lineRule="auto"/>
        <w:rPr>
          <w:sz w:val="20"/>
          <w:szCs w:val="20"/>
          <w:color w:val="auto"/>
        </w:rPr>
      </w:pPr>
      <w:r>
        <w:rPr>
          <w:rFonts w:ascii="Arial" w:cs="Arial" w:eastAsia="Arial" w:hAnsi="Arial"/>
          <w:sz w:val="17"/>
          <w:szCs w:val="17"/>
          <w:b w:val="1"/>
          <w:bCs w:val="1"/>
          <w:color w:val="auto"/>
        </w:rPr>
        <w:t>Impairments—</w:t>
      </w:r>
      <w:r>
        <w:rPr>
          <w:rFonts w:ascii="Arial" w:cs="Arial" w:eastAsia="Arial" w:hAnsi="Arial"/>
          <w:sz w:val="17"/>
          <w:szCs w:val="17"/>
          <w:color w:val="auto"/>
        </w:rPr>
        <w:t>During the six months ended June 30, 2014, the Company recorded impairments on real estate assets totaling $6.3 million,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$3.3 million resulted from a change in business strategy for a residential property and $3.0 million resulting from the sale of a net lease asset.</w:t>
      </w:r>
    </w:p>
    <w:p>
      <w:pPr>
        <w:spacing w:after="0" w:line="13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Tenant Reimbursements—</w:t>
      </w:r>
      <w:r>
        <w:rPr>
          <w:rFonts w:ascii="Arial" w:cs="Arial" w:eastAsia="Arial" w:hAnsi="Arial"/>
          <w:sz w:val="18"/>
          <w:szCs w:val="18"/>
          <w:color w:val="auto"/>
        </w:rPr>
        <w:t>The Company receives reimbursements from tenants for certain facility operating expenses including common area costs,</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utilities and real estate taxes. Tenant expense reimbursements were $7.0 million and $15.6 million for the three and six months ended June 30, 2014, respectively, and $7.9 million and $15.7 million for the three and six months ended June 30, 2013, respectively. These amounts are included in "Operating lease income" on the Company's Consolidated Statements of Operations.</w:t>
      </w:r>
    </w:p>
    <w:p>
      <w:pPr>
        <w:spacing w:after="0" w:line="180"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Allowance for Doubtful Accounts—</w:t>
      </w:r>
      <w:r>
        <w:rPr>
          <w:rFonts w:ascii="Arial" w:cs="Arial" w:eastAsia="Arial" w:hAnsi="Arial"/>
          <w:sz w:val="18"/>
          <w:szCs w:val="18"/>
          <w:color w:val="auto"/>
        </w:rPr>
        <w:t>As of June 30, 2014 and December 31, 2013, the allowance for doubtful accounts related to real estate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was $2.6 million and $3.4 million, respectively and the allowance for doubtful accounts related to deferred operating lease income was $2.2 million and $2.5 million,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5—Loans Receivable and Other Lending Investments,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loans receivable and other lending investments by class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91"/>
              </w:rPr>
              <w:t>As of</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Investment</w:t>
            </w:r>
          </w:p>
        </w:tc>
        <w:tc>
          <w:tcPr>
            <w:tcW w:w="380" w:type="dxa"/>
            <w:vAlign w:val="bottom"/>
          </w:tcPr>
          <w:p>
            <w:pPr>
              <w:spacing w:after="0"/>
              <w:rPr>
                <w:sz w:val="13"/>
                <w:szCs w:val="13"/>
                <w:color w:val="auto"/>
              </w:rPr>
            </w:pPr>
          </w:p>
        </w:tc>
        <w:tc>
          <w:tcPr>
            <w:tcW w:w="134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851,307</w:t>
            </w: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1,071,662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71,696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60,679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489,988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473,045</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gross carrying value of loans</w:t>
            </w: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1,412,991</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1,605,386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Reserves for loan losses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(137,904)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(377,204)</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loans receivable, net</w:t>
            </w: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1,275,087</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1,228,182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lending investments—securities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141,927</w:t>
            </w:r>
          </w:p>
        </w:tc>
        <w:tc>
          <w:tcPr>
            <w:tcW w:w="0" w:type="dxa"/>
            <w:vAlign w:val="bottom"/>
          </w:tcPr>
          <w:p>
            <w:pPr>
              <w:spacing w:after="0"/>
              <w:rPr>
                <w:sz w:val="1"/>
                <w:szCs w:val="1"/>
                <w:color w:val="auto"/>
              </w:rPr>
            </w:pP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Total loans receivable and other lending investments, net(1)</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1,456,407</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1,370,109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line="27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Company's recorded investment in loans as of June 30, 2014 and December 31, 2013 also includes accrued interest of $7.7 million and $6.5 million, respectively, which are included in "Accrued interest and operating lease income receivable, net" on the Company's Consolidated Balance Sheets.</w:t>
      </w:r>
    </w:p>
    <w:p>
      <w:pPr>
        <w:spacing w:after="0" w:line="12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During the six months ended June 30, 2014, the Company sold loans with total carrying values of $30.8 million, which resulted in a realized gain of $19.0 million. During the six months ended June 30, 2013, the Company sold loans with total carrying values of $80.3 million, which resulted in a net realized loss of $0.6 million. Gains and losses on sales of loans are included in "Other income" on the Company's Consolidated Statements of Operations.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 June 30,</w:t>
            </w:r>
          </w:p>
        </w:tc>
        <w:tc>
          <w:tcPr>
            <w:tcW w:w="300" w:type="dxa"/>
            <w:vAlign w:val="bottom"/>
          </w:tcPr>
          <w:p>
            <w:pPr>
              <w:spacing w:after="0"/>
              <w:rPr>
                <w:sz w:val="16"/>
                <w:szCs w:val="16"/>
                <w:color w:val="auto"/>
              </w:rPr>
            </w:pPr>
          </w:p>
        </w:tc>
        <w:tc>
          <w:tcPr>
            <w:tcW w:w="276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9"/>
              </w:rPr>
              <w:t>For the 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Reserve for loan losses at beginning of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370,076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521,795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377,204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524,499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Provision for (recovery of) loan losses(1)</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15,226</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(229,380)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(46,989)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(59,899)</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Reserve for loan losses at 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137,904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479,826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137,904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479,826</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jc w:val="both"/>
        <w:ind w:left="660" w:hanging="652"/>
        <w:spacing w:after="0" w:line="25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and six months ended June 30, 2014, the provision for loan losses includes recoveries of previously recorded loan loss reserves of $2.4 million and $7.6 million, respectively. For the three and six months ended June 30, 2013, the provision for loan losses includes recoveries of previously recorded loan loss reserves of $6.4 million and $11.0 million, respectively.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recorded investment in loans (comprised of a loan's carrying value plus accrued interest) and the associated reserve for loan losses were as follows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Individually</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Collectively</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 Acquired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Evaluated for</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with Deteriorated</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Impairment(1)</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Impairment(2)</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Credit Quality(3)</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2014</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Loans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323,145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1,097,581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1,420,726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(137,904)</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215,841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1,066,981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1,282,822</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2013</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Loans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752,425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849,613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1,611,927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(377,204)</w:t>
            </w: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404,421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820,413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1,234,723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4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discount of $2.0 million and a net premium of $0.5 million as of June 30, 2014 and December 31, 2013, respectively. The Company's loans individually evaluated for impairment primarily represent loans on non-accrual status and therefore, the unamortized amounts associated with these loans are not currently being amortized into income.</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discount of $8.3 million and $4.6 million as of June 30, 2014 and December 31, 2013, respectively.</w:t>
      </w:r>
    </w:p>
    <w:p>
      <w:pPr>
        <w:ind w:left="660" w:hanging="652"/>
        <w:spacing w:after="0" w:line="255"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carrying value of the loan includes unamortized discounts, premiums, deferred fees and costs aggregating to a net premium of $0.4 million as of December 31, 2013. The loan had a cumulative principal balance of $10.2 million as of December 31, 2013. The loan was repaid during the six months ended June 30, 2014.</w:t>
      </w:r>
    </w:p>
    <w:p>
      <w:pPr>
        <w:spacing w:after="0" w:line="18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Characteristics</w:t>
      </w:r>
      <w:r>
        <w:rPr>
          <w:rFonts w:ascii="Arial" w:cs="Arial" w:eastAsia="Arial" w:hAnsi="Arial"/>
          <w:sz w:val="18"/>
          <w:szCs w:val="18"/>
          <w:color w:val="auto"/>
        </w:rPr>
        <w:t>—As part of the Company's process for monitoring the credit quality of its loans, it performs a quarterly loan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assessment and assigns risk ratings to each of its performing loans. Risk ratings are based on judgments which are inherently uncertain and there can be no assurance that actual performance will not be different than current expectation.</w:t>
      </w:r>
    </w:p>
    <w:p>
      <w:pPr>
        <w:spacing w:after="0" w:line="1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recorded investment in performing loans, presented by class and by credit quality, as indicated by risk rating, was as follows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June 30, 2014</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Performing</w:t>
            </w:r>
          </w:p>
        </w:tc>
        <w:tc>
          <w:tcPr>
            <w:tcW w:w="12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3"/>
                <w:szCs w:val="13"/>
                <w:color w:val="auto"/>
              </w:rPr>
            </w:pPr>
          </w:p>
        </w:tc>
        <w:tc>
          <w:tcPr>
            <w:tcW w:w="114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Performing</w:t>
            </w:r>
          </w:p>
        </w:tc>
        <w:tc>
          <w:tcPr>
            <w:tcW w:w="10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674,018</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591,145</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220" w:type="dxa"/>
            <w:vAlign w:val="bottom"/>
          </w:tcPr>
          <w:p>
            <w:pPr>
              <w:spacing w:after="0"/>
              <w:rPr>
                <w:sz w:val="21"/>
                <w:szCs w:val="21"/>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72,444</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61,364</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493,578</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438,831</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57"/>
        </w:trPr>
        <w:tc>
          <w:tcPr>
            <w:tcW w:w="5620" w:type="dxa"/>
            <w:vAlign w:val="bottom"/>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1,240,040</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1,091,340</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2014, the Company's recorded investment in loans, aged by payment status and presented by class, were as follows ($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Less Than</w:t>
            </w:r>
          </w:p>
        </w:tc>
        <w:tc>
          <w:tcPr>
            <w:tcW w:w="2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Greater</w:t>
            </w:r>
          </w:p>
        </w:tc>
        <w:tc>
          <w:tcPr>
            <w:tcW w:w="260" w:type="dxa"/>
            <w:vAlign w:val="bottom"/>
          </w:tcPr>
          <w:p>
            <w:pPr>
              <w:spacing w:after="0"/>
              <w:rPr>
                <w:sz w:val="14"/>
                <w:szCs w:val="14"/>
                <w:color w:val="auto"/>
              </w:rPr>
            </w:pPr>
          </w:p>
        </w:tc>
        <w:tc>
          <w:tcPr>
            <w:tcW w:w="12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Current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and Equal</w:t>
            </w:r>
          </w:p>
        </w:tc>
        <w:tc>
          <w:tcPr>
            <w:tcW w:w="2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Than</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 90 Days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0"/>
              </w:rPr>
              <w:t>90 Days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Past Due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640,441</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67,335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146,928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214,263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854,704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3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72,444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72,444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493,578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493,578</w:t>
            </w:r>
          </w:p>
        </w:tc>
        <w:tc>
          <w:tcPr>
            <w:tcW w:w="0" w:type="dxa"/>
            <w:vAlign w:val="bottom"/>
          </w:tcPr>
          <w:p>
            <w:pPr>
              <w:spacing w:after="0"/>
              <w:rPr>
                <w:sz w:val="1"/>
                <w:szCs w:val="1"/>
                <w:color w:val="auto"/>
              </w:rPr>
            </w:pPr>
          </w:p>
        </w:tc>
      </w:tr>
      <w:tr>
        <w:trPr>
          <w:trHeight w:val="257"/>
        </w:trPr>
        <w:tc>
          <w:tcPr>
            <w:tcW w:w="412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1,206,463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67,335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146,928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214,263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1,420,726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89"/>
              </w:rPr>
              <w:t>12</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Impaired Loans</w:t>
      </w:r>
      <w:r>
        <w:rPr>
          <w:rFonts w:ascii="Arial" w:cs="Arial" w:eastAsia="Arial" w:hAnsi="Arial"/>
          <w:sz w:val="18"/>
          <w:szCs w:val="18"/>
          <w:color w:val="auto"/>
        </w:rPr>
        <w:t>—The Company's recorded investment in impaired loans, presented by class, were as follows ($ in thousands)(1):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June 30, 2014</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2"/>
              </w:rPr>
              <w:t>As of December 31, 2013</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Recorded</w:t>
            </w:r>
          </w:p>
        </w:tc>
        <w:tc>
          <w:tcPr>
            <w:tcW w:w="2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Unpaid</w:t>
            </w:r>
          </w:p>
        </w:tc>
        <w:tc>
          <w:tcPr>
            <w:tcW w:w="20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Related</w:t>
            </w:r>
          </w:p>
        </w:tc>
        <w:tc>
          <w:tcPr>
            <w:tcW w:w="200" w:type="dxa"/>
            <w:vAlign w:val="bottom"/>
          </w:tcPr>
          <w:p>
            <w:pPr>
              <w:spacing w:after="0"/>
              <w:rPr>
                <w:sz w:val="13"/>
                <w:szCs w:val="13"/>
                <w:color w:val="auto"/>
              </w:rPr>
            </w:pPr>
          </w:p>
        </w:tc>
        <w:tc>
          <w:tcPr>
            <w:tcW w:w="10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Recorded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Unpaid</w:t>
            </w:r>
          </w:p>
        </w:tc>
        <w:tc>
          <w:tcPr>
            <w:tcW w:w="220" w:type="dxa"/>
            <w:vAlign w:val="bottom"/>
          </w:tcPr>
          <w:p>
            <w:pPr>
              <w:spacing w:after="0"/>
              <w:rPr>
                <w:sz w:val="13"/>
                <w:szCs w:val="13"/>
                <w:color w:val="auto"/>
              </w:rPr>
            </w:pPr>
          </w:p>
        </w:tc>
        <w:tc>
          <w:tcPr>
            <w:tcW w:w="10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2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6"/>
                <w:szCs w:val="16"/>
                <w:color w:val="auto"/>
              </w:rPr>
            </w:pPr>
          </w:p>
        </w:tc>
        <w:tc>
          <w:tcPr>
            <w:tcW w:w="1000" w:type="dxa"/>
            <w:vAlign w:val="bottom"/>
          </w:tcPr>
          <w:p>
            <w:pPr>
              <w:jc w:val="right"/>
              <w:ind w:right="154"/>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6"/>
                <w:szCs w:val="16"/>
                <w:color w:val="auto"/>
              </w:rPr>
            </w:pPr>
          </w:p>
        </w:tc>
        <w:tc>
          <w:tcPr>
            <w:tcW w:w="1040" w:type="dxa"/>
            <w:vAlign w:val="bottom"/>
          </w:tcPr>
          <w:p>
            <w:pPr>
              <w:jc w:val="right"/>
              <w:ind w:right="214"/>
              <w:spacing w:after="0"/>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 allowance recorded:</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81,270</w:t>
            </w: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80,669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3,012</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203,645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202,112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(104,248)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650,337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645,463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(304,544)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38,242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99,076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99,067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(43,460)</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241,875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240,354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(107,304)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749,413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744,530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(348,004)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284,915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282,781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(104,248)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653,349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648,455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(304,544)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38,242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99,076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99,067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(43,460)</w:t>
            </w:r>
          </w:p>
        </w:tc>
        <w:tc>
          <w:tcPr>
            <w:tcW w:w="0" w:type="dxa"/>
            <w:vAlign w:val="bottom"/>
          </w:tcPr>
          <w:p>
            <w:pPr>
              <w:spacing w:after="0"/>
              <w:rPr>
                <w:sz w:val="1"/>
                <w:szCs w:val="1"/>
                <w:color w:val="auto"/>
              </w:rPr>
            </w:pPr>
          </w:p>
        </w:tc>
      </w:tr>
      <w:tr>
        <w:trPr>
          <w:trHeight w:val="257"/>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323,145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321,023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(107,304)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752,425</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747,522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(348,004)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right="20" w:hanging="652"/>
        <w:spacing w:after="0" w:line="25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of the Company's non-accrual loans are considered impaired and included in the table above. In addition, as of June 30, 2014 and December 31, 2013, certain loans modified through troubled debt restructurings with a recorded investment of $142.5 million and $231.8 million, respectively, are also included as impaired loans in accordance with GAAP although they are performing and on accrual status.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average recorded investment in impaired loans and interest income recognized, presented by class, were as follows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8"/>
              </w:rPr>
              <w:t>For the Three Months Ended June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For the Six Months Ended June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19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2013</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2013</w:t>
            </w:r>
          </w:p>
        </w:tc>
        <w:tc>
          <w:tcPr>
            <w:tcW w:w="880" w:type="dxa"/>
            <w:vAlign w:val="bottom"/>
            <w:tcBorders>
              <w:bottom w:val="single" w:sz="8" w:color="auto"/>
            </w:tcBorders>
          </w:tcPr>
          <w:p>
            <w:pPr>
              <w:spacing w:after="0"/>
              <w:rPr>
                <w:sz w:val="22"/>
                <w:szCs w:val="22"/>
                <w:color w:val="auto"/>
              </w:rPr>
            </w:pPr>
          </w:p>
        </w:tc>
      </w:tr>
      <w:tr>
        <w:trPr>
          <w:trHeight w:val="152"/>
        </w:trPr>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88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94"/>
              </w:rPr>
              <w:t>Interest</w:t>
            </w:r>
          </w:p>
        </w:tc>
      </w:tr>
      <w:tr>
        <w:trPr>
          <w:trHeight w:val="149"/>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Income</w:t>
            </w:r>
          </w:p>
        </w:tc>
      </w:tr>
      <w:tr>
        <w:trPr>
          <w:trHeight w:val="192"/>
        </w:trPr>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88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Recognized</w:t>
            </w:r>
          </w:p>
        </w:tc>
      </w:tr>
      <w:tr>
        <w:trPr>
          <w:trHeight w:val="211"/>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4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recorded:</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87,642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16,561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8,212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59,432</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47,067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9,057</w:t>
            </w: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Corporate/Partnership</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w:t>
            </w:r>
          </w:p>
        </w:tc>
      </w:tr>
      <w:tr>
        <w:trPr>
          <w:trHeight w:val="237"/>
        </w:trPr>
        <w:tc>
          <w:tcPr>
            <w:tcW w:w="1960" w:type="dxa"/>
            <w:vAlign w:val="bottom"/>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87,642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26,612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8,532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59,432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57,137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9,497</w:t>
            </w: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recorded:</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354,695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878,381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453,242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891,912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956</w:t>
            </w: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Subordinate mortgages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53,966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53,971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29"/>
        </w:trPr>
        <w:tc>
          <w:tcPr>
            <w:tcW w:w="1960" w:type="dxa"/>
            <w:vAlign w:val="bottom"/>
          </w:tcPr>
          <w:p>
            <w:pPr>
              <w:ind w:left="180"/>
              <w:spacing w:after="0"/>
              <w:rPr>
                <w:sz w:val="20"/>
                <w:szCs w:val="20"/>
                <w:color w:val="auto"/>
              </w:rPr>
            </w:pPr>
            <w:r>
              <w:rPr>
                <w:rFonts w:ascii="Arial" w:cs="Arial" w:eastAsia="Arial" w:hAnsi="Arial"/>
                <w:sz w:val="18"/>
                <w:szCs w:val="18"/>
                <w:color w:val="auto"/>
                <w:w w:val="99"/>
              </w:rPr>
              <w:t>Corporate/Partnership</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1960" w:type="dxa"/>
            <w:vAlign w:val="bottom"/>
          </w:tcPr>
          <w:p>
            <w:pPr>
              <w:ind w:left="180"/>
              <w:spacing w:after="0"/>
              <w:rPr>
                <w:sz w:val="20"/>
                <w:szCs w:val="20"/>
                <w:color w:val="auto"/>
              </w:rPr>
            </w:pPr>
            <w:r>
              <w:rPr>
                <w:rFonts w:ascii="Arial" w:cs="Arial" w:eastAsia="Arial" w:hAnsi="Arial"/>
                <w:sz w:val="18"/>
                <w:szCs w:val="18"/>
                <w:color w:val="auto"/>
              </w:rPr>
              <w:t>loans</w:t>
            </w:r>
          </w:p>
        </w:tc>
        <w:tc>
          <w:tcPr>
            <w:tcW w:w="1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63,142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61,945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75,120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62,329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157</w:t>
            </w:r>
          </w:p>
        </w:tc>
      </w:tr>
      <w:tr>
        <w:trPr>
          <w:trHeight w:val="27"/>
        </w:trPr>
        <w:tc>
          <w:tcPr>
            <w:tcW w:w="1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417,837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994,292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528,362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1,008,212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1,113</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442,337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894,942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512,674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938,979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10,013</w:t>
            </w: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w w:val="94"/>
              </w:rPr>
              <w:t>Subordinate mortgages</w:t>
            </w:r>
          </w:p>
        </w:tc>
        <w:tc>
          <w:tcPr>
            <w:tcW w:w="1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53,966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53,971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Corporate/Partnership</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63,142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71,996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75,120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72,399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w:t>
            </w:r>
          </w:p>
        </w:tc>
      </w:tr>
      <w:tr>
        <w:trPr>
          <w:trHeight w:val="257"/>
        </w:trPr>
        <w:tc>
          <w:tcPr>
            <w:tcW w:w="1960" w:type="dxa"/>
            <w:vAlign w:val="bottom"/>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505,479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1,020,904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9,062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587,794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1,065,349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10,610</w:t>
            </w:r>
          </w:p>
        </w:tc>
      </w:tr>
      <w:tr>
        <w:trPr>
          <w:trHeight w:val="20"/>
        </w:trPr>
        <w:tc>
          <w:tcPr>
            <w:tcW w:w="1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six months ended June 30, 2013, the Company recorded interest income of $8.0 million related to the resolution of a non-performing loan. Interest income was not previously recorded while the loan was on non-accrual status. There was no interest income related to the resolution of non-performing loans recorded during the six months ended June 30, 2014.</w:t>
      </w:r>
    </w:p>
    <w:p>
      <w:pPr>
        <w:spacing w:after="0" w:line="17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Troubled Debt Restructurings</w:t>
      </w:r>
      <w:r>
        <w:rPr>
          <w:rFonts w:ascii="Arial" w:cs="Arial" w:eastAsia="Arial" w:hAnsi="Arial"/>
          <w:sz w:val="17"/>
          <w:szCs w:val="17"/>
          <w:color w:val="auto"/>
        </w:rPr>
        <w:t>—During the six months ended June 30, 2014 the Company did not modify any loans that would be troubled debt</w:t>
      </w:r>
      <w:r>
        <w:rPr>
          <w:rFonts w:ascii="Arial" w:cs="Arial" w:eastAsia="Arial" w:hAnsi="Arial"/>
          <w:sz w:val="17"/>
          <w:szCs w:val="17"/>
          <w:b w:val="1"/>
          <w:bCs w:val="1"/>
          <w:color w:val="auto"/>
        </w:rPr>
        <w:t xml:space="preserve"> </w:t>
      </w:r>
      <w:r>
        <w:rPr>
          <w:rFonts w:ascii="Arial" w:cs="Arial" w:eastAsia="Arial" w:hAnsi="Arial"/>
          <w:sz w:val="17"/>
          <w:szCs w:val="17"/>
          <w:color w:val="auto"/>
        </w:rPr>
        <w:t>restructurings. During the three and six months ended June 30, 2013, the Company modified loans that were determined to be troubled debt restructurings. The recorded investment in these loans was impacted by the modifications as follows, presented by class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40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For the Three Months Ended June 30, 2013</w:t>
            </w:r>
          </w:p>
        </w:tc>
        <w:tc>
          <w:tcPr>
            <w:tcW w:w="100" w:type="dxa"/>
            <w:vAlign w:val="bottom"/>
          </w:tcPr>
          <w:p>
            <w:pPr>
              <w:spacing w:after="0"/>
              <w:rPr>
                <w:sz w:val="16"/>
                <w:szCs w:val="16"/>
                <w:color w:val="auto"/>
              </w:rPr>
            </w:pPr>
          </w:p>
        </w:tc>
        <w:tc>
          <w:tcPr>
            <w:tcW w:w="39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Six Months Ended June 30, 2013</w:t>
            </w: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Pre-Modification</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Post-Modification</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Pre-Modification</w:t>
            </w:r>
          </w:p>
        </w:tc>
        <w:tc>
          <w:tcPr>
            <w:tcW w:w="12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Post-Modification</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9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3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Recorded</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Recorded</w:t>
            </w: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Recorded</w:t>
            </w: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99"/>
              </w:rPr>
              <w:t>of Loans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of Loans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263"/>
        </w:trPr>
        <w:tc>
          <w:tcPr>
            <w:tcW w:w="4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71,758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71,758</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144,432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136,758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June 30, 2013, the Company restructured one performing loan with a recorded investment of $3.2 million to grant a maturity extension of one year. The Company also extended a payoff option on a loan with a recorded investment of $68.6 million that was classified as non-performing.</w:t>
      </w:r>
    </w:p>
    <w:p>
      <w:pPr>
        <w:spacing w:after="0" w:line="14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the six months ended June 30, 2013, the Company restructured three loans that were considered troubled debt restructurings. In addition to the loans modified during the three months ended June 30, 2013 that are described above, the Company also restructured one non-performing loan with a recorded investment of $72.7 million in which the Company received a $13.3 million paydown and accepted a discounted payoff option on this loan. At the time of the restructuring, the Company reclassified the loan from non-performing to performing status as the Company believed the borrower would perform under the modified terms of the agreement. The loan was repaid in January 2014 at the discounted payoff amount.</w:t>
      </w:r>
    </w:p>
    <w:p>
      <w:pPr>
        <w:spacing w:after="0" w:line="13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Generally when granting concessions, the Company will seek to protect its position by requiring incremental pay downs, additional collateral or guarantees and in some cases lookback features or equity kickers to offset concessions granted should conditions impacting the loan improve. The Company's determination of credit losses is impacted by troubled debt restructurings whereby loans that have gone through troubled debt restructurings are considered impaired, assessed for specific reserves, and are not included in the Company's assessment of general loan loss reserves. Loans previously restructured under troubled debt restructurings that subsequently default are reassessed to incorporate the Company's current assumptions on expected cash flows and additional provision expense is recorded to the extent necessary. As of June 30, 2014, the Company had $3.5 million of unfunded commitments associated with modified loans considered troubled debt restructurings.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—As of June 30, 2014, other lending investments—securities includes the following ($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Face Value</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Amortized Cost</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Estimated Fair</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Net Carrying Value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Basis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Held-to-Maturity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180,188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180,188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180,188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176,040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181,228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181,320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181,320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other investments and its proportionate share of results from equity method investments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Carrying Value as of</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Equity in Earnings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Pr>
          <w:p>
            <w:pPr>
              <w:spacing w:after="0"/>
              <w:rPr>
                <w:sz w:val="13"/>
                <w:szCs w:val="13"/>
                <w:color w:val="auto"/>
              </w:rPr>
            </w:pPr>
          </w:p>
        </w:tc>
        <w:tc>
          <w:tcPr>
            <w:tcW w:w="1020" w:type="dxa"/>
            <w:vAlign w:val="bottom"/>
          </w:tcPr>
          <w:p>
            <w:pPr>
              <w:jc w:val="right"/>
              <w:ind w:right="74"/>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c>
          <w:tcPr>
            <w:tcW w:w="248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7"/>
              </w:rPr>
              <w:t>For the Three Months Ended June 30,</w:t>
            </w:r>
          </w:p>
        </w:tc>
        <w:tc>
          <w:tcPr>
            <w:tcW w:w="120" w:type="dxa"/>
            <w:vAlign w:val="bottom"/>
          </w:tcPr>
          <w:p>
            <w:pPr>
              <w:spacing w:after="0"/>
              <w:rPr>
                <w:sz w:val="13"/>
                <w:szCs w:val="13"/>
                <w:color w:val="auto"/>
              </w:rPr>
            </w:pPr>
          </w:p>
        </w:tc>
        <w:tc>
          <w:tcPr>
            <w:tcW w:w="22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48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equity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98,204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62,205</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equity method investments(1)</w:t>
            </w:r>
          </w:p>
        </w:tc>
        <w:tc>
          <w:tcPr>
            <w:tcW w:w="1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70,067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45,954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23,882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24,918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Madison Funds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43,531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67,782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Oak Hill Funds</w:t>
            </w:r>
          </w:p>
        </w:tc>
        <w:tc>
          <w:tcPr>
            <w:tcW w:w="1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20,275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21,366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LNR</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16,465</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equity method investments</w:t>
            </w:r>
          </w:p>
        </w:tc>
        <w:tc>
          <w:tcPr>
            <w:tcW w:w="140" w:type="dxa"/>
            <w:vAlign w:val="bottom"/>
            <w:tcBorders>
              <w:top w:val="single" w:sz="8" w:color="auto"/>
              <w:bottom w:val="single" w:sz="8" w:color="CCEEFF"/>
            </w:tcBorders>
          </w:tcPr>
          <w:p>
            <w:pPr>
              <w:spacing w:after="0"/>
              <w:rPr>
                <w:sz w:val="24"/>
                <w:szCs w:val="24"/>
                <w:color w:val="auto"/>
              </w:rPr>
            </w:pPr>
          </w:p>
        </w:tc>
        <w:tc>
          <w:tcPr>
            <w:tcW w:w="1040" w:type="dxa"/>
            <w:vAlign w:val="bottom"/>
            <w:tcBorders>
              <w:top w:val="single" w:sz="8" w:color="auto"/>
              <w:bottom w:val="single" w:sz="8" w:color="CCEEFF"/>
            </w:tcBorders>
          </w:tcPr>
          <w:p>
            <w:pPr>
              <w:jc w:val="right"/>
              <w:ind w:right="34"/>
              <w:spacing w:after="0"/>
              <w:rPr>
                <w:sz w:val="20"/>
                <w:szCs w:val="20"/>
                <w:color w:val="auto"/>
              </w:rPr>
            </w:pPr>
            <w:r>
              <w:rPr>
                <w:rFonts w:ascii="Arial" w:cs="Arial" w:eastAsia="Arial" w:hAnsi="Arial"/>
                <w:sz w:val="18"/>
                <w:szCs w:val="18"/>
                <w:color w:val="auto"/>
              </w:rPr>
              <w:t>232,077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20" w:type="dxa"/>
            <w:vAlign w:val="bottom"/>
            <w:tcBorders>
              <w:top w:val="single" w:sz="8" w:color="auto"/>
              <w:bottom w:val="single" w:sz="8" w:color="CCEEFF"/>
            </w:tcBorders>
          </w:tcPr>
          <w:p>
            <w:pPr>
              <w:jc w:val="right"/>
              <w:ind w:right="34"/>
              <w:spacing w:after="0"/>
              <w:rPr>
                <w:sz w:val="20"/>
                <w:szCs w:val="20"/>
                <w:color w:val="auto"/>
              </w:rPr>
            </w:pPr>
            <w:r>
              <w:rPr>
                <w:rFonts w:ascii="Arial" w:cs="Arial" w:eastAsia="Arial" w:hAnsi="Arial"/>
                <w:sz w:val="18"/>
                <w:szCs w:val="18"/>
                <w:color w:val="auto"/>
              </w:rPr>
              <w:t>197,307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24,093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8,323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27,270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30,001</w:t>
            </w: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00" w:type="dxa"/>
            <w:vAlign w:val="bottom"/>
          </w:tcPr>
          <w:p>
            <w:pPr>
              <w:ind w:left="180"/>
              <w:spacing w:after="0"/>
              <w:rPr>
                <w:sz w:val="20"/>
                <w:szCs w:val="20"/>
                <w:color w:val="auto"/>
              </w:rPr>
            </w:pPr>
            <w:r>
              <w:rPr>
                <w:rFonts w:ascii="Arial" w:cs="Arial" w:eastAsia="Arial" w:hAnsi="Arial"/>
                <w:sz w:val="18"/>
                <w:szCs w:val="18"/>
                <w:color w:val="auto"/>
              </w:rPr>
              <w:t>Total other investments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241,561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207,209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 the three and six months ended June 30, 2014, the Company recognized $23.4 million of earnings from equity method investments resulting from asset sales by one of its equity method investees.</w:t>
      </w:r>
    </w:p>
    <w:p>
      <w:pPr>
        <w:spacing w:after="0" w:line="12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color w:val="auto"/>
        </w:rPr>
        <w:t>LNR</w:t>
      </w:r>
      <w:r>
        <w:rPr>
          <w:rFonts w:ascii="Arial" w:cs="Arial" w:eastAsia="Arial" w:hAnsi="Arial"/>
          <w:sz w:val="17"/>
          <w:szCs w:val="17"/>
          <w:color w:val="auto"/>
        </w:rPr>
        <w:t>—In July 2010, the Company acquired an ownership interest of approximately 24% in LNR Property Corporation ("LNR"). LNR is a servicer and</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servicer of commercial mortgage loans and CMBS and a diversified real estate investment, finance and management company. In the transaction, the Company and a group of investors, including other creditors of LNR, acquired 100% of the common stock of LNR in exchange for cash and the extinguishment of existing senior notes of LNR's parent holding company (the "Holdco Notes"). The Company contributed $100.0 million aggregate principal amount of Holdco Notes and $100.0 million in cash in exchange for an equity interest of $120.0 million.</w:t>
      </w:r>
    </w:p>
    <w:p>
      <w:pPr>
        <w:spacing w:after="0" w:line="17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Beginning in September 2012, the Company and other owners of LNR entered into negotiations with potential purchasers of LNR. After an extensive due diligence and negotiation process, the LNR owners entered into a definitive contract to sell LNR in January 2013 at a fixed sale price which, from the Company's perspective, reflected in part the Company's then-current expectations about the future results of LNR and potential volatility in its business. The definitive sale contract provided that LNR would not make cash distributions to its owners during the fourth quarter of 2012 through the closing of the sale. Notwithstanding the fixed terms of the contract, our investment balance in LNR increased due to equity in earnings recorded which resulted in our recognition of other than temporary impairment on our investment during the year ended December 31, 2013. In April 2013, the Company completed the sale of its 24% equity interest in LNR and received $220.3 million in net proceeds. Approximately $25.2 million of net proceeds, which were placed in escrow for potential indemnification obligations, were released to the Company in April 2014.</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investee level summarized financial information for LNR ($ in thousands)(1):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ind w:left="80"/>
              <w:spacing w:after="0"/>
              <w:rPr>
                <w:sz w:val="20"/>
                <w:szCs w:val="20"/>
                <w:color w:val="auto"/>
              </w:rPr>
            </w:pPr>
            <w:r>
              <w:rPr>
                <w:rFonts w:ascii="Arial" w:cs="Arial" w:eastAsia="Arial" w:hAnsi="Arial"/>
                <w:sz w:val="14"/>
                <w:szCs w:val="14"/>
                <w:b w:val="1"/>
                <w:bCs w:val="1"/>
                <w:color w:val="auto"/>
              </w:rPr>
              <w:t>For the Three Months</w:t>
            </w:r>
          </w:p>
        </w:tc>
        <w:tc>
          <w:tcPr>
            <w:tcW w:w="200" w:type="dxa"/>
            <w:vAlign w:val="bottom"/>
          </w:tcPr>
          <w:p>
            <w:pPr>
              <w:spacing w:after="0"/>
              <w:rPr>
                <w:sz w:val="14"/>
                <w:szCs w:val="14"/>
                <w:color w:val="auto"/>
              </w:rPr>
            </w:pPr>
          </w:p>
        </w:tc>
        <w:tc>
          <w:tcPr>
            <w:tcW w:w="1740" w:type="dxa"/>
            <w:vAlign w:val="bottom"/>
          </w:tcPr>
          <w:p>
            <w:pPr>
              <w:jc w:val="right"/>
              <w:ind w:right="297"/>
              <w:spacing w:after="0"/>
              <w:rPr>
                <w:sz w:val="20"/>
                <w:szCs w:val="20"/>
                <w:color w:val="auto"/>
              </w:rPr>
            </w:pPr>
            <w:r>
              <w:rPr>
                <w:rFonts w:ascii="Arial" w:cs="Arial" w:eastAsia="Arial" w:hAnsi="Arial"/>
                <w:sz w:val="14"/>
                <w:szCs w:val="14"/>
                <w:b w:val="1"/>
                <w:bCs w:val="1"/>
                <w:color w:val="auto"/>
              </w:rPr>
              <w:t>For the Six Months</w:t>
            </w:r>
          </w:p>
        </w:tc>
      </w:tr>
      <w:tr>
        <w:trPr>
          <w:trHeight w:val="192"/>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tcPr>
          <w:p>
            <w:pPr>
              <w:ind w:left="80"/>
              <w:spacing w:after="0"/>
              <w:rPr>
                <w:sz w:val="20"/>
                <w:szCs w:val="20"/>
                <w:color w:val="auto"/>
              </w:rPr>
            </w:pPr>
            <w:r>
              <w:rPr>
                <w:rFonts w:ascii="Arial" w:cs="Arial" w:eastAsia="Arial" w:hAnsi="Arial"/>
                <w:sz w:val="14"/>
                <w:szCs w:val="14"/>
                <w:b w:val="1"/>
                <w:bCs w:val="1"/>
                <w:color w:val="auto"/>
              </w:rPr>
              <w:t>Ended March 31, 2013</w:t>
            </w:r>
          </w:p>
        </w:tc>
        <w:tc>
          <w:tcPr>
            <w:tcW w:w="200" w:type="dxa"/>
            <w:vAlign w:val="bottom"/>
          </w:tcPr>
          <w:p>
            <w:pPr>
              <w:spacing w:after="0"/>
              <w:rPr>
                <w:sz w:val="16"/>
                <w:szCs w:val="16"/>
                <w:color w:val="auto"/>
              </w:rPr>
            </w:pPr>
          </w:p>
        </w:tc>
        <w:tc>
          <w:tcPr>
            <w:tcW w:w="1740" w:type="dxa"/>
            <w:vAlign w:val="bottom"/>
          </w:tcPr>
          <w:p>
            <w:pPr>
              <w:jc w:val="right"/>
              <w:ind w:right="197"/>
              <w:spacing w:after="0"/>
              <w:rPr>
                <w:sz w:val="20"/>
                <w:szCs w:val="20"/>
                <w:color w:val="auto"/>
              </w:rPr>
            </w:pPr>
            <w:r>
              <w:rPr>
                <w:rFonts w:ascii="Arial" w:cs="Arial" w:eastAsia="Arial" w:hAnsi="Arial"/>
                <w:sz w:val="14"/>
                <w:szCs w:val="14"/>
                <w:b w:val="1"/>
                <w:bCs w:val="1"/>
                <w:color w:val="auto"/>
                <w:w w:val="98"/>
              </w:rPr>
              <w:t>Ended March 31, 2013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Income Statements</w:t>
            </w:r>
          </w:p>
        </w:tc>
        <w:tc>
          <w:tcPr>
            <w:tcW w:w="20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68,779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146,579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(1,401)</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LNR</w:t>
            </w: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42,452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231,701</w:t>
            </w:r>
          </w:p>
        </w:tc>
      </w:tr>
      <w:tr>
        <w:trPr>
          <w:trHeight w:val="27"/>
        </w:trPr>
        <w:tc>
          <w:tcPr>
            <w:tcW w:w="7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line="250"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 recorded its investment in LNR, which was sold in April 2013, on a one quarter lag. Therefore, the amounts in the Company's financial statements for the three and six months ended June 30, 2013 were based on balances and results from LNR for the three and six months ended March 31, 2013.</w:t>
      </w:r>
    </w:p>
    <w:p>
      <w:pPr>
        <w:jc w:val="both"/>
        <w:ind w:left="660" w:hanging="652"/>
        <w:spacing w:after="0" w:line="246"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LNR consolidates certain commercial mortgage-backed securities and collateralized debt obligation trusts that are considered VIEs (and for which it is the primary beneficiary), that have been included in the amounts presented above. For the three and six months ended March 31, 2013, total revenue presented above includes $21.1 million and $50.4 million, respectively, of servicing fee revenue that is eliminated upon consolidation of the VIE's at the LNR level. This income is then added back through consolidation at the LNR level as an adjustment to income allocable to noncontrolling entities and has no net impact on net income attributable to LNR.</w:t>
      </w:r>
    </w:p>
    <w:p>
      <w:pPr>
        <w:spacing w:after="0" w:line="25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reconciles the activity related to the Company's investment in LNR for the three months ended March 31, 2013 and June 30, 2013 and for the six months ended June 30, 2013 ($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the Three Months</w:t>
            </w:r>
          </w:p>
        </w:tc>
        <w:tc>
          <w:tcPr>
            <w:tcW w:w="14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For the Three Months</w:t>
            </w: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For the Six Months Ended</w:t>
            </w:r>
          </w:p>
        </w:tc>
        <w:tc>
          <w:tcPr>
            <w:tcW w:w="44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rPr>
              <w:t>Ended March 31, 2013</w:t>
            </w:r>
          </w:p>
        </w:tc>
        <w:tc>
          <w:tcPr>
            <w:tcW w:w="140" w:type="dxa"/>
            <w:vAlign w:val="bottom"/>
          </w:tcPr>
          <w:p>
            <w:pPr>
              <w:spacing w:after="0"/>
              <w:rPr>
                <w:sz w:val="16"/>
                <w:szCs w:val="16"/>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Ended June 30, 2013</w:t>
            </w:r>
          </w:p>
        </w:tc>
        <w:tc>
          <w:tcPr>
            <w:tcW w:w="260" w:type="dxa"/>
            <w:vAlign w:val="bottom"/>
          </w:tcPr>
          <w:p>
            <w:pPr>
              <w:spacing w:after="0"/>
              <w:rPr>
                <w:sz w:val="16"/>
                <w:szCs w:val="16"/>
                <w:color w:val="auto"/>
              </w:rPr>
            </w:pPr>
          </w:p>
        </w:tc>
        <w:tc>
          <w:tcPr>
            <w:tcW w:w="1440" w:type="dxa"/>
            <w:vAlign w:val="bottom"/>
          </w:tcPr>
          <w:p>
            <w:pPr>
              <w:jc w:val="right"/>
              <w:ind w:right="353"/>
              <w:spacing w:after="0"/>
              <w:rPr>
                <w:sz w:val="20"/>
                <w:szCs w:val="20"/>
                <w:color w:val="auto"/>
              </w:rPr>
            </w:pPr>
            <w:r>
              <w:rPr>
                <w:rFonts w:ascii="Arial" w:cs="Arial" w:eastAsia="Arial" w:hAnsi="Arial"/>
                <w:sz w:val="14"/>
                <w:szCs w:val="14"/>
                <w:b w:val="1"/>
                <w:bCs w:val="1"/>
                <w:color w:val="auto"/>
              </w:rPr>
              <w:t>June 30, 2013</w:t>
            </w:r>
          </w:p>
        </w:tc>
        <w:tc>
          <w:tcPr>
            <w:tcW w:w="440" w:type="dxa"/>
            <w:vAlign w:val="bottom"/>
          </w:tcPr>
          <w:p>
            <w:pPr>
              <w:spacing w:after="0"/>
              <w:rPr>
                <w:sz w:val="16"/>
                <w:szCs w:val="16"/>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of LNR at beginning of period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220,281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205,773</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Equity in earnings of LNR for the period(1)</w:t>
            </w:r>
          </w:p>
        </w:tc>
        <w:tc>
          <w:tcPr>
            <w:tcW w:w="14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45,375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45,375</w:t>
            </w:r>
          </w:p>
        </w:tc>
        <w:tc>
          <w:tcPr>
            <w:tcW w:w="4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before other than temporary impairment</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220,281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251,148</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than temporary impairment(1)</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(30,867)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(30,867)</w:t>
            </w:r>
          </w:p>
        </w:tc>
        <w:tc>
          <w:tcPr>
            <w:tcW w:w="440" w:type="dxa"/>
            <w:vAlign w:val="bottom"/>
          </w:tcPr>
          <w:p>
            <w:pPr>
              <w:jc w:val="right"/>
              <w:spacing w:after="0"/>
              <w:rPr>
                <w:sz w:val="20"/>
                <w:szCs w:val="20"/>
                <w:color w:val="auto"/>
              </w:rPr>
            </w:pPr>
            <w:r>
              <w:rPr>
                <w:rFonts w:ascii="Arial" w:cs="Arial" w:eastAsia="Arial" w:hAnsi="Arial"/>
                <w:sz w:val="18"/>
                <w:szCs w:val="18"/>
                <w:color w:val="auto"/>
              </w:rPr>
              <w:t>(b)</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proceeds pursuant to contract</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(220,281)</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Carrying value of LNR at end of period</w:t>
            </w:r>
          </w:p>
        </w:tc>
        <w:tc>
          <w:tcPr>
            <w:tcW w:w="14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220,281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49"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During the six months ended June 30, 2013, the Company recorded an other than temporary impairment of $30.9 million. Subsequent to the sale of the Company's interest in LNR, LNR reported a reduction in their earnings of $66.2 million related to a purchase price allocation adjustment. The reduction was reflected in LNR's operations for the three months ended March 31, 2013, which resulted in a net loss for the period. Because the Company recorded its investment in LNR on a one quarter lag, the adjustment was reflected in the quarter ended June 30, 2013. There was no net impact on the Company's previously reported equity in earnings as the Company limited its proportionate share of earnings from LNR pursuant to the definitive sale agreement as described above.</w:t>
      </w:r>
    </w:p>
    <w:p>
      <w:pPr>
        <w:spacing w:after="0" w:line="142"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For the six months ended June 30, 2013, the amount that was recognized as income in the Company's Consolidated Statements of Operations is the sum of items (a) and (b), and $1.7 million of income recognized for the release of other comprehensive income related to LNR upon sale, or $16.5 million.</w:t>
      </w:r>
    </w:p>
    <w:p>
      <w:pPr>
        <w:spacing w:after="0" w:line="79"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Madison Funds</w:t>
      </w:r>
      <w:r>
        <w:rPr>
          <w:rFonts w:ascii="Arial" w:cs="Arial" w:eastAsia="Arial" w:hAnsi="Arial"/>
          <w:sz w:val="18"/>
          <w:szCs w:val="18"/>
          <w:color w:val="auto"/>
        </w:rPr>
        <w:t>—As of June 30, 2014, the Company owned a 29.52% interest in Madison International Real Estate Fund II, LP, a 32.92%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Madison International Real Estate Fund III, LP and a 29.52% interest in Madison GP1 Investors, LP (collectively, the "Madison Funds"). The Madison Funds invest in ownership positions of entities that own real estate assets. The Company determined that these entities are VIEs and that the Company is not the primary beneficiary.</w:t>
      </w:r>
    </w:p>
    <w:p>
      <w:pPr>
        <w:spacing w:after="0" w:line="99"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Oak Hill Funds</w:t>
      </w:r>
      <w:r>
        <w:rPr>
          <w:rFonts w:ascii="Arial" w:cs="Arial" w:eastAsia="Arial" w:hAnsi="Arial"/>
          <w:sz w:val="18"/>
          <w:szCs w:val="18"/>
          <w:color w:val="auto"/>
        </w:rPr>
        <w:t>—As of June 30, 2014, the Company owned a 5.92% interest in OHA Strategic Credit Master Fund, L.P. ("OHASCF"). OHASCF was</w:t>
      </w:r>
      <w:r>
        <w:rPr>
          <w:rFonts w:ascii="Arial" w:cs="Arial" w:eastAsia="Arial" w:hAnsi="Arial"/>
          <w:sz w:val="18"/>
          <w:szCs w:val="18"/>
          <w:b w:val="1"/>
          <w:bCs w:val="1"/>
          <w:color w:val="auto"/>
        </w:rPr>
        <w:t xml:space="preserve"> </w:t>
      </w:r>
      <w:r>
        <w:rPr>
          <w:rFonts w:ascii="Arial" w:cs="Arial" w:eastAsia="Arial" w:hAnsi="Arial"/>
          <w:sz w:val="18"/>
          <w:szCs w:val="18"/>
          <w:color w:val="auto"/>
        </w:rPr>
        <w:t>formed to acquire and manage a diverse portfolio of assets, investing in distressed, stressed and undervalued loans, bonds, equities and other investments. The Company determined that this entity is a VIE and that the Company is not the primary beneficiary.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6"/>
          <w:szCs w:val="16"/>
          <w:b w:val="1"/>
          <w:bCs w:val="1"/>
          <w:color w:val="auto"/>
        </w:rPr>
        <w:t>Real Estate Equity Investments</w:t>
      </w:r>
      <w:r>
        <w:rPr>
          <w:rFonts w:ascii="Arial" w:cs="Arial" w:eastAsia="Arial" w:hAnsi="Arial"/>
          <w:sz w:val="16"/>
          <w:szCs w:val="16"/>
          <w:color w:val="auto"/>
        </w:rPr>
        <w:t>—During the six months ended June 30, 2014, the Company sold a net lease asset for net proceeds of $93.7 million to</w:t>
      </w:r>
      <w:r>
        <w:rPr>
          <w:rFonts w:ascii="Arial" w:cs="Arial" w:eastAsia="Arial" w:hAnsi="Arial"/>
          <w:sz w:val="16"/>
          <w:szCs w:val="16"/>
          <w:b w:val="1"/>
          <w:bCs w:val="1"/>
          <w:color w:val="auto"/>
        </w:rPr>
        <w:t xml:space="preserve"> </w:t>
      </w:r>
      <w:r>
        <w:rPr>
          <w:rFonts w:ascii="Arial" w:cs="Arial" w:eastAsia="Arial" w:hAnsi="Arial"/>
          <w:sz w:val="16"/>
          <w:szCs w:val="16"/>
          <w:color w:val="auto"/>
        </w:rPr>
        <w:t>a newly formed unconsolidated entity in which the Company contributed $17.7 million for a noncontrolling equity interest of approximately 51.9%. The Company partnered with a sovereign wealth fund to form the venture in which the partners plan to contribute up to an aggregate $500 million of equity to acquire and develop net lease assets over time. The Company is responsible for sourcing new opportunities and managing the venture and its assets in exchange for a promote and management fee. Several of the Company's senior executives whose time is substantially devoted to the net lease venture own a total of 0.6% equity ownership in the venture via co-investment. These executives are also entitled to an amount equal to 50% of any promote payment received based on the 47.5% partner's interest. As of June 30, 2014, the Company had a recorded equity interest of $17.3 million.</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six months ended June 30, 2014, the Company contributed land to a newly formed unconsolidated entity in which the Company received an initial equity interest of 85.7%. This entity is a VIE and the Company does not have controlling interest due to shared control of the entity with its partner. As of June 30, 2014, the Company had a recorded equity interest of $9.5 million. Additionally, the Company committed to provide $45.7 million of mezzanine financing to the entity. As of June 30, 2014, the loan balance was $1.9 million and was included in "Loans receivable and other lending investments, net" on the Company's Consolidated Balance Sheets.</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addition, as of June 30, 2014, the Company's other real estate equity investments included equity interests in real estate ventures ranging from 31% to 76%, comprised of investments of $16.4 million in net lease assets, $15.1 million in operating properties and $39.9 million in land assets. As of December 31, 2013, the Company's real estate equity investments included $16.4 million in net lease assets, $16.0 million in operating properties and $29.8 million in land assets. One of the Company's equity investments in operating properties represents a 33% interest in residential property units. For the six months ended June 30, 2014 and 2013, the Company's earnings from its interest in this property includes income from sales of residential units of $0.3 million and $4.0 million, respectively.</w:t>
      </w:r>
    </w:p>
    <w:p>
      <w:pPr>
        <w:spacing w:after="0" w:line="189"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Other Investments</w:t>
      </w:r>
      <w:r>
        <w:rPr>
          <w:rFonts w:ascii="Arial" w:cs="Arial" w:eastAsia="Arial" w:hAnsi="Arial"/>
          <w:sz w:val="18"/>
          <w:szCs w:val="18"/>
          <w:color w:val="auto"/>
        </w:rPr>
        <w:t>—As of June 30, 2014, the Company also had smaller investments in real estate related funds and other strategic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other entities that were accounted for under the equity method or cost method.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Assets and Other Liabilities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expenses and other assets, net, consist of the following items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June 30, 2014</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5"/>
              </w:rPr>
              <w:t>December 31, 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57,060</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100,652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financing fees, net(2)</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42,519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33,591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Leasing costs, net(3)</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21,799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34,655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furniture, fixtures and equipment, net(4)</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36,495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40,726</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expenses and other assets,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187,148</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237,980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64" w:lineRule="auto"/>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Intangible assets, net are primarily related to the acquisition of real estate assets. Accumulated amortization on intangible assets was $37.6 million and $38.1 million as of June 30, 2014 and December 31, 2013, respectively. The amortization of above market leases decreased operating lease income on the Company's Consolidated Statements of Operations by $1.4 million and $3.6 million for the three and six months ended June 30, 2014, respectively, and $1.6 million and $3.2 million for the three and six months ended June 30, 2013. The amortization expense for other intangible assets was $1.7 million and $4.2 million for the three and six months ended June 30, 2014, respectively, and $2.5 million and $5.1 million for the three and six months ended June 30, 2013, respectively. These amounts are included in "Depreciation and amortization" on the Company's Consolidated Statements of Operations.</w:t>
      </w: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Accumulated amortization on deferred financing fees was $9.9 million and $9.9 million as of June 30, 2014 and December 31, 2013, respectively.</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Accumulated amortization on leasing costs was $7.8 million and $7.1 million as of June 30, 2014 and December 31, 2013, respectively.</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Accumulated depreciation on corporate furniture, fixtures and equipment was $6.6 million and $6.2 million as of June 30, 2014 and December 31, 2013, respectively.</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accrued expenses and other liabilities consist of the following items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June 30, 2014</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31, 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42,931</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58,840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interest payable</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35,971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40,015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liabilities, net(1)</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26,223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45,150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45,753</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136,850</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170,831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86" w:lineRule="auto"/>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Intangible liabilities, net are primarily related to the acquisition of real estate assets. Accumulated amortization on intangible liabilities was $5.3 million and $4.6 million as of June 30, 2014 and December 31, 2013, respectively. The amortization of intangible liabilities increased operating lease income on the Company's Consolidated Statements of Operations by $0.9 million and $1.6 million for the three and six months ended June 30, 2014, respectively, and $1.1 million and $2.2 million for the three and six months ended June 30, 2013, respectively.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tax assets and liabilities of the Company's TRS entities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21"/>
                <w:szCs w:val="21"/>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2013</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assets(1)</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55,962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(55,661)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(55,962)</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assets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jc w:val="both"/>
        <w:ind w:left="660" w:hanging="652"/>
        <w:spacing w:after="0" w:line="257"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Deferred tax assets as of June 30, 2014 include real estate basis differences of $39.8 million, investment basis differences of $8.5 million, net operating loss carryforwards of $5.0 million and other differences of $2.3 million. Deferred tax assets as of December 31, 2013 include real estate basis differences of $33.0 million, net operating loss carryforwards of $14.9 million and investment basis differences of $8.1 million.</w:t>
      </w:r>
    </w:p>
    <w:p>
      <w:pPr>
        <w:sectPr>
          <w:pgSz w:w="11900" w:h="16838" w:orient="portrait"/>
          <w:cols w:equalWidth="0" w:num="1">
            <w:col w:w="11420"/>
          </w:cols>
          <w:pgMar w:left="240" w:top="121"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2014 and December 31, 2013, the Company's debt obligations were as follows ($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Carrying Value as of</w:t>
            </w: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53"/>
        </w:trPr>
        <w:tc>
          <w:tcPr>
            <w:tcW w:w="4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26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780" w:type="dxa"/>
            <w:vAlign w:val="bottom"/>
          </w:tcPr>
          <w:p>
            <w:pPr>
              <w:jc w:val="right"/>
              <w:ind w:right="617"/>
              <w:spacing w:after="0" w:line="153" w:lineRule="exact"/>
              <w:rPr>
                <w:sz w:val="20"/>
                <w:szCs w:val="20"/>
                <w:color w:val="auto"/>
              </w:rPr>
            </w:pPr>
            <w:r>
              <w:rPr>
                <w:rFonts w:ascii="Arial" w:cs="Arial" w:eastAsia="Arial" w:hAnsi="Arial"/>
                <w:sz w:val="14"/>
                <w:szCs w:val="14"/>
                <w:b w:val="1"/>
                <w:bCs w:val="1"/>
                <w:color w:val="auto"/>
              </w:rPr>
              <w:t>Stated</w:t>
            </w:r>
          </w:p>
        </w:tc>
        <w:tc>
          <w:tcPr>
            <w:tcW w:w="44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Scheduled</w:t>
            </w:r>
          </w:p>
        </w:tc>
      </w:tr>
      <w:tr>
        <w:trPr>
          <w:trHeight w:val="192"/>
        </w:trPr>
        <w:tc>
          <w:tcPr>
            <w:tcW w:w="4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Interest Rates</w:t>
            </w:r>
          </w:p>
        </w:tc>
        <w:tc>
          <w:tcPr>
            <w:tcW w:w="4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Secured credit facilities and term loans: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2012 Tranche A-2 Facility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391,938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431,475</w:t>
            </w:r>
          </w:p>
        </w:tc>
        <w:tc>
          <w:tcPr>
            <w:tcW w:w="120" w:type="dxa"/>
            <w:vAlign w:val="bottom"/>
          </w:tcPr>
          <w:p>
            <w:pPr>
              <w:spacing w:after="0"/>
              <w:rPr>
                <w:sz w:val="21"/>
                <w:szCs w:val="21"/>
                <w:color w:val="auto"/>
              </w:rPr>
            </w:pPr>
          </w:p>
        </w:tc>
        <w:tc>
          <w:tcPr>
            <w:tcW w:w="1780" w:type="dxa"/>
            <w:vAlign w:val="bottom"/>
          </w:tcPr>
          <w:p>
            <w:pPr>
              <w:jc w:val="right"/>
              <w:ind w:right="97"/>
              <w:spacing w:after="0"/>
              <w:rPr>
                <w:sz w:val="20"/>
                <w:szCs w:val="20"/>
                <w:color w:val="auto"/>
              </w:rPr>
            </w:pPr>
            <w:r>
              <w:rPr>
                <w:rFonts w:ascii="Arial" w:cs="Arial" w:eastAsia="Arial" w:hAnsi="Arial"/>
                <w:sz w:val="18"/>
                <w:szCs w:val="18"/>
                <w:color w:val="auto"/>
              </w:rPr>
              <w:t>LIBOR + 5.75%</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2017</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February 2013 Secured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1,379,407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LIBOR + 3.50%</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(2)</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Term loans collateralized by net lease assets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278,261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278,817</w:t>
            </w:r>
          </w:p>
        </w:tc>
        <w:tc>
          <w:tcPr>
            <w:tcW w:w="1900" w:type="dxa"/>
            <w:vAlign w:val="bottom"/>
            <w:gridSpan w:val="2"/>
          </w:tcPr>
          <w:p>
            <w:pPr>
              <w:jc w:val="right"/>
              <w:ind w:right="97"/>
              <w:spacing w:after="0"/>
              <w:rPr>
                <w:sz w:val="20"/>
                <w:szCs w:val="20"/>
                <w:color w:val="auto"/>
              </w:rPr>
            </w:pPr>
            <w:r>
              <w:rPr>
                <w:rFonts w:ascii="Arial" w:cs="Arial" w:eastAsia="Arial" w:hAnsi="Arial"/>
                <w:sz w:val="18"/>
                <w:szCs w:val="18"/>
                <w:color w:val="auto"/>
              </w:rPr>
              <w:t>4.851% - 7.26%</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Various through 2026</w:t>
            </w:r>
          </w:p>
        </w:tc>
      </w:tr>
      <w:tr>
        <w:trPr>
          <w:trHeight w:val="27"/>
        </w:trPr>
        <w:tc>
          <w:tcPr>
            <w:tcW w:w="4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secured credit facilities and term loans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2,089,699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Unsecured notes: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6.05%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105,765</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2015</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5.875% senior notes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261,403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261,403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5.875%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2016</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3.875%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2016</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3.0% senior convertible notes(4)</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November 2016</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1.50% senior convertible notes(5)</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2016</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5.85% senior notes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99,722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99,722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2017</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9.0%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2017</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4.00% senior notes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November 2017</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7.125%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February 2018</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4.875% senior notes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4.875%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July 2018</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5.00% senior notes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2019</w:t>
            </w: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Total unsecured notes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3,326,890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2,006,890</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debt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Other debt obligations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780" w:type="dxa"/>
            <w:vAlign w:val="bottom"/>
          </w:tcPr>
          <w:p>
            <w:pPr>
              <w:jc w:val="right"/>
              <w:ind w:right="97"/>
              <w:spacing w:after="0"/>
              <w:rPr>
                <w:sz w:val="20"/>
                <w:szCs w:val="20"/>
                <w:color w:val="auto"/>
              </w:rPr>
            </w:pPr>
            <w:r>
              <w:rPr>
                <w:rFonts w:ascii="Arial" w:cs="Arial" w:eastAsia="Arial" w:hAnsi="Arial"/>
                <w:sz w:val="18"/>
                <w:szCs w:val="18"/>
                <w:color w:val="auto"/>
              </w:rPr>
              <w:t>LIBOR + 1.50%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October 2035</w:t>
            </w:r>
          </w:p>
        </w:tc>
      </w:tr>
      <w:tr>
        <w:trPr>
          <w:trHeight w:val="27"/>
        </w:trPr>
        <w:tc>
          <w:tcPr>
            <w:tcW w:w="4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debt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4,097,089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4,196,589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Debt discounts, net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(38,464)</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debt obligations,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4,082,511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4,158,125</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loan has a LIBOR floor of 1.25%. As of June 30, 2014, inclusive of the floor, the 2012 Tranche A-2 Facility loan incurred interest at a rate of 7.00%.</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loan had a LIBOR floor of 1.00%.</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a loan with a floating rate of LIBOR plus 2.00% and a loan with a floating rate of LIBOR plus 2.75%. The weighted average interest rate of these loans is 5.1%.</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Company's 3.0% senior convertible fixed rate notes due November 2016 ("3.0% Convertible Notes") are convertible at the option of the holders, into 85.0 shares per $1,000 principal amount of 3.0% Convertible Notes, at any time prior to the close of business on November 14, 2016.</w:t>
      </w:r>
    </w:p>
    <w:p>
      <w:pPr>
        <w:ind w:left="660" w:hanging="652"/>
        <w:spacing w:after="0" w:line="255"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Company's 1.50% senior convertible fixed rate notes due November 2016 ("1.50% Convertible Notes") are convertible at the option of the holders, into 57.8 shares per $1,000 principal amount of 1.50% Convertible Notes, at any time prior to the close of business on November 14, 2016.</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Future Scheduled Maturities</w:t>
      </w:r>
      <w:r>
        <w:rPr>
          <w:rFonts w:ascii="Arial" w:cs="Arial" w:eastAsia="Arial" w:hAnsi="Arial"/>
          <w:sz w:val="18"/>
          <w:szCs w:val="18"/>
          <w:color w:val="auto"/>
        </w:rPr>
        <w:t>—As of June 30, 2014, future scheduled maturities of outstanding long-term debt obligations are as follows ($ in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Unsecured Debt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Secured Debt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 (remaining six months)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25,176</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105,765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105,765</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926,403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926,403</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924,722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391,938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1,316,660</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616,162</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870,000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236,923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1,106,923</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principal maturities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3,426,890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670,199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4,097,089</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Unamortized debt discounts,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(14,578)</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obligations,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3,417,128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665,383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4,082,511</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February 2013 Secured Credit Facility</w:t>
      </w:r>
      <w:r>
        <w:rPr>
          <w:rFonts w:ascii="Arial" w:cs="Arial" w:eastAsia="Arial" w:hAnsi="Arial"/>
          <w:sz w:val="18"/>
          <w:szCs w:val="18"/>
          <w:color w:val="auto"/>
        </w:rPr>
        <w:t>—On February 11, 2013, the Company entered into a $1.71 billion senior secured credit facility due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15, 2017 (the "February 2013 Secured Credit Facility") that amended and restated its $1.82 billion senior secured credit facility, dated October 15, 2012 (the "October 2012 Secured Credit Facility"). The February 2013 Credit Facility amended the October 2012 Secured Credit Facility by: (i) reducing the interest rate from LIBOR plus 4.50%, with a 1.25% LIBOR floor, to LIBOR plus 3.50%, with a 1.00% LIBOR floor; and (ii) extending the call protection period for the lenders from October 15, 2013 to December 31, 2013.</w:t>
      </w:r>
    </w:p>
    <w:p>
      <w:pPr>
        <w:spacing w:after="0" w:line="14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connection with the February 2013 Secured Credit Facility transaction, the Company incurred $17.1 million of lender fees, of which $14.4 million was capitalized in "Debt obligations, net" on the Company's Consolidated Balance Sheets and $2.7 million was recorded as a loss in "Loss on early extinguishment of debt, net" on the Company's Consolidated Statements of Operations as it related to the lenders who did not participate in the new facility. The Company also incurred $3.8 million in third party fees, of which $3.6 million was recognized in “Other expense” on the Company's Consolidated Statements of Operations, as it related primarily to those lenders from the original facility that modified their debt under the new facility, and $0.2 million was recorded in “Deferred expenses and other assets, net” on the Company's Consolidated Balance Sheets, as it related to the new lenders.</w:t>
      </w:r>
    </w:p>
    <w:p>
      <w:pPr>
        <w:spacing w:after="0" w:line="12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the three months ended June 30, 2014, net proceeds from the issuances of the Company's $550.0 million aggregate principal amount of 4.00% senior unsecured notes and $770.0 million aggregate principal amount of 5.00% senior unsecured notes, together with cash on hand, were used to fully repay and terminate the February 2013 Secured Credit Facility. From February 2013 through full payoff in June 2014, the Company made cumulative amortization repayments of $388.5 million. Amortization repayments made during the three and six months ended June 30, 2014 resulted in losses on early extinguishment of debt of $0.3 million and $1.1 million, respectively related to the accelerated amortization of discounts and unamortized deferred financing fees on the portion of the facility that was repaid. In connection with the repayment and termination of the facility, the Company recorded a loss on early extinguishment of debt of $22.8 million related to unamortized discounts and financing fees at the time of refinancing. These amounts were included in "Loss on extinguishment of debt, net" on the Company's Consolidated Statements of Operations.</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color w:val="auto"/>
        </w:rPr>
        <w:t>March 2012 Secured Credit Facilities</w:t>
      </w:r>
      <w:r>
        <w:rPr>
          <w:rFonts w:ascii="Arial" w:cs="Arial" w:eastAsia="Arial" w:hAnsi="Arial"/>
          <w:sz w:val="18"/>
          <w:szCs w:val="18"/>
          <w:color w:val="auto"/>
        </w:rPr>
        <w:t>—In March 2012, the Company entered into an $880.0 million senior secured credit agreement providing for</w:t>
      </w:r>
      <w:r>
        <w:rPr>
          <w:rFonts w:ascii="Arial" w:cs="Arial" w:eastAsia="Arial" w:hAnsi="Arial"/>
          <w:sz w:val="18"/>
          <w:szCs w:val="18"/>
          <w:b w:val="1"/>
          <w:bCs w:val="1"/>
          <w:color w:val="auto"/>
        </w:rPr>
        <w:t xml:space="preserve"> </w:t>
      </w:r>
      <w:r>
        <w:rPr>
          <w:rFonts w:ascii="Arial" w:cs="Arial" w:eastAsia="Arial" w:hAnsi="Arial"/>
          <w:sz w:val="18"/>
          <w:szCs w:val="18"/>
          <w:color w:val="auto"/>
        </w:rPr>
        <w:t>two tranches of term loans: a $410.0 million 2012 A-1 tranche due March 2016, which bears interest at a rate of LIBOR + 4.00% (the "2012 Tranche A-1 Facility"), and a $470.0 million 2012 A-2 tranche due March 2017, which bears interest at a rate of LIBOR + 5.75% (the "2012 Tranche A-2 Facility," together the "March 2012 Secured Credit Facilities"). The 2012 A-1 and A-2 tranches were issued at 98.0% of par and 98.5% of par, respectively, and both tranches include a LIBOR floor of 1.25%. Proceeds from the March 2012 Secured Credit Facilities, together with cash on hand, were used to repurchase and repay at maturity $606.7 million aggregate principal amount of the Company's convertible notes due October 2012, to fully repay the $244.0 million balance on the Company's unsecured credit facility due June 2012, and to repay, upon maturity, $90.3 million outstanding principal balance of its 5.50% senior unsecured notes.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March 2012 Secured Credit Facilities are collateralized by a first lien on a fixed pool of assets. Proceeds from principal repayments and sales of collateral are applied to amortize the March 2012 Secured Credit Facilities. Proceeds received for interest, rent, lease payments and fee income are retained by the Company. The Company may also make optional prepayments, subject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prepayment fees. The 2012 Tranche A-1 Facility was fully repaid in August 2013. Repayments of the 2012 Tranche A-1 Facility prior to scheduled amortization dates resulted in losses on early extinguishment of debt of $1.3 million and $4.2 million during the three and six months ended June 30, 2013 related to the accelerated amortization of discounts and unamortized deferred financing fees on the portion of the facility that was repaid. These amounts were included in "Loss on extinguishment of debt, net" on the Company's Consolidated Statements of Operations.</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Additionally, through June 30, 2014, the Company made cumulative amortization repayments of $78.1 million on the 2012 Tranche A-2 Facility. For the three and six months ended June 30, 2014, repayments of the 2012 Tranche A-2 Facility prior to maturity resulted in losses on early extinguishment of debt of $0.6 million and $0.9 million related to the accelerated amortization of discounts and unamortized deferred financing fees on the portion of the facility that was repaid. These amounts were included in "Loss on extinguishment of debt" on the Company's Consolidated Statements of Operations.</w:t>
      </w:r>
    </w:p>
    <w:p>
      <w:pPr>
        <w:spacing w:after="0" w:line="150"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6"/>
          <w:szCs w:val="16"/>
          <w:b w:val="1"/>
          <w:bCs w:val="1"/>
          <w:color w:val="auto"/>
        </w:rPr>
        <w:t>Unsecured Notes</w:t>
      </w:r>
      <w:r>
        <w:rPr>
          <w:rFonts w:ascii="Arial" w:cs="Arial" w:eastAsia="Arial" w:hAnsi="Arial"/>
          <w:sz w:val="16"/>
          <w:szCs w:val="16"/>
          <w:color w:val="auto"/>
        </w:rPr>
        <w:t>—In June 2014, the Company issued $550.0 million aggregate principal amount of 4.00% senior unsecured notes due November 2017</w:t>
      </w:r>
      <w:r>
        <w:rPr>
          <w:rFonts w:ascii="Arial" w:cs="Arial" w:eastAsia="Arial" w:hAnsi="Arial"/>
          <w:sz w:val="16"/>
          <w:szCs w:val="16"/>
          <w:b w:val="1"/>
          <w:bCs w:val="1"/>
          <w:color w:val="auto"/>
        </w:rPr>
        <w:t xml:space="preserve"> </w:t>
      </w:r>
      <w:r>
        <w:rPr>
          <w:rFonts w:ascii="Arial" w:cs="Arial" w:eastAsia="Arial" w:hAnsi="Arial"/>
          <w:sz w:val="16"/>
          <w:szCs w:val="16"/>
          <w:color w:val="auto"/>
        </w:rPr>
        <w:t>and $770.0 million aggregate principal amount of 5.00% senior unsecured notes due July 2019. Net proceeds from these transactions, together with cash on hand, were used to fully repay and terminate the February 2013 Secured Credit Facility which had an outstanding balance of $1.32 billion.</w:t>
      </w:r>
    </w:p>
    <w:p>
      <w:pPr>
        <w:spacing w:after="0" w:line="142"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June 30, 2014 and December 31, 2013, the carrying value of the Company's encumbered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unencumbered assets by asset type are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w w:val="85"/>
              </w:rPr>
              <w:t>As of</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June 30, 2014</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2,132,269</w:t>
            </w:r>
          </w:p>
        </w:tc>
        <w:tc>
          <w:tcPr>
            <w:tcW w:w="56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1,644,463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1,151,718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4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28,705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326,109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152,604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207,913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 and other lending investments, net(1)</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1,438,187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860,557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538,752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4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20,369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221,192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24,093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183,116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679,313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907,995</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707,015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4,797,070</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2,681,717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2,989,494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of June 30, 2014 and December 31, 2013, the amounts presented exclude general reserves for loan losses of $30.6 million and $29.2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outstanding unsecured debt securities contain corporate level covenants that include a covenant to maintain a ratio of unencumbered assets to unsecured indebtedness of at least 1.2x and a restriction on debt incurrence based upon the effect of the debt incurrence on the Company's fixed charge coverage ratio. If any of the Company's covenants are breached and not cured within applicable cure periods, the breach could result in acceleration of its debt securities unless a waiver or modification is agreed upon with the requisite percentage of the bondholders. While the Company expects that its ability to incur new indebtedness under the fixed charge coverage ratio will be limited for the foreseeable future, which may put limitations on its ability to make new investments, it will continue to be permitted to incur indebtedness for the purpose of refinancing existing indebtedness and for other permitted purposes under the indentures.</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March 2012 Secured Credit Facilities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Company is required to maintain collateral coverage of 1.25x outstanding borrowings. In addition, for so long as the Company maintains its qualification as a REIT, the March 2012 Secured Credit Facilities permit the Company to distribute 100% of its REIT taxable income on an annual basis. The Company may not pay common dividends if it ceases to qualify as a REIT.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March 2012 Secured Credit Facilities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22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—The Company generally funds construction and development loans and build-outs of space in net lease assets over a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time if and when the borrowers and tenants meet established milestones and other performance criteria. The Company refers to these arrangements as Performance-Based Commitments. In addition, the Company sometimes establishes a maximum amount of additional funding which it will make available to a borrower or tenant for an expansion or addition to a project if it approves of the expansion or addition in its sole discretion. The Company refers to these arrangements as Discretionary Fundings. Finally, the Company has committed to invest capital in several real estate funds and other ventures. These arrangements are referred to as Strategic Investments.</w:t>
      </w:r>
    </w:p>
    <w:p>
      <w:pPr>
        <w:spacing w:after="0" w:line="19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2014, the maximum amount of fundings the Company may be required to make under each category, assuming all performance hurdles and milestones are met under the Performance-Based Commitments, that it approves all Discretionary Fundings and that 100% of its capital committed to Strategic Investments is drawn down, are as follows ($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Loans and Other Lending</w:t>
            </w:r>
          </w:p>
        </w:tc>
        <w:tc>
          <w:tcPr>
            <w:tcW w:w="340" w:type="dxa"/>
            <w:vAlign w:val="bottom"/>
          </w:tcPr>
          <w:p>
            <w:pPr>
              <w:spacing w:after="0"/>
              <w:rPr>
                <w:sz w:val="14"/>
                <w:szCs w:val="14"/>
                <w:color w:val="auto"/>
              </w:rPr>
            </w:pPr>
          </w:p>
        </w:tc>
        <w:tc>
          <w:tcPr>
            <w:tcW w:w="15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Real Estate</w:t>
            </w:r>
          </w:p>
        </w:tc>
        <w:tc>
          <w:tcPr>
            <w:tcW w:w="340" w:type="dxa"/>
            <w:vAlign w:val="bottom"/>
          </w:tcPr>
          <w:p>
            <w:pPr>
              <w:spacing w:after="0"/>
              <w:rPr>
                <w:sz w:val="14"/>
                <w:szCs w:val="14"/>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Other</w:t>
            </w:r>
          </w:p>
        </w:tc>
        <w:tc>
          <w:tcPr>
            <w:tcW w:w="440" w:type="dxa"/>
            <w:vAlign w:val="bottom"/>
          </w:tcPr>
          <w:p>
            <w:pPr>
              <w:spacing w:after="0"/>
              <w:rPr>
                <w:sz w:val="14"/>
                <w:szCs w:val="14"/>
                <w:color w:val="auto"/>
              </w:rPr>
            </w:pPr>
          </w:p>
        </w:tc>
        <w:tc>
          <w:tcPr>
            <w:tcW w:w="138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Investments</w:t>
            </w:r>
          </w:p>
        </w:tc>
        <w:tc>
          <w:tcPr>
            <w:tcW w:w="3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4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262,220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36,011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304,526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1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46,362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46,362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Discretionary Fundings</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378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267,220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6,295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82,373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355,888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—The Company and/or one or more of its subsidiaries is party to various pending litigation matters that are considered ordinary</w:t>
      </w:r>
      <w:r>
        <w:rPr>
          <w:rFonts w:ascii="Arial" w:cs="Arial" w:eastAsia="Arial" w:hAnsi="Arial"/>
          <w:sz w:val="17"/>
          <w:szCs w:val="17"/>
          <w:b w:val="1"/>
          <w:bCs w:val="1"/>
          <w:color w:val="auto"/>
        </w:rPr>
        <w:t xml:space="preserve"> </w:t>
      </w:r>
      <w:r>
        <w:rPr>
          <w:rFonts w:ascii="Arial" w:cs="Arial" w:eastAsia="Arial" w:hAnsi="Arial"/>
          <w:sz w:val="17"/>
          <w:szCs w:val="17"/>
          <w:color w:val="auto"/>
        </w:rPr>
        <w:t>routine litigation incidental to the Company's business as a finance and investment company focused on the commercial real estate industry, including loan foreclosure and foreclosure-related proceedings. In addition to such matters, the Company is a party to the following legal proceeding:</w:t>
      </w:r>
    </w:p>
    <w:p>
      <w:pPr>
        <w:spacing w:after="0" w:line="16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On March 7, 2014, a shareholder action purporting to assert derivative, class and individual claims was filed in the Circuit Court for Baltimore City, Maryland naming the Company, a number of our current and former senior executives (including our chief executive officer) and current and former directors as defendants. The complaint seeks unspecified damages and other relief and alleges breach of fiduciary duty, breach of contract and other causes of action arising out of shares of our common stock issued by the Company to our senior executives pursuant to restricted stock unit awards granted in December 2008 and modified in July 2011. We believe the claims have no merit and we intend to defend the action vigorously.</w:t>
      </w:r>
    </w:p>
    <w:p>
      <w:pPr>
        <w:spacing w:after="0" w:line="17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evaluates, on a quarterly basis,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use of derivative financial instruments is primarily limited to the utilization of interest rate swaps, interest rate caps and foreign exchange contracts. The principal objective of such financial instruments is to minimize the risks and/or costs associated with the Company's operating and financial structure and to manage its exposure to interest rates and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 as of June 30, 2014 and December 31, 2013 ($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Derivative Assets as of</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Derivative Liabilities as of</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17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6"/>
              </w:rPr>
              <w:t>June 30, 2014</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2"/>
              </w:rPr>
              <w:t>June 30, 2014</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38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w:t>
            </w:r>
          </w:p>
        </w:tc>
        <w:tc>
          <w:tcPr>
            <w:tcW w:w="15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3"/>
                <w:szCs w:val="13"/>
                <w:color w:val="auto"/>
              </w:rPr>
            </w:pPr>
          </w:p>
        </w:tc>
        <w:tc>
          <w:tcPr>
            <w:tcW w:w="740" w:type="dxa"/>
            <w:vAlign w:val="bottom"/>
          </w:tcPr>
          <w:p>
            <w:pPr>
              <w:jc w:val="right"/>
              <w:ind w:right="258"/>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3"/>
                <w:szCs w:val="13"/>
                <w:color w:val="auto"/>
              </w:rPr>
            </w:pPr>
          </w:p>
        </w:tc>
        <w:tc>
          <w:tcPr>
            <w:tcW w:w="72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4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7"/>
              </w:rPr>
              <w:t>Balance Sheet</w:t>
            </w:r>
          </w:p>
        </w:tc>
        <w:tc>
          <w:tcPr>
            <w:tcW w:w="140" w:type="dxa"/>
            <w:vAlign w:val="bottom"/>
          </w:tcPr>
          <w:p>
            <w:pPr>
              <w:spacing w:after="0"/>
              <w:rPr>
                <w:sz w:val="13"/>
                <w:szCs w:val="13"/>
                <w:color w:val="auto"/>
              </w:rPr>
            </w:pPr>
          </w:p>
        </w:tc>
        <w:tc>
          <w:tcPr>
            <w:tcW w:w="760" w:type="dxa"/>
            <w:vAlign w:val="bottom"/>
          </w:tcPr>
          <w:p>
            <w:pPr>
              <w:jc w:val="right"/>
              <w:ind w:right="238"/>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3"/>
                <w:szCs w:val="13"/>
                <w:color w:val="auto"/>
              </w:rPr>
            </w:pPr>
          </w:p>
        </w:tc>
        <w:tc>
          <w:tcPr>
            <w:tcW w:w="70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1500" w:type="dxa"/>
            <w:vAlign w:val="bottom"/>
            <w:vMerge w:val="continue"/>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6"/>
                <w:szCs w:val="16"/>
                <w:color w:val="auto"/>
              </w:rPr>
            </w:pPr>
          </w:p>
        </w:tc>
        <w:tc>
          <w:tcPr>
            <w:tcW w:w="740" w:type="dxa"/>
            <w:vAlign w:val="bottom"/>
          </w:tcPr>
          <w:p>
            <w:pPr>
              <w:jc w:val="right"/>
              <w:ind w:right="21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6"/>
                <w:szCs w:val="16"/>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Location</w:t>
            </w:r>
          </w:p>
        </w:tc>
        <w:tc>
          <w:tcPr>
            <w:tcW w:w="140" w:type="dxa"/>
            <w:vAlign w:val="bottom"/>
          </w:tcPr>
          <w:p>
            <w:pPr>
              <w:spacing w:after="0"/>
              <w:rPr>
                <w:sz w:val="16"/>
                <w:szCs w:val="16"/>
                <w:color w:val="auto"/>
              </w:rPr>
            </w:pPr>
          </w:p>
        </w:tc>
        <w:tc>
          <w:tcPr>
            <w:tcW w:w="760" w:type="dxa"/>
            <w:vAlign w:val="bottom"/>
          </w:tcPr>
          <w:p>
            <w:pPr>
              <w:jc w:val="right"/>
              <w:ind w:right="19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6"/>
                <w:szCs w:val="16"/>
                <w:color w:val="auto"/>
              </w:rPr>
            </w:pPr>
          </w:p>
        </w:tc>
        <w:tc>
          <w:tcPr>
            <w:tcW w:w="700" w:type="dxa"/>
            <w:vAlign w:val="bottom"/>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5"/>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Foreign exchange</w:t>
            </w: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w w:val="94"/>
              </w:rPr>
              <w:t>Interest rate swaps</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7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5,617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9,107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50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6,109</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11,175</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tables below present the effect of the Company's derivative financial instruments on the Consolidated Statements of Operations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(Loss) for the three and six months ended June 30, 2014 and 2013 ($ in thousands):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Amount of Gain (Loss)</w:t>
            </w:r>
          </w:p>
        </w:tc>
        <w:tc>
          <w:tcPr>
            <w:tcW w:w="160" w:type="dxa"/>
            <w:vAlign w:val="bottom"/>
          </w:tcPr>
          <w:p>
            <w:pPr>
              <w:spacing w:after="0"/>
              <w:rPr>
                <w:sz w:val="14"/>
                <w:szCs w:val="14"/>
                <w:color w:val="auto"/>
              </w:rPr>
            </w:pPr>
          </w:p>
        </w:tc>
        <w:tc>
          <w:tcPr>
            <w:tcW w:w="166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 of Gain (Loss)</w:t>
            </w:r>
          </w:p>
        </w:tc>
        <w:tc>
          <w:tcPr>
            <w:tcW w:w="1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2"/>
                <w:szCs w:val="12"/>
                <w:color w:val="auto"/>
              </w:rPr>
            </w:pPr>
          </w:p>
        </w:tc>
        <w:tc>
          <w:tcPr>
            <w:tcW w:w="16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20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Location of Gain (Loss)</w:t>
            </w:r>
          </w:p>
        </w:tc>
        <w:tc>
          <w:tcPr>
            <w:tcW w:w="1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Recognized in Accumulated</w:t>
            </w:r>
          </w:p>
        </w:tc>
        <w:tc>
          <w:tcPr>
            <w:tcW w:w="16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 Income into</w:t>
            </w:r>
          </w:p>
        </w:tc>
        <w:tc>
          <w:tcPr>
            <w:tcW w:w="0" w:type="dxa"/>
            <w:vAlign w:val="bottom"/>
          </w:tcPr>
          <w:p>
            <w:pPr>
              <w:spacing w:after="0"/>
              <w:rPr>
                <w:sz w:val="1"/>
                <w:szCs w:val="1"/>
                <w:color w:val="auto"/>
              </w:rPr>
            </w:pPr>
          </w:p>
        </w:tc>
      </w:tr>
      <w:tr>
        <w:trPr>
          <w:trHeight w:val="149"/>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Designated in Hedging Relationships</w:t>
            </w:r>
          </w:p>
        </w:tc>
        <w:tc>
          <w:tcPr>
            <w:tcW w:w="2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1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 Income into</w:t>
            </w:r>
          </w:p>
        </w:tc>
        <w:tc>
          <w:tcPr>
            <w:tcW w:w="160" w:type="dxa"/>
            <w:vAlign w:val="bottom"/>
          </w:tcPr>
          <w:p>
            <w:pPr>
              <w:spacing w:after="0"/>
              <w:rPr>
                <w:sz w:val="12"/>
                <w:szCs w:val="12"/>
                <w:color w:val="auto"/>
              </w:rPr>
            </w:pPr>
          </w:p>
        </w:tc>
        <w:tc>
          <w:tcPr>
            <w:tcW w:w="16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92"/>
        </w:trPr>
        <w:tc>
          <w:tcPr>
            <w:tcW w:w="3700" w:type="dxa"/>
            <w:vAlign w:val="bottom"/>
            <w:vMerge w:val="continue"/>
          </w:tcPr>
          <w:p>
            <w:pPr>
              <w:spacing w:after="0"/>
              <w:rPr>
                <w:sz w:val="16"/>
                <w:szCs w:val="16"/>
                <w:color w:val="auto"/>
              </w:rPr>
            </w:pPr>
          </w:p>
        </w:tc>
        <w:tc>
          <w:tcPr>
            <w:tcW w:w="2000" w:type="dxa"/>
            <w:vAlign w:val="bottom"/>
            <w:gridSpan w:val="2"/>
          </w:tcPr>
          <w:p>
            <w:pPr>
              <w:ind w:left="420"/>
              <w:spacing w:after="0"/>
              <w:rPr>
                <w:sz w:val="20"/>
                <w:szCs w:val="20"/>
                <w:color w:val="auto"/>
              </w:rPr>
            </w:pPr>
            <w:r>
              <w:rPr>
                <w:rFonts w:ascii="Arial" w:cs="Arial" w:eastAsia="Arial" w:hAnsi="Arial"/>
                <w:sz w:val="14"/>
                <w:szCs w:val="14"/>
                <w:b w:val="1"/>
                <w:bCs w:val="1"/>
                <w:color w:val="auto"/>
              </w:rPr>
              <w:t>Recognized in Income</w:t>
            </w:r>
          </w:p>
        </w:tc>
        <w:tc>
          <w:tcPr>
            <w:tcW w:w="1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Income (Effective Portion)</w:t>
            </w:r>
          </w:p>
        </w:tc>
        <w:tc>
          <w:tcPr>
            <w:tcW w:w="1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Earnings (Effective Portion)</w:t>
            </w:r>
          </w:p>
        </w:tc>
        <w:tc>
          <w:tcPr>
            <w:tcW w:w="160" w:type="dxa"/>
            <w:vAlign w:val="bottom"/>
          </w:tcPr>
          <w:p>
            <w:pPr>
              <w:spacing w:after="0"/>
              <w:rPr>
                <w:sz w:val="16"/>
                <w:szCs w:val="16"/>
                <w:color w:val="auto"/>
              </w:rPr>
            </w:pPr>
          </w:p>
        </w:tc>
        <w:tc>
          <w:tcPr>
            <w:tcW w:w="1660" w:type="dxa"/>
            <w:vAlign w:val="bottom"/>
          </w:tcPr>
          <w:p>
            <w:pPr>
              <w:jc w:val="center"/>
              <w:ind w:right="16"/>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250"/>
        </w:trPr>
        <w:tc>
          <w:tcPr>
            <w:tcW w:w="3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For the Three Months Ended June 30, 2014</w:t>
            </w: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Interest rate cap</w:t>
            </w:r>
          </w:p>
        </w:tc>
        <w:tc>
          <w:tcPr>
            <w:tcW w:w="2000" w:type="dxa"/>
            <w:vAlign w:val="bottom"/>
            <w:gridSpan w:val="2"/>
          </w:tcPr>
          <w:p>
            <w:pPr>
              <w:ind w:left="32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ind w:left="1100"/>
              <w:spacing w:after="0"/>
              <w:rPr>
                <w:sz w:val="20"/>
                <w:szCs w:val="20"/>
                <w:color w:val="auto"/>
              </w:rPr>
            </w:pPr>
            <w:r>
              <w:rPr>
                <w:rFonts w:ascii="Arial" w:cs="Arial" w:eastAsia="Arial" w:hAnsi="Arial"/>
                <w:sz w:val="18"/>
                <w:szCs w:val="18"/>
                <w:color w:val="auto"/>
                <w:w w:val="94"/>
              </w:rPr>
              <w:t>(3,634)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0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000" w:type="dxa"/>
            <w:vAlign w:val="bottom"/>
            <w:gridSpan w:val="2"/>
          </w:tcPr>
          <w:p>
            <w:pPr>
              <w:ind w:left="32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60" w:type="dxa"/>
            <w:vAlign w:val="bottom"/>
          </w:tcPr>
          <w:p>
            <w:pPr>
              <w:ind w:left="1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For the Three Months Ended June 30, 2013</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2000" w:type="dxa"/>
            <w:vAlign w:val="bottom"/>
            <w:gridSpan w:val="2"/>
          </w:tcPr>
          <w:p>
            <w:pPr>
              <w:ind w:left="3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ind w:left="1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0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For the six months ended June 30, 2014</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cap</w:t>
            </w:r>
          </w:p>
        </w:tc>
        <w:tc>
          <w:tcPr>
            <w:tcW w:w="20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4"/>
              </w:rPr>
              <w:t>(3,634)</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2000" w:type="dxa"/>
            <w:vAlign w:val="bottom"/>
            <w:gridSpan w:val="2"/>
          </w:tcPr>
          <w:p>
            <w:pPr>
              <w:ind w:left="3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ind w:left="1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0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For the six months ended June 30, 2013</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0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000" w:type="dxa"/>
            <w:vAlign w:val="bottom"/>
            <w:gridSpan w:val="2"/>
          </w:tcPr>
          <w:p>
            <w:pPr>
              <w:ind w:left="32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60" w:type="dxa"/>
            <w:vAlign w:val="bottom"/>
          </w:tcPr>
          <w:p>
            <w:pPr>
              <w:ind w:left="1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Foreign Exchange Contracts</w:t>
      </w:r>
      <w:r>
        <w:rPr>
          <w:rFonts w:ascii="Arial" w:cs="Arial" w:eastAsia="Arial" w:hAnsi="Arial"/>
          <w:sz w:val="17"/>
          <w:szCs w:val="17"/>
          <w:color w:val="auto"/>
        </w:rPr>
        <w:t>—The Company is exposed to fluctuations in foreign exchange rates on investments it holds in foreign entities.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uses foreign exchange contracts to hedge its exposure to changes in foreign exchange rates on its foreign investments. Foreign exchange contracts involve fixing the U.S. dollar ("USD") to the respective foreign currency exchange rate for delivery of a specified amount of foreign currency on a specified date. The foreign exchange contracts are typically cash settled in USD for their fair value at or close to their settlement date.</w:t>
      </w:r>
    </w:p>
    <w:p>
      <w:pPr>
        <w:sectPr>
          <w:pgSz w:w="11900" w:h="16838" w:orient="portrait"/>
          <w:cols w:equalWidth="0" w:num="1">
            <w:col w:w="11420"/>
          </w:cols>
          <w:pgMar w:left="240" w:top="121" w:right="2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 Comprehensive Income into earnings when the hedged foreign entity is either sold or substantially liquidated. In January 2014, the Company entered into a foreign exchange contract to hedge its exposure in a subsidiary whose functional currency is Indian rupee ("INR"). The foreign exchange contract replaced an existing contract which matured in January 2014. As of June 30, 2014, the Company had the following outstanding foreign currency derivatives that were used to hedge its net investments in foreign operations that were designated ($ in thousands):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Notional</w:t>
            </w: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5"/>
              </w:rPr>
              <w:t>(USD Equivalent)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Sells INR/Buys USD Forward</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456,000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7,576</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7"/>
              </w:rPr>
              <w:t>June 2015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derivatives not designated as net investment hedges, the changes in the fair value of the derivatives are reported in the Company's Consolidated Statements of Operations within "Other Expense." As of June 30, 2014, the Company had the following outstanding foreign currency derivatives that were used to hedge its net investments in foreign operations that were not designated ($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99"/>
              </w:rPr>
              <w:t>Notional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Maturity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4"/>
                <w:szCs w:val="14"/>
                <w:b w:val="1"/>
                <w:bCs w:val="1"/>
                <w:color w:val="auto"/>
              </w:rPr>
              <w:t>(USD Equivalent)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Sells euro ("EUR")/Buys USD Forward</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46,950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64,287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0"/>
              </w:rPr>
              <w:t>July 2014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Sells pound sterling ("GBP")/Buys USD Forward</w:t>
            </w: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3,800</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rPr>
              <w:t>6,501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ind w:left="260"/>
              <w:spacing w:after="0"/>
              <w:rPr>
                <w:sz w:val="20"/>
                <w:szCs w:val="20"/>
                <w:color w:val="auto"/>
              </w:rPr>
            </w:pPr>
            <w:r>
              <w:rPr>
                <w:rFonts w:ascii="Arial" w:cs="Arial" w:eastAsia="Arial" w:hAnsi="Arial"/>
                <w:sz w:val="18"/>
                <w:szCs w:val="18"/>
                <w:color w:val="auto"/>
                <w:w w:val="90"/>
              </w:rPr>
              <w:t>July 2014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Sells Canadian dollar ("CAD")/Buys USD Forward</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37,966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0"/>
              </w:rPr>
              <w:t>July 2014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4"/>
          </w:tcPr>
          <w:p>
            <w:pPr>
              <w:ind w:left="420"/>
              <w:spacing w:after="0"/>
              <w:rPr>
                <w:sz w:val="20"/>
                <w:szCs w:val="20"/>
                <w:color w:val="auto"/>
              </w:rPr>
            </w:pPr>
            <w:r>
              <w:rPr>
                <w:rFonts w:ascii="Arial" w:cs="Arial" w:eastAsia="Arial" w:hAnsi="Arial"/>
                <w:sz w:val="14"/>
                <w:szCs w:val="14"/>
                <w:b w:val="1"/>
                <w:bCs w:val="1"/>
                <w:color w:val="auto"/>
                <w:w w:val="97"/>
              </w:rPr>
              <w:t>Amount of Gain or (Loss) Recognized in Income</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Location of Gain or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7"/>
          </w:tcPr>
          <w:p>
            <w:pPr>
              <w:jc w:val="right"/>
              <w:ind w:right="80"/>
              <w:spacing w:after="0" w:line="153" w:lineRule="exact"/>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6"/>
          </w:tcPr>
          <w:p>
            <w:pPr>
              <w:jc w:val="right"/>
              <w:ind w:right="376"/>
              <w:spacing w:after="0" w:line="153" w:lineRule="exact"/>
              <w:rPr>
                <w:sz w:val="20"/>
                <w:szCs w:val="20"/>
                <w:color w:val="auto"/>
              </w:rPr>
            </w:pPr>
            <w:r>
              <w:rPr>
                <w:rFonts w:ascii="Arial" w:cs="Arial" w:eastAsia="Arial" w:hAnsi="Arial"/>
                <w:sz w:val="14"/>
                <w:szCs w:val="14"/>
                <w:b w:val="1"/>
                <w:bCs w:val="1"/>
                <w:color w:val="auto"/>
              </w:rPr>
              <w:t>For the Six Months Ended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gridSpan w:val="3"/>
          </w:tcPr>
          <w:p>
            <w:pPr>
              <w:jc w:val="right"/>
              <w:ind w:right="240"/>
              <w:spacing w:after="0" w:line="145"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5"/>
          </w:tcPr>
          <w:p>
            <w:pPr>
              <w:jc w:val="right"/>
              <w:ind w:right="40"/>
              <w:spacing w:after="0" w:line="145" w:lineRule="exact"/>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10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8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89"/>
              </w:rPr>
              <w:t>(Loss) Recognized in</w:t>
            </w: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not Designated in Hedging Relationships</w:t>
            </w:r>
          </w:p>
        </w:tc>
        <w:tc>
          <w:tcPr>
            <w:tcW w:w="120" w:type="dxa"/>
            <w:vAlign w:val="bottom"/>
            <w:vMerge w:val="continue"/>
          </w:tcPr>
          <w:p>
            <w:pPr>
              <w:spacing w:after="0"/>
              <w:rPr>
                <w:sz w:val="5"/>
                <w:szCs w:val="5"/>
                <w:color w:val="auto"/>
              </w:rPr>
            </w:pPr>
          </w:p>
        </w:tc>
        <w:tc>
          <w:tcPr>
            <w:tcW w:w="1840" w:type="dxa"/>
            <w:vAlign w:val="bottom"/>
            <w:gridSpan w:val="2"/>
            <w:vMerge w:val="continue"/>
          </w:tcPr>
          <w:p>
            <w:pPr>
              <w:spacing w:after="0"/>
              <w:rPr>
                <w:sz w:val="5"/>
                <w:szCs w:val="5"/>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(751)</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marks its foreign investments each quarter based on current exchange rates and records the gain or loss through "Other expense" on its Consolidated Statements of Operations for loan investments or "Accumulated other comprehensive income (loss)," on its Consolidated Balance Sheets for net investments in foreign subsidiaries. The Company recorded net gains related to foreign investments of $0.0 million and $0.4 million during the three and six months ended June 30, 2014, respectively, and net losses of $0.4 million and $0.4 million during the three and six months ended June 30, 2013, respectively, in its Consolidated Statements of Operations.</w:t>
      </w:r>
    </w:p>
    <w:p>
      <w:pPr>
        <w:spacing w:after="0" w:line="144"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Interest Rate Hedges</w:t>
      </w:r>
      <w:r>
        <w:rPr>
          <w:rFonts w:ascii="Arial" w:cs="Arial" w:eastAsia="Arial" w:hAnsi="Arial"/>
          <w:sz w:val="18"/>
          <w:szCs w:val="18"/>
          <w:color w:val="auto"/>
        </w:rPr>
        <w:t>—For derivatives designated as interest rate hedges, the effective portion of changes in the fair value of the derivatives are</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in Accumulated Other Comprehensive Income. The ineffective portion of the change in fair value of the derivatives is recognized directly in earnings. In October 2012, the Company entered into an interest rate swap to convert its variable rate debt to fixed rate on a $28.0 million secured term loan maturing in 2019. As of June 30, 2014, the Company had the following outstanding interest rate swap that was used to hedge its variable rate debt that was designated ($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27,708</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+ 2.00%</w:t>
            </w: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October 2012</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2019</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For derivatives not designated as interest rate hedges, the changes in the fair value of the derivatives are reported in the Company's Consolidated Statements of Operations within "Other Expense." In August 2013, the Company entered into an interest rate cap agreement to reduce exposure to expected increases in future interest rates and the resulting payments associated with variable interest rate debt. In June 2014, in connection with the full repayment and termination of the Company's February 2013 Secured Credit Facility referenced in Note 8, the Company realized amounts in earnings from other comprehensive loss as a portion of a hedge related to the Company's variable rate debt was no longer expected to be highly effective. The amount realized was a loss of $3.6 million recorded as a component of "Other expense" in the Company's Consolidated Statements of Operations. As of</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June 30, 2014, the Company had the following outstanding interest rate cap that was used to hedge its variable rate debt that was not designated ($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LIBOR</w:t>
            </w: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July 2014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2017</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Over the next 12 months, the Company expects that $(0.3) million related to terminated cash flow hedges will be reclassified from "Accumulated other comprehensive income (loss)" into earnings and $0.4 million relating to other cash flow hedges will be reclassified from "Accumulated other comprehensive income (loss)" into interest expense.</w:t>
      </w:r>
    </w:p>
    <w:p>
      <w:pPr>
        <w:spacing w:after="0" w:line="177"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Risk-Related Contingent Features</w:t>
      </w:r>
      <w:r>
        <w:rPr>
          <w:rFonts w:ascii="Arial" w:cs="Arial" w:eastAsia="Arial" w:hAnsi="Arial"/>
          <w:sz w:val="18"/>
          <w:szCs w:val="18"/>
          <w:color w:val="auto"/>
        </w:rPr>
        <w:t>—The Company has agreements with each of its derivative counterparties that contain a provision where if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either defaults or is capable of being declared in default on any of its indebtedness, then the Company could also be declared in default on its derivative obligations.</w:t>
      </w:r>
    </w:p>
    <w:p>
      <w:pPr>
        <w:spacing w:after="0" w:line="1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connection with its foreign currency derivatives, as of June 30, 2014 and December 31, 2013, the Company has posted collateral of $6.2 million and $7.2 million, respectively, which is included in "Restricted cash" on the Company's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11—Equity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Preferred Stock</w:t>
      </w:r>
      <w:r>
        <w:rPr>
          <w:rFonts w:ascii="Arial" w:cs="Arial" w:eastAsia="Arial" w:hAnsi="Arial"/>
          <w:sz w:val="17"/>
          <w:szCs w:val="17"/>
          <w:color w:val="auto"/>
        </w:rPr>
        <w:t>—The Company had the following series of Cumulative Redeemable Preferred Stock outstanding as of June 30, 2014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136"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Cumulative Preferential Cash</w:t>
            </w: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Dividends(1)(2)</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Shares Issued and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3"/>
              </w:rPr>
              <w:t>Equivalent to</w:t>
            </w:r>
          </w:p>
        </w:tc>
        <w:tc>
          <w:tcPr>
            <w:tcW w:w="0" w:type="dxa"/>
            <w:vAlign w:val="bottom"/>
          </w:tcPr>
          <w:p>
            <w:pPr>
              <w:spacing w:after="0"/>
              <w:rPr>
                <w:sz w:val="1"/>
                <w:szCs w:val="1"/>
                <w:color w:val="auto"/>
              </w:rPr>
            </w:pPr>
          </w:p>
        </w:tc>
      </w:tr>
      <w:tr>
        <w:trPr>
          <w:trHeight w:val="149"/>
        </w:trPr>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Series</w:t>
            </w:r>
          </w:p>
        </w:tc>
        <w:tc>
          <w:tcPr>
            <w:tcW w:w="120" w:type="dxa"/>
            <w:vAlign w:val="bottom"/>
            <w:vMerge w:val="restart"/>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Par Value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Liquidation Preference</w:t>
            </w:r>
          </w:p>
        </w:tc>
        <w:tc>
          <w:tcPr>
            <w:tcW w:w="1780" w:type="dxa"/>
            <w:vAlign w:val="bottom"/>
            <w:vMerge w:val="restart"/>
          </w:tcPr>
          <w:p>
            <w:pPr>
              <w:jc w:val="center"/>
              <w:ind w:left="76"/>
              <w:spacing w:after="0"/>
              <w:rPr>
                <w:sz w:val="20"/>
                <w:szCs w:val="20"/>
                <w:color w:val="auto"/>
              </w:rPr>
            </w:pPr>
            <w:r>
              <w:rPr>
                <w:rFonts w:ascii="Arial" w:cs="Arial" w:eastAsia="Arial" w:hAnsi="Arial"/>
                <w:sz w:val="14"/>
                <w:szCs w:val="14"/>
                <w:b w:val="1"/>
                <w:bCs w:val="1"/>
                <w:color w:val="auto"/>
                <w:w w:val="94"/>
              </w:rPr>
              <w:t>Rate per Annum</w:t>
            </w:r>
          </w:p>
        </w:tc>
        <w:tc>
          <w:tcPr>
            <w:tcW w:w="1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5"/>
              </w:rPr>
              <w:t>Fixed Annual</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Rate (per share)</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25.00</w:t>
            </w:r>
          </w:p>
        </w:tc>
        <w:tc>
          <w:tcPr>
            <w:tcW w:w="1780" w:type="dxa"/>
            <w:vAlign w:val="bottom"/>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25.00</w:t>
            </w:r>
          </w:p>
        </w:tc>
        <w:tc>
          <w:tcPr>
            <w:tcW w:w="17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G</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rPr>
              <w:t>I</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25.00</w:t>
            </w:r>
          </w:p>
        </w:tc>
        <w:tc>
          <w:tcPr>
            <w:tcW w:w="178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25,800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44"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Holders of shares of the Series D, E, F, G, I and J preferred stock are entitled to receive dividends, when and as declared by the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Board of Directors of the Company for the payment of dividends that is not more than 30 nor less than 10 days prior to the dividend payment date.</w:t>
      </w:r>
    </w:p>
    <w:p>
      <w:pPr>
        <w:spacing w:after="0" w:line="2" w:lineRule="exact"/>
        <w:rPr>
          <w:rFonts w:ascii="Arial" w:cs="Arial" w:eastAsia="Arial" w:hAnsi="Arial"/>
          <w:sz w:val="14"/>
          <w:szCs w:val="14"/>
          <w:color w:val="auto"/>
        </w:rPr>
      </w:pPr>
    </w:p>
    <w:p>
      <w:pPr>
        <w:jc w:val="both"/>
        <w:ind w:left="660" w:hanging="652"/>
        <w:spacing w:after="0" w:line="276" w:lineRule="auto"/>
        <w:tabs>
          <w:tab w:leader="none" w:pos="6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Company declared and paid dividends of $4.0 million, $5.5 million, $3.9 million, $3.1 million and $4.7 million on its Series D, E, F, G and I preferred stock during the six months ended June 30, 2014 and 2013. The Company declared and paid dividends of $4.5 million and $2.2 million on its Series J preferred stock during the six months ended June 30, 2014 and 2013, respectively. All of the dividends qualified as return of capital for tax reporting purposes. There are no dividend arrearages on any of the preferred shares currently outstanding.</w:t>
      </w:r>
    </w:p>
    <w:p>
      <w:pPr>
        <w:spacing w:after="0" w:line="121"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Dividends</w:t>
      </w:r>
      <w:r>
        <w:rPr>
          <w:rFonts w:ascii="Arial" w:cs="Arial" w:eastAsia="Arial" w:hAnsi="Arial"/>
          <w:sz w:val="18"/>
          <w:szCs w:val="18"/>
          <w:color w:val="auto"/>
        </w:rPr>
        <w:t>—In order to maintain its election to qualify as a REIT, the Company must currently distribute, at a minimum, an amount equal to 90% of its</w:t>
      </w:r>
      <w:r>
        <w:rPr>
          <w:rFonts w:ascii="Arial" w:cs="Arial" w:eastAsia="Arial" w:hAnsi="Arial"/>
          <w:sz w:val="18"/>
          <w:szCs w:val="18"/>
          <w:b w:val="1"/>
          <w:bCs w:val="1"/>
          <w:color w:val="auto"/>
        </w:rPr>
        <w:t xml:space="preserve"> </w:t>
      </w:r>
      <w:r>
        <w:rPr>
          <w:rFonts w:ascii="Arial" w:cs="Arial" w:eastAsia="Arial" w:hAnsi="Arial"/>
          <w:sz w:val="18"/>
          <w:szCs w:val="18"/>
          <w:color w:val="auto"/>
        </w:rPr>
        <w:t>taxable income, excluding net capital gains, and must distribute 100% of its taxable income (including net capital gains) to avoid paying corporate federal income taxes. The Company has recorded net operating losses and may record net operating losses in the future, which may reduce its taxable income in future periods and lower or eliminate entirely the Company's obligation to pay dividends for such periods in order to maintain its REIT qualification. As of June 30, 2014,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Company had $608.0 million of net operating loss carryforwards based on its most recently filed tax return at the corporate REIT level that can generally be used to offset both ordinary and capital taxable income in future years and will expire through 2032 if unused. The amount of net operating loss carryforwards as of December 31, 2013 will be subject to finalization of the 2013 tax returns. Because taxable income differs from 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Company's 2013 and 2012 Secured Credit Facilities permit the Company to distribute 100% of its REIT taxable income on an annual basis, for so long as the Company maintains its qualification as a REIT. The 2013 and 2012 Secured Credit Facilities restrict the Company from paying any common dividends if it ceases to qualify as a REIT. The Company did not declare or pay any Common Stock dividends for the six months ended June 30, 2014 and 2013.</w:t>
      </w:r>
    </w:p>
    <w:p>
      <w:pPr>
        <w:spacing w:after="0" w:line="16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b w:val="1"/>
          <w:bCs w:val="1"/>
          <w:color w:val="auto"/>
        </w:rPr>
        <w:t>Stock Repurchase Programs</w:t>
      </w:r>
      <w:r>
        <w:rPr>
          <w:rFonts w:ascii="Arial" w:cs="Arial" w:eastAsia="Arial" w:hAnsi="Arial"/>
          <w:sz w:val="16"/>
          <w:szCs w:val="16"/>
          <w:color w:val="auto"/>
        </w:rPr>
        <w:t>—On May 15, 2012, the Company's Board of Directors approved a stock repurchase program that authorized the</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of up to $20.0 million of its Common Stock from time to time in open market and privately negotiated purchases, including pursuant to one or more trading plans. In September 2013, the Company's Board of Directors approved an increase in the repurchase limit to $50.0 million from the $16.0 million that remained from the previously approved program. There were no stock repurchases during the six months ended June 30, 2014. As of June 30, 2014, the Company had remaining authorization to repurchase up to $29.0 million of Common Stock out of the $50.0 million authorized by its Board in 2013.</w:t>
      </w:r>
    </w:p>
    <w:p>
      <w:pPr>
        <w:spacing w:after="0" w:line="154"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—"Accumulated other comprehensive income (loss)" reflected in the Company's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is comprised of the following ($ 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22"/>
                <w:szCs w:val="22"/>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2013</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available-for-sale securities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Unrealized gains (losses) on cash flow hedges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662</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cumulative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(4,644)</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(4,276)</w:t>
            </w: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w:t>
      </w:r>
    </w:p>
    <w:p>
      <w:pPr>
        <w:spacing w:after="0" w:line="229"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May 22, 2014, the Company's shareholders approved the 2013 Performance Incentive Plan ("iPIP") which is designed to provide, primarily to senior executives and select professionals engaged in the Company's investment activities, long-term compensation which has a direct relationship to the realized returns on investments included in the plan. The Company granted 73.0% out of a maximum of 100% of iPIP points to these executives and professionals. Subject to certain vesting and employment requirements, point holders will be paid a combination of cash and stock. The payout of iPIP is based on the amount of invested capital, investment performance and the Company's total shareholder return, or TSR, as compared to the average TSR of the NAREIT All REIT Index and the Russell 2000 Index. The Company, as well as any companies not included in each index at the beginning and end of the performance period, are excluded from calculation of the performance of such index. The fair value of points is determined using a model that forecasts the Company's projected investment performance. All decisions regarding the granting of points under iPIP are made at the discretion of the Board of Directors or a committee of the Board of Directors. iPIP is a liability-classified award which will be remeasured each reporting period at fair value until the awards are settled. Compensation costs relating to iPIP are included in "General and administrative" on the Company's Consolidated Statements of Operations.</w:t>
      </w:r>
    </w:p>
    <w:p>
      <w:pPr>
        <w:spacing w:after="0" w:line="12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recorded stock-based compensation expense of $3.2 million and $5.3 million for the three and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2014, respectively, and $4.7 million and $9.9 million for the three and six months ended June 30, 2013 in "General and administrative" on the Company's Consolidated Statements of Operations. As of June 30, 2014, there was $3.8 million of total unrecognized compensation cost related to all unvested restricted stock units that are expected to be recognized over a weighted average remaining vesting/service period of 1.30 years. As of June 30, 2014, approximately $2.4 million of stock-based compensation was included in "Accounts payable, accrued expenses and other liabilities" on the Company's Consolidated Balance Sheets.</w:t>
      </w:r>
    </w:p>
    <w:p>
      <w:pPr>
        <w:spacing w:after="0" w:line="15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June 30, 2014, an aggregate of 4.1 million shares remain available for issuance pursuant to future awards under the Company's 2006 and 2009 Long-Term Incentive Plans.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7"/>
          <w:szCs w:val="17"/>
          <w:b w:val="1"/>
          <w:bCs w:val="1"/>
          <w:color w:val="auto"/>
        </w:rPr>
        <w:t>2014 Activity</w:t>
      </w:r>
      <w:r>
        <w:rPr>
          <w:rFonts w:ascii="Arial" w:cs="Arial" w:eastAsia="Arial" w:hAnsi="Arial"/>
          <w:sz w:val="17"/>
          <w:szCs w:val="17"/>
          <w:color w:val="auto"/>
        </w:rPr>
        <w:t>—During the six months ended June 30, 2014, 2,336,053 restricted stock units, or Units, that were previously granted became vested,</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in the issuance of 1,163,678 shares of our Common Stock to employees, net of statutory minimum required tax withholdings. These vested Units were comprised of 1,696,053 Units which vested in January 2014, 40,000 service-based Units granted to certain employees in March 2011 that cliff vested in March 2014 and 600,000 service-based restricted units granted to the Company's Chairman and Chief Executive Officer in October 2011 that vested in June 2014. In addition, 229,235 fully-vested shares of our Common Stock were granted to employees in January 2014, subject to restrictions on transfer, pursuant to our annual incentive award program which included a mix of cash and equity awards (see below).</w:t>
      </w:r>
    </w:p>
    <w:p>
      <w:pPr>
        <w:spacing w:after="0" w:line="1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six months ended June 30, 2014, the Company granted stock-based compensation awards to certain employees in the form of annual incentive awards and long-term incentive awards:</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Effective January 10, 2014, the Company granted 229,235 shares of our Common Stock to certain employees as part of annual incentive awards which included a mix of cash and equity awards. The shares are fully-vested and 128,652 shares were issued net of statutory minimum required tax withholdings. The employees are restricted from selling these shares for up to two years from the date of grant.</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Effective January 10, 2014, the Company also granted 67,637 service-based Units representing the right to receive an equivalent number of shares of our Common Stock (after deducting shares for minimum required statutory withholdings) if and when the Units vest. The Units will cliff vest in one installment three years from the grant date, if the employee remains employed by the Company on the vesting date, subject to certain accelerated vesting rights. Dividends will accrue but will not be paid unless and until the Units vest and are settled. As of June 30, 2014, 66,967 of such service-based Units were outstanding.</w:t>
      </w:r>
    </w:p>
    <w:p>
      <w:pPr>
        <w:spacing w:after="0" w:line="14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Effective January 10, 2014, the Company also granted 51,726 target amount of performance-based Units based on the Company's TSR measured over a performance period ending on December 31, 2016, which is the vesting date. Vesting will range from 0% to 200% of the target amount of the award, depending on the Company's TSR performance relative to the NAREIT All REITs Index (one-half of the target amount of the award) and the Russell 2000 Index (one-half of the target amount of the award). The Company, as well as any companies not included in each index at the beginning and end of the performance period, are excluded from calculation of the performance of such index. To the extent Units vest based on the Company's TSR performance, holders will receive an equivalent number of shares of our Common Stock (after deducting shares for minimum required statutory withholdings), if the employee remains employed by the Company on the vesting date, subject to certain accelerated vesting rights. Dividends will accrue but will not be paid unless and until the Units vest and are settled. The fair values of the performance-based Units were determined by utilizing a Monte Carlo model to simulate a range of possible future stock prices for the Company's Common Stock. The assumptions used to estimate the fair value of these performance-based awards were 0.76% for risk-free interest rate and 44.84% for expected stock price volatility. As of June 30, 2014, 51,055 Units were outstanding.</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2014, the Company had the following additional stock-based compensation awards outstanding:</w:t>
      </w:r>
    </w:p>
    <w:p>
      <w:pPr>
        <w:spacing w:after="0" w:line="225" w:lineRule="exact"/>
        <w:rPr>
          <w:sz w:val="20"/>
          <w:szCs w:val="20"/>
          <w:color w:val="auto"/>
        </w:rPr>
      </w:pPr>
    </w:p>
    <w:p>
      <w:pPr>
        <w:jc w:val="both"/>
        <w:ind w:left="660" w:hanging="247"/>
        <w:spacing w:after="0" w:line="279"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196,582 service-based Units, granted on February 1, 2013, representing the right to receive an equivalent number of shares of the Company's Common Stock (after deducting shares for minimum required statutory withholdings) if and when the Units vest. The Units will cliff vest in one installment on February 1, 2016, three years from the grant date, if the employee remains employed by the Company on the vesting date, subject to certain accelerated vesting rights. Dividends will accrue but will not be paid unless and until the Units vest and are settled.</w:t>
      </w:r>
    </w:p>
    <w:p>
      <w:pPr>
        <w:spacing w:after="0" w:line="130" w:lineRule="exact"/>
        <w:rPr>
          <w:rFonts w:ascii="Arial" w:cs="Arial" w:eastAsia="Arial" w:hAnsi="Arial"/>
          <w:sz w:val="17"/>
          <w:szCs w:val="17"/>
          <w:color w:val="auto"/>
        </w:rPr>
      </w:pPr>
    </w:p>
    <w:p>
      <w:pPr>
        <w:jc w:val="both"/>
        <w:ind w:left="660" w:hanging="247"/>
        <w:spacing w:after="0" w:line="288"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195,409 target amount of performance-based Units, granted on February 1, 2013, representing the right to receive shares of the Company's Common Stock (after deducting shares for minimum required statutory withholdings) if and when the Units vest based on the Company's total shareholder return, or TSR, measured over a performance period ending on the vesting date of December 31, 2014, which is the vesting date. Vesting will range from 0% to 200% of the target amount of the awards, depending on the Company's TSR performance relative to the NAREIT All REITs Index (one-half of the target amount of the award) and the Russell 2000 Index (one-half of the target amount of the award). The Company and any companies not included in the index at the beginning and end of the performance period are excluded from calculation of the performance of such index. To the extent these Units vest based on the Company's TSR performance, holders will receive an equivalent number of shares of our Common Stock (after deducting shares for minimum required statutory withholdings), if the employee remains employed by the Company on the vesting date, subject to certain accelerated vesting rights. Dividends will accrue but will not be paid unless and until the Units vest and are settled. The fair values of the performance-based Units were determined by utilizing a Monte Carlo model to simulate a range of possible future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p>
      <w:pPr>
        <w:ind w:left="660" w:right="20"/>
        <w:spacing w:after="0" w:line="324" w:lineRule="auto"/>
        <w:rPr>
          <w:sz w:val="20"/>
          <w:szCs w:val="20"/>
          <w:color w:val="auto"/>
        </w:rPr>
      </w:pPr>
      <w:r>
        <w:rPr>
          <w:rFonts w:ascii="Arial" w:cs="Arial" w:eastAsia="Arial" w:hAnsi="Arial"/>
          <w:sz w:val="18"/>
          <w:szCs w:val="18"/>
          <w:color w:val="auto"/>
        </w:rPr>
        <w:t>stock prices for the Company's Common Stock. The assumptions used to estimate the fair value of these performance-based awards were 0.26% for risk-free interest rate and 50.44% for expected stock price volatility.</w:t>
      </w:r>
    </w:p>
    <w:p>
      <w:pPr>
        <w:spacing w:after="0" w:line="103" w:lineRule="exact"/>
        <w:rPr>
          <w:sz w:val="20"/>
          <w:szCs w:val="20"/>
          <w:color w:val="auto"/>
        </w:rPr>
      </w:pPr>
    </w:p>
    <w:p>
      <w:pPr>
        <w:jc w:val="both"/>
        <w:ind w:left="660" w:hanging="247"/>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50,666 service-based Units granted on various dates to employees with an original vesting term of three years. Upon vesting of these units, holders will receive shares of the Company's Common Stock in the amount of the vested units, net of statutory minimum required tax withholdings. These awards carry dividend equivalent rights that entitle the holders to receive dividend payments prior to vesting, if and when dividends are paid on shares of the Company's Common Stock.</w:t>
      </w:r>
    </w:p>
    <w:p>
      <w:pPr>
        <w:spacing w:after="0" w:line="14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color w:val="auto"/>
        </w:rPr>
        <w:t>Directors' Awards</w:t>
      </w:r>
      <w:r>
        <w:rPr>
          <w:rFonts w:ascii="Arial" w:cs="Arial" w:eastAsia="Arial" w:hAnsi="Arial"/>
          <w:sz w:val="18"/>
          <w:szCs w:val="18"/>
          <w:color w:val="auto"/>
        </w:rPr>
        <w:t>—During the six months ended June 30, 2014, the Company awarded to Directors 48,172 common share equivalents ("CSEs")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shares at a fair value per share of $14.46 at the time of grant. These CSEs and restricted shares have a one year vesting period and pay dividends in an amount equal to the dividends paid on the equivalent number of shares of the Company's Common stock from the date of grant, as and when dividends are paid on Common Stock. In addition, during the six months ended June 30, 2014, the Company issued 55,076 shares of our Common Stock to a former director in settlement of previously vested CSE awards granted under the Non-Employee Directors Deferral Plan. As of June 30, 2014, a total of 360,230 CSEs and restricted shares of our Common Stock granted to members of the Company's Board of Directors remained outstanding under such Plan, with an aggregate intrinsic value of $5.4 million.</w:t>
      </w:r>
    </w:p>
    <w:p>
      <w:pPr>
        <w:spacing w:after="0" w:line="189"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401(k) Plan</w:t>
      </w:r>
      <w:r>
        <w:rPr>
          <w:rFonts w:ascii="Arial" w:cs="Arial" w:eastAsia="Arial" w:hAnsi="Arial"/>
          <w:sz w:val="18"/>
          <w:szCs w:val="18"/>
          <w:color w:val="auto"/>
        </w:rPr>
        <w:t>—The Company made gross contributions of $0.1 million and $0.7 million for the three and six months ended June 30, 2014,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and $0.1 million and $0.7 million for the three and six months ended June 30, 2013,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EPS is calculated using the two-class method, which allocates earnings among common stock and participating securities to calculate EPS when an entity's capital structure includes either two or more classes of common stock or common stock and participating securities. HPU holders are current and former Company employees who purchased high performance common stock units under the Company's High Performance Unit (HPU) Program. These HPU units are treated as a separate class of common stock.</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a reconciliation of income (loss) from continuing operations used in the basic and diluted earnings per share calculations ($ in thousands, except for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5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(119,176)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17,180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33,674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58,016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(23,360)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and allocable to common shareholders, HPU holders and Participating</w:t>
            </w: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(35,089)</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(44,210)</w:t>
            </w:r>
          </w:p>
        </w:tc>
        <w:tc>
          <w:tcPr>
            <w:tcW w:w="1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(84,020)</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Holders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28</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50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common shares: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and diluted earnings per share:</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 attributable to iStar</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Financial Inc. and allocable to common shareholders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(42,779)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(81,304)</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12,892</w:t>
            </w:r>
          </w:p>
        </w:tc>
        <w:tc>
          <w:tcPr>
            <w:tcW w:w="0" w:type="dxa"/>
            <w:vAlign w:val="bottom"/>
          </w:tcPr>
          <w:p>
            <w:pPr>
              <w:spacing w:after="0"/>
              <w:rPr>
                <w:sz w:val="1"/>
                <w:szCs w:val="1"/>
                <w:color w:val="auto"/>
              </w:rPr>
            </w:pPr>
          </w:p>
        </w:tc>
      </w:tr>
      <w:tr>
        <w:trPr>
          <w:trHeight w:val="209"/>
        </w:trPr>
        <w:tc>
          <w:tcPr>
            <w:tcW w:w="5620" w:type="dxa"/>
            <w:vAlign w:val="bottom"/>
          </w:tcPr>
          <w:p>
            <w:pPr>
              <w:ind w:left="180"/>
              <w:spacing w:after="0"/>
              <w:rPr>
                <w:sz w:val="20"/>
                <w:szCs w:val="20"/>
                <w:color w:val="auto"/>
              </w:rPr>
            </w:pPr>
            <w:r>
              <w:rPr>
                <w:rFonts w:ascii="Arial" w:cs="Arial" w:eastAsia="Arial" w:hAnsi="Arial"/>
                <w:sz w:val="18"/>
                <w:szCs w:val="18"/>
                <w:color w:val="auto"/>
              </w:rPr>
              <w:t>Net income (loss) attributable to iStar Financial Inc. and allocable to</w:t>
            </w:r>
          </w:p>
        </w:tc>
        <w:tc>
          <w:tcPr>
            <w:tcW w:w="3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(16,207)</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(26,001)</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(42,779)</w:t>
            </w:r>
          </w:p>
        </w:tc>
        <w:tc>
          <w:tcPr>
            <w:tcW w:w="12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(67,264)</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shareholders</w:t>
            </w:r>
          </w:p>
        </w:tc>
        <w:tc>
          <w:tcPr>
            <w:tcW w:w="36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 for basic and diluted earnings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9"/>
              </w:rPr>
              <w:t>Weighted average common shares outstanding for basic and diluted</w:t>
            </w:r>
          </w:p>
        </w:tc>
        <w:tc>
          <w:tcPr>
            <w:tcW w:w="360" w:type="dxa"/>
            <w:vAlign w:val="bottom"/>
          </w:tcPr>
          <w:p>
            <w:pPr>
              <w:spacing w:after="0"/>
              <w:rPr>
                <w:sz w:val="19"/>
                <w:szCs w:val="19"/>
                <w:color w:val="auto"/>
              </w:rPr>
            </w:pPr>
          </w:p>
        </w:tc>
        <w:tc>
          <w:tcPr>
            <w:tcW w:w="1020" w:type="dxa"/>
            <w:vAlign w:val="bottom"/>
            <w:vMerge w:val="restart"/>
          </w:tcPr>
          <w:p>
            <w:pPr>
              <w:jc w:val="right"/>
              <w:ind w:right="14"/>
              <w:spacing w:after="0"/>
              <w:rPr>
                <w:sz w:val="20"/>
                <w:szCs w:val="20"/>
                <w:color w:val="auto"/>
              </w:rPr>
            </w:pPr>
            <w:r>
              <w:rPr>
                <w:rFonts w:ascii="Arial" w:cs="Arial" w:eastAsia="Arial" w:hAnsi="Arial"/>
                <w:sz w:val="18"/>
                <w:szCs w:val="18"/>
                <w:color w:val="auto"/>
              </w:rPr>
              <w:t>84,916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8"/>
                <w:szCs w:val="18"/>
                <w:color w:val="auto"/>
              </w:rPr>
              <w:t>85,125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vMerge w:val="restart"/>
          </w:tcPr>
          <w:p>
            <w:pPr>
              <w:jc w:val="right"/>
              <w:ind w:right="14"/>
              <w:spacing w:after="0"/>
              <w:rPr>
                <w:sz w:val="20"/>
                <w:szCs w:val="20"/>
                <w:color w:val="auto"/>
              </w:rPr>
            </w:pPr>
            <w:r>
              <w:rPr>
                <w:rFonts w:ascii="Arial" w:cs="Arial" w:eastAsia="Arial" w:hAnsi="Arial"/>
                <w:sz w:val="18"/>
                <w:szCs w:val="18"/>
                <w:color w:val="auto"/>
              </w:rPr>
              <w:t>84,868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84,975</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earnings per common share</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earnings per common share:</w:t>
            </w: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Income (loss) from continuing operations attributable to iStar</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Financial Inc. and allocable to common shareholders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iStar Financial Inc. and allocable to</w:t>
            </w: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shareholders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24"/>
                <w:szCs w:val="24"/>
                <w:color w:val="auto"/>
              </w:rPr>
            </w:pPr>
          </w:p>
        </w:tc>
        <w:tc>
          <w:tcPr>
            <w:tcW w:w="250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High Performance Units: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and diluted earnings per HPU share:</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 attributable to iStar</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Financial Inc. and allocable to HPU holders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9"/>
        </w:trPr>
        <w:tc>
          <w:tcPr>
            <w:tcW w:w="5620" w:type="dxa"/>
            <w:vAlign w:val="bottom"/>
          </w:tcPr>
          <w:p>
            <w:pPr>
              <w:ind w:left="180"/>
              <w:spacing w:after="0"/>
              <w:rPr>
                <w:sz w:val="20"/>
                <w:szCs w:val="20"/>
                <w:color w:val="auto"/>
              </w:rPr>
            </w:pPr>
            <w:r>
              <w:rPr>
                <w:rFonts w:ascii="Arial" w:cs="Arial" w:eastAsia="Arial" w:hAnsi="Arial"/>
                <w:sz w:val="18"/>
                <w:szCs w:val="18"/>
                <w:color w:val="auto"/>
                <w:w w:val="93"/>
              </w:rPr>
              <w:t>Net income (loss) attributable to iStar Financial Inc. and allocable to HPU</w:t>
            </w:r>
          </w:p>
        </w:tc>
        <w:tc>
          <w:tcPr>
            <w:tcW w:w="3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holders</w:t>
            </w:r>
          </w:p>
        </w:tc>
        <w:tc>
          <w:tcPr>
            <w:tcW w:w="36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 for basic and diluted earnings per HPU share:</w:t>
            </w: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8"/>
              </w:rPr>
              <w:t>Weighted average High Performance Units outstanding for basic and</w:t>
            </w:r>
          </w:p>
        </w:tc>
        <w:tc>
          <w:tcPr>
            <w:tcW w:w="360" w:type="dxa"/>
            <w:vAlign w:val="bottom"/>
          </w:tcPr>
          <w:p>
            <w:pPr>
              <w:spacing w:after="0"/>
              <w:rPr>
                <w:sz w:val="19"/>
                <w:szCs w:val="19"/>
                <w:color w:val="auto"/>
              </w:rPr>
            </w:pPr>
          </w:p>
        </w:tc>
        <w:tc>
          <w:tcPr>
            <w:tcW w:w="1020" w:type="dxa"/>
            <w:vAlign w:val="bottom"/>
            <w:vMerge w:val="restart"/>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vMerge w:val="restart"/>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 earnings per share</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earnings per HPU share:</w:t>
            </w: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Income (loss) from continuing operations attributable to iStar</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Financial Inc. and allocable to HPU holders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(36.13)</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(75.41)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(95.40)</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Net income (loss) attributable to iStar Financial Inc. and allocable to HPU</w:t>
            </w: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1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(149.81)</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29</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and six months ended June 30, 2014 and 2013, the following shares were not included in the diluted EPS calculation because they were anti-dilutive ($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50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Joint venture shares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3.00% convertible senior unsecured notes</w:t>
            </w:r>
          </w:p>
        </w:tc>
        <w:tc>
          <w:tcPr>
            <w:tcW w:w="32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16,992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16,992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16,992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16,992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J convertible perpetual preferred stock</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15,635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15,635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15,635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1.50% convertible senior unsecured notes</w:t>
            </w:r>
          </w:p>
        </w:tc>
        <w:tc>
          <w:tcPr>
            <w:tcW w:w="32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11,567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11,567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14—Fair Values</w:t>
      </w:r>
    </w:p>
    <w:p>
      <w:pPr>
        <w:spacing w:after="0" w:line="18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0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fair value hierarchy table summarizes the Company's assets and liabilities recorded at fair value on a recurring and non-recurring basis by the above categories ($ in thousands):</w:t>
      </w:r>
    </w:p>
    <w:p>
      <w:pPr>
        <w:spacing w:after="0" w:line="176"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Fair Value Using</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Quoted market</w:t>
            </w: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Significant other</w:t>
            </w:r>
          </w:p>
        </w:tc>
        <w:tc>
          <w:tcPr>
            <w:tcW w:w="200" w:type="dxa"/>
            <w:vAlign w:val="bottom"/>
          </w:tcPr>
          <w:p>
            <w:pPr>
              <w:spacing w:after="0"/>
              <w:rPr>
                <w:sz w:val="13"/>
                <w:szCs w:val="13"/>
                <w:color w:val="auto"/>
              </w:rPr>
            </w:pPr>
          </w:p>
        </w:tc>
        <w:tc>
          <w:tcPr>
            <w:tcW w:w="122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prices in</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00" w:type="dxa"/>
            <w:vAlign w:val="bottom"/>
          </w:tcPr>
          <w:p>
            <w:pPr>
              <w:spacing w:after="0"/>
              <w:rPr>
                <w:sz w:val="12"/>
                <w:szCs w:val="12"/>
                <w:color w:val="auto"/>
              </w:rPr>
            </w:pPr>
          </w:p>
        </w:tc>
        <w:tc>
          <w:tcPr>
            <w:tcW w:w="122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2"/>
                <w:szCs w:val="12"/>
                <w:color w:val="auto"/>
              </w:rPr>
            </w:pPr>
          </w:p>
        </w:tc>
        <w:tc>
          <w:tcPr>
            <w:tcW w:w="122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22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 2014</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Recurring basis: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Derivative liabilities</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Non-recurring basis: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Impaired loans(1)</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39,390</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Impaired real estate(2)</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35,394</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2013</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basis: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Derivative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11,175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11,175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Non-recurring basis: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Impaired loans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115,423</w:t>
            </w: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Impaired real estate</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35,680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5,744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29,936</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303" w:lineRule="auto"/>
        <w:tabs>
          <w:tab w:leader="none" w:pos="6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Company recorded a recovery of loan losses on one loan with a fair value of $35.1 million based on the loan's remaining term of 2.0 years and interest rate of 4.7% using discounted cash flow analysis. In addition, the Company recorded a recovery of loan losses on one loan with a fair value of $4.3 million based upon a settlement agreement executed by the borrower.</w:t>
      </w:r>
    </w:p>
    <w:p>
      <w:pPr>
        <w:ind w:left="660" w:hanging="652"/>
        <w:spacing w:after="0" w:line="273"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Company recorded impairment on one real estate asset with a fair value of $35.4 million based on a discount rate of 10.0%, average annual revenue growth of 3.0% and remaining inventory sell out period of 1.5 years using discounted cash flows.</w:t>
      </w:r>
    </w:p>
    <w:p>
      <w:pPr>
        <w:spacing w:after="0" w:line="174"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color w:val="auto"/>
        </w:rPr>
        <w:t>Fair values of financial instruments—</w:t>
      </w:r>
      <w:r>
        <w:rPr>
          <w:rFonts w:ascii="Arial" w:cs="Arial" w:eastAsia="Arial" w:hAnsi="Arial"/>
          <w:sz w:val="16"/>
          <w:szCs w:val="16"/>
          <w:color w:val="auto"/>
        </w:rPr>
        <w:t>The Company's estimated fair values of its loans receivable and other lending investments and debt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were $1.5 billion and $4.4 billion, respectively, as of June 30, 2014 and $1.4 billion and $4.5 billion, respectively, as of December 31, 2013. The Company determined that the significant inputs used to value its loans receivable and other lending investments and debt obligations fall within Level 3 of the fair value hierarchy. The carrying value of other financial instruments including cash and cash equivalents, restricted cash, 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are included in the fair value hierarchy table above.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15—Segment Reporting</w:t>
      </w:r>
    </w:p>
    <w:p>
      <w:pPr>
        <w:spacing w:after="0" w:line="229"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The Company has determined that it has four reportable segments based on how management reviews and manages its business. These reportable segments include: Real Estate Finance, Net Lease, Operating Properties and Land. The Real Estate Finance segment includes all of the Company's activities related to senior and mezzanine real estate loans and real estate related securities. The Net Lease segment includes all of the Company's activities related to the ownership and leasing of corporate facilities. The Operating Properties segment includes all of the Company's activities and operations related to its commercial and residential properties. The Land segment includes the Company's activities related to its developable land portfolio.</w:t>
      </w:r>
    </w:p>
    <w:p>
      <w:pPr>
        <w:spacing w:after="0" w:line="118"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 evaluates performance based on the following financial measures for each segment. The Company's segment information is as follows ($ in thousands):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Land</w:t>
            </w:r>
          </w:p>
        </w:tc>
        <w:tc>
          <w:tcPr>
            <w:tcW w:w="1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Corporate/Other(1)</w:t>
            </w:r>
          </w:p>
        </w:tc>
        <w:tc>
          <w:tcPr>
            <w:tcW w:w="120" w:type="dxa"/>
            <w:vAlign w:val="bottom"/>
          </w:tcPr>
          <w:p>
            <w:pPr>
              <w:spacing w:after="0"/>
              <w:rPr>
                <w:sz w:val="14"/>
                <w:szCs w:val="14"/>
                <w:color w:val="auto"/>
              </w:rPr>
            </w:pPr>
          </w:p>
        </w:tc>
        <w:tc>
          <w:tcPr>
            <w:tcW w:w="112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2014:</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37,674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23,117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60,967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35,127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19,043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7,874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1,683</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29,262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sales revenue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54,170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38,193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30,991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1,683</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129,843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Earnings (loss) from equity method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22,651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17,180</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and other earnings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24,334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171,116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(40,554)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cost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(4,387)</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(56,530)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Allocated general and administrative(2)</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(6,498)</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(23,427)</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Segment profit (loss)(3)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33,565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8,309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42,304</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(recovery of)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Impairment of assets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Capitalized expenditures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13,564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18,373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32,138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2013:</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35,783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21,329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57,112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29,682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11,440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1,395</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99,919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w w:val="95"/>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7,366</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8,323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34,319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w w:val="99"/>
              </w:rPr>
              <w:t>Income (loss) from discontinued operations(4)</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Arial" w:cs="Arial" w:eastAsia="Arial" w:hAnsi="Arial"/>
                <w:sz w:val="18"/>
                <w:szCs w:val="18"/>
                <w:color w:val="auto"/>
              </w:rPr>
              <w:t>Revenue and other earnings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40,192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70,451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8,761</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151,342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(36,981)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interest expense(5)</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(69,157)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Allocated general and administrative(2)</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(6,169)</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(16,157)</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Segment profit (loss)(3)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31,071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28,901</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(recovery of)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Impairment of assets(5)</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amortization(5)</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Capitalized expenditures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13,889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31,346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Land</w:t>
            </w:r>
          </w:p>
        </w:tc>
        <w:tc>
          <w:tcPr>
            <w:tcW w:w="1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Corporate/Other(1)</w:t>
            </w:r>
          </w:p>
        </w:tc>
        <w:tc>
          <w:tcPr>
            <w:tcW w:w="120" w:type="dxa"/>
            <w:vAlign w:val="bottom"/>
          </w:tcPr>
          <w:p>
            <w:pPr>
              <w:spacing w:after="0"/>
              <w:rPr>
                <w:sz w:val="14"/>
                <w:szCs w:val="14"/>
                <w:color w:val="auto"/>
              </w:rPr>
            </w:pPr>
          </w:p>
        </w:tc>
        <w:tc>
          <w:tcPr>
            <w:tcW w:w="112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2014:</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76,555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46,118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123,075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63,041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19,442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20,540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2,762</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43,846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sales revenue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82,483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77,288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66,658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2,762</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238,592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Earnings (loss) from equity method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25,583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33,674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33,674</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and other earnings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101,280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28,345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299,536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(83,167)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cost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(4,178)</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(113,986)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Allocated general and administrative(2)</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(12,084)</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(41,140)</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Segment profit (loss)(3)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42,906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17,982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49,067</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(recovery of)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Impairment of assets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6,279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37,435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Capitalized expenditures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26,418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33,056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60,179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2013:</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72,436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42,692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115,128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54,349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19,579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1,967</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24,544</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194,021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w w:val="95"/>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27,280</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30,001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58,016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w w:val="99"/>
              </w:rPr>
              <w:t>Income (loss) from discontinued operations(4)</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13,323</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Arial" w:cs="Arial" w:eastAsia="Arial" w:hAnsi="Arial"/>
                <w:sz w:val="18"/>
                <w:szCs w:val="18"/>
                <w:color w:val="auto"/>
              </w:rPr>
              <w:t>Revenue and other earnings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56,847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78,170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132,054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29,247</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297,205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(74,815)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(3,913)</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Allocated interest expense(5)</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(140,723)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Allocated general and administrative(2)</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(12,405)</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(32,802)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Segment profit (loss)(3)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20,615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51,194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43,095</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(recovery of)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15,226</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Impairment of assets(5)</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amortization(5)</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34,854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Capitalized expenditures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17,656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14,406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15,598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47,660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Land</w:t>
            </w:r>
          </w:p>
        </w:tc>
        <w:tc>
          <w:tcPr>
            <w:tcW w:w="1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Corporate/Other(1)</w:t>
            </w:r>
          </w:p>
        </w:tc>
        <w:tc>
          <w:tcPr>
            <w:tcW w:w="12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2014</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at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1,611,446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744,212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3,184,770</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(86,747)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(443,380)</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Real estate,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1,259,028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657,465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824,897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2,741,390</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232,771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122,043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354,814</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1,259,028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890,236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946,940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3,096,204</w:t>
            </w:r>
          </w:p>
        </w:tc>
        <w:tc>
          <w:tcPr>
            <w:tcW w:w="0" w:type="dxa"/>
            <w:vAlign w:val="bottom"/>
          </w:tcPr>
          <w:p>
            <w:pPr>
              <w:spacing w:after="0"/>
              <w:rPr>
                <w:sz w:val="1"/>
                <w:szCs w:val="1"/>
                <w:color w:val="auto"/>
              </w:rPr>
            </w:pP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w w:val="94"/>
              </w:rPr>
              <w:t>Loans receivable and other lending 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1,456,407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1,456,407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143,357</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241,561</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portfolio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1,456,407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1,292,768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905,333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996,307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143,357</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12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4,794,172</w:t>
            </w: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679,313</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5,473,485</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2013</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at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1,696,888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720,508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3,220,634</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(424,453)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Real estate,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1,358,248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638,088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799,845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2,796,181</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228,328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132,189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360,517</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1,358,248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866,416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3,156,698</w:t>
            </w:r>
          </w:p>
        </w:tc>
        <w:tc>
          <w:tcPr>
            <w:tcW w:w="0" w:type="dxa"/>
            <w:vAlign w:val="bottom"/>
          </w:tcPr>
          <w:p>
            <w:pPr>
              <w:spacing w:after="0"/>
              <w:rPr>
                <w:sz w:val="1"/>
                <w:szCs w:val="1"/>
                <w:color w:val="auto"/>
              </w:rPr>
            </w:pP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w w:val="94"/>
              </w:rPr>
              <w:t>Loans receivable and other lending 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1,370,109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1,370,109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145,004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207,209</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portfolio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1,370,109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1,374,656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882,448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961,799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145,004</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12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4,734,016</w:t>
            </w: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907,995</w:t>
            </w:r>
          </w:p>
        </w:tc>
        <w:tc>
          <w:tcPr>
            <w:tcW w:w="0" w:type="dxa"/>
            <w:vAlign w:val="bottom"/>
          </w:tcPr>
          <w:p>
            <w:pPr>
              <w:spacing w:after="0"/>
              <w:rPr>
                <w:sz w:val="1"/>
                <w:szCs w:val="1"/>
                <w:color w:val="auto"/>
              </w:rPr>
            </w:pPr>
          </w:p>
        </w:tc>
      </w:tr>
      <w:tr>
        <w:trPr>
          <w:trHeight w:val="257"/>
        </w:trPr>
        <w:tc>
          <w:tcPr>
            <w:tcW w:w="37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5,642,011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46"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related to the other reportable segments above, including the Company's share of equity in earnings from LNR of $1.7 million and $16.5 million for the three and six months ended June 30, 2013. See Note 6 for further details on the Company's investment in LNR and summarized financial information of LNR.</w:t>
      </w:r>
    </w:p>
    <w:p>
      <w:pPr>
        <w:ind w:left="660" w:hanging="652"/>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General and administrative excludes stock-based compensation expense of $3.2 million and $5.3 million for the three and six months ended June 30, 2014, respectively, and $4.7 million and $9.9 million for the three and six months ended June 30, 2013, respectively.</w:t>
      </w:r>
    </w:p>
    <w:p>
      <w:pPr>
        <w:ind w:left="660" w:hanging="652"/>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following is a reconciliation of segment profit (loss) to net income (loss) ($ in thousands):</w:t>
      </w:r>
    </w:p>
    <w:p>
      <w:pPr>
        <w:spacing w:after="0" w:line="13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242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For the Six Months Ended</w:t>
            </w:r>
          </w:p>
        </w:tc>
      </w:tr>
      <w:tr>
        <w:trPr>
          <w:trHeight w:val="192"/>
        </w:trPr>
        <w:tc>
          <w:tcPr>
            <w:tcW w:w="3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264"/>
        </w:trPr>
        <w:tc>
          <w:tcPr>
            <w:tcW w:w="3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2013</w:t>
            </w:r>
          </w:p>
        </w:tc>
      </w:tr>
      <w:tr>
        <w:trPr>
          <w:trHeight w:val="256"/>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profit (loss)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42,304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28,901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49,067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43,095</w:t>
            </w:r>
          </w:p>
        </w:tc>
      </w:tr>
      <w:tr>
        <w:trPr>
          <w:trHeight w:val="264"/>
        </w:trPr>
        <w:tc>
          <w:tcPr>
            <w:tcW w:w="3800" w:type="dxa"/>
            <w:vAlign w:val="bottom"/>
          </w:tcPr>
          <w:p>
            <w:pPr>
              <w:ind w:left="20"/>
              <w:spacing w:after="0"/>
              <w:rPr>
                <w:sz w:val="20"/>
                <w:szCs w:val="20"/>
                <w:color w:val="auto"/>
              </w:rPr>
            </w:pPr>
            <w:r>
              <w:rPr>
                <w:rFonts w:ascii="Arial" w:cs="Arial" w:eastAsia="Arial" w:hAnsi="Arial"/>
                <w:sz w:val="14"/>
                <w:szCs w:val="14"/>
                <w:color w:val="auto"/>
              </w:rPr>
              <w:t>Less: (Provision for) recovery of loan losses</w:t>
            </w:r>
          </w:p>
        </w:tc>
        <w:tc>
          <w:tcPr>
            <w:tcW w:w="3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2,792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6,192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(15,226)</w:t>
            </w:r>
          </w:p>
        </w:tc>
      </w:tr>
      <w:tr>
        <w:trPr>
          <w:trHeight w:val="276"/>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Impairment of assets(4)</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r>
      <w:tr>
        <w:trPr>
          <w:trHeight w:val="264"/>
        </w:trPr>
        <w:tc>
          <w:tcPr>
            <w:tcW w:w="3800" w:type="dxa"/>
            <w:vAlign w:val="bottom"/>
          </w:tcPr>
          <w:p>
            <w:pPr>
              <w:ind w:left="20"/>
              <w:spacing w:after="0"/>
              <w:rPr>
                <w:sz w:val="20"/>
                <w:szCs w:val="20"/>
                <w:color w:val="auto"/>
              </w:rPr>
            </w:pPr>
            <w:r>
              <w:rPr>
                <w:rFonts w:ascii="Arial" w:cs="Arial" w:eastAsia="Arial" w:hAnsi="Arial"/>
                <w:sz w:val="14"/>
                <w:szCs w:val="14"/>
                <w:color w:val="auto"/>
              </w:rPr>
              <w:t>Less: Stock-based compensation expense</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(3,196)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(4,719)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(5,271)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(9,921)</w:t>
            </w:r>
          </w:p>
        </w:tc>
      </w:tr>
      <w:tr>
        <w:trPr>
          <w:trHeight w:val="276"/>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Depreciation and amortization(4)</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(34,854)</w:t>
            </w:r>
          </w:p>
        </w:tc>
      </w:tr>
      <w:tr>
        <w:trPr>
          <w:trHeight w:val="264"/>
        </w:trPr>
        <w:tc>
          <w:tcPr>
            <w:tcW w:w="3800" w:type="dxa"/>
            <w:vAlign w:val="bottom"/>
          </w:tcPr>
          <w:p>
            <w:pPr>
              <w:ind w:left="20"/>
              <w:spacing w:after="0"/>
              <w:rPr>
                <w:sz w:val="20"/>
                <w:szCs w:val="20"/>
                <w:color w:val="auto"/>
              </w:rPr>
            </w:pPr>
            <w:r>
              <w:rPr>
                <w:rFonts w:ascii="Arial" w:cs="Arial" w:eastAsia="Arial" w:hAnsi="Arial"/>
                <w:sz w:val="14"/>
                <w:szCs w:val="14"/>
                <w:color w:val="auto"/>
              </w:rPr>
              <w:t>Less: Income tax (expense) benefit(4)</w:t>
            </w:r>
          </w:p>
        </w:tc>
        <w:tc>
          <w:tcPr>
            <w:tcW w:w="3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(4,566)</w:t>
            </w:r>
          </w:p>
        </w:tc>
      </w:tr>
      <w:tr>
        <w:trPr>
          <w:trHeight w:val="270"/>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 on early extinguishment of debt, net</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(23,587)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(15,242)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(24,767)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(24,784)</w:t>
            </w:r>
          </w:p>
        </w:tc>
      </w:tr>
      <w:tr>
        <w:trPr>
          <w:trHeight w:val="243"/>
        </w:trPr>
        <w:tc>
          <w:tcPr>
            <w:tcW w:w="38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(14,398)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(17,771)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(46,651)</w:t>
            </w:r>
          </w:p>
        </w:tc>
      </w:tr>
      <w:tr>
        <w:trPr>
          <w:trHeight w:val="20"/>
        </w:trPr>
        <w:tc>
          <w:tcPr>
            <w:tcW w:w="3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For the three and six months ended June 30, 2013, excludes certain amounts reclassified to discontinued operations on the Company's Consolidated Statements of Operations.</w:t>
      </w:r>
    </w:p>
    <w:p>
      <w:pPr>
        <w:spacing w:after="0" w:line="66" w:lineRule="exact"/>
        <w:rPr>
          <w:rFonts w:ascii="Arial" w:cs="Arial" w:eastAsia="Arial" w:hAnsi="Arial"/>
          <w:sz w:val="13"/>
          <w:szCs w:val="13"/>
          <w:color w:val="auto"/>
        </w:rPr>
      </w:pPr>
    </w:p>
    <w:p>
      <w:pPr>
        <w:ind w:left="660" w:hanging="652"/>
        <w:spacing w:after="0"/>
        <w:tabs>
          <w:tab w:leader="none" w:pos="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For the three and six months ended June 30, 2013, includes related amounts reclassified to discontinued operations on the Company's Consolidated Statements of Operations.</w:t>
      </w:r>
    </w:p>
    <w:p>
      <w:pPr>
        <w:sectPr>
          <w:pgSz w:w="11900" w:h="16838" w:orient="portrait"/>
          <w:cols w:equalWidth="0" w:num="1">
            <w:col w:w="11420"/>
          </w:cols>
          <w:pgMar w:left="240" w:top="121" w:right="239" w:bottom="1440" w:gutter="0" w:footer="0" w:header="0"/>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iStar Financial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1A—"Risk Factors" in our 2013 Annual Report (as defined below), all of which could affect our future results of operations, financial condition and liquidity. For purposes of Management's Discussion and Analysis of Financial Condition and Results of Operations, the terms "we," "our" and "us" refer to iStar Financial Inc. and its consolidated subsidiaries, unless the context indicates otherwise.</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discussion below should be read in conjunction with our consolidated financial statements and related notes in this quarterly report on Form 10-Q and our annual report on Form 10-K for the year ended December 31, 2013 (the "2013 Annual Report"). These historical financial statements may not be indicative of our future performance. We have reclassified certain items in our consolidated financial statements of prior periods to conform to our current financial statements presentation.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iStar Financial Inc. is a fully-integrated finance and investment company focused on the commercial real estate industry. We provide custom-tailored investment capital to high-end private and corporate owners of real estate and invest directly across a range of real estate sectors. We are taxed as a real estate investment trust, or "REIT," and have invested more than $35 billion over the past two decades. Our primary business segments are real estate finance, net lease, operating properties and land.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conjunction with improving economic and commercial real estate market conditions, we have continued to make meaningful progress towards achieving a number of our strategic corporate objectives. Broad access to the capital markets has allowed us to extend our debt maturity profile, lower our cost of capital and support our long-term strategy of becoming primarily an unsecured borrower. During the quarter, we issued two series of senior unsecured notes and utilized the net proceeds, together with cash on hand, to fully repay and terminate the larger of our two secured credit facilities. We continued to significantly reduce our level of nonperforming loans and non-core assets through the monetization of legacy assets. In addition, through strategic ventures, we have partnered with other providers of capital within our net lease segment and with developers with homebuilding expertise within our land segment. These transactions and resulting benefits to liquidity have allowed us to increase new investment activity within our various business segments, which we anticipate should drive future revenue growth. During the quarter, we originated and funded $167.1 million of investments and had $356.5 million of cash at quarter end which we expect to be used primarily to fund future investment activities.</w:t>
      </w:r>
    </w:p>
    <w:p>
      <w:pPr>
        <w:spacing w:after="0" w:line="14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During the three months ended June 30, 2014, three of our four business segments, including real estate finance, net lease and operating properties contributed positively to our earnings. We continue to work on repositioning or redeveloping our transitional operating properties and progressing on the entitlement and development of our land assets in order to maximize their value. We intend to continue these efforts, with the objective of having these assets contribute positively to earnings in the future. For the quarter ended June 30, 2014, we recorded a net loss allocable to common shareholders of $(16.2) million, compared to a loss of $(26.0) million during the same period in the prior year. Adjusted income (loss) allocable to common shareholders for the quarter ended June 30, 2014 was $28.9 million, compared to $4.4 million during the same period in the prior year.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2014 compared to the Three Months Ended June 30, 2013</w:t>
      </w:r>
    </w:p>
    <w:p>
      <w:pPr>
        <w:spacing w:after="0" w:line="342"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13335</wp:posOffset>
            </wp:positionV>
            <wp:extent cx="19380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57,112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35,127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29,682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5,445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16,137</w:t>
            </w:r>
          </w:p>
        </w:tc>
        <w:tc>
          <w:tcPr>
            <w:tcW w:w="1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Land sales revenue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4,487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129,843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29,924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56,530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69,157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Cost of land sales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3,611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20,876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5,747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(recovery of) loan losses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1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3,300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4,544</w:t>
            </w:r>
          </w:p>
        </w:tc>
        <w:tc>
          <w:tcPr>
            <w:tcW w:w="1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37"/>
        </w:trPr>
        <w:tc>
          <w:tcPr>
            <w:tcW w:w="50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151,338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149,510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Earnings from equity method investments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8,323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15,770</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w:t>
            </w:r>
          </w:p>
        </w:tc>
        <w:tc>
          <w:tcPr>
            <w:tcW w:w="1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from sales of residential property</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34,319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(17,139)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10,804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primarily includes income from net lease assets and commercial operating properties, increased to $61.0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June 30, 2014 from $57.1 million for the same period in 2013.</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Operating lease income from net lease assets increased to $37.7 million during the three months ended June 30, 2014 from $35.8 million for the same period in 2013 primarily due to new leasing activity, offset by lease terminations since June 30, 2013. As of June 30, 2014, net lease assets were 94.4% leased compared to 93.8% leased as of June 30, 2013. For the three months ended June 30, 2014, the net lease portfolio generated an unleveraged yield of 7.68% compared to 7.13% during the same period in 2013.</w:t>
      </w:r>
    </w:p>
    <w:p>
      <w:pPr>
        <w:spacing w:after="0" w:line="1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Operating lease income from commercial operating properties increased to $22.2 million during the three months ended June 30, 2014 from $21.3 million for the same period in 2013 due to new leasing activity and the acquisition of properties during the quarter. As of June 30, 2014, commercial operating properties, excluding hotels, were 61.3% leased compared to 60.5% leased as of June 30, 2013.</w:t>
      </w:r>
    </w:p>
    <w:p>
      <w:pPr>
        <w:spacing w:after="0" w:line="14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Interest income increased to $35.1 million during the three months ended June 30, 2014 as compared to $29.7 million for the same period in 2013. The increase was due to $5.0 million of income recognition related to the amortization of a discount associated with the acquisition of a loan, as well as new investment originations and additional fundings of existing loans. The average balance of performing loans was $1.36 billion for the quarter ended June 30, 2014 as compared to $1.18 billion for the same period in 2013. The increase was offset by payoffs and paydowns of performing loans since June 30, 2013. The weighted average yield of our performing loans increased to 8.5%, excluding the $5.0 million amortization of discount, for the three months ended June 30, 2014 from 7.0% for the same period in 2013.</w:t>
      </w:r>
    </w:p>
    <w:p>
      <w:pPr>
        <w:spacing w:after="0" w:line="15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income increased to $29.3 million during the three months ended June 30, 2014 as compared to $13.1 million for the same period in 2013. The increase was due primarily to gains on sales of non-performing loans of $19.0 million.</w:t>
      </w:r>
    </w:p>
    <w:p>
      <w:pPr>
        <w:spacing w:after="0" w:line="1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Land sales and costs</w:t>
      </w:r>
      <w:r>
        <w:rPr>
          <w:rFonts w:ascii="Arial" w:cs="Arial" w:eastAsia="Arial" w:hAnsi="Arial"/>
          <w:sz w:val="18"/>
          <w:szCs w:val="18"/>
          <w:color w:val="auto"/>
        </w:rPr>
        <w:t>—During the three months ended June 30, 2014, we sold residential lots from two of our master planned community properties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of $4.5 million which had associated cost of sales of $3.6 million.</w:t>
      </w:r>
    </w:p>
    <w:p>
      <w:pPr>
        <w:sectPr>
          <w:pgSz w:w="11900" w:h="16838" w:orient="portrait"/>
          <w:cols w:equalWidth="0" w:num="1">
            <w:col w:w="11420"/>
          </w:cols>
          <w:pgMar w:left="240" w:top="125"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b w:val="1"/>
          <w:bCs w:val="1"/>
          <w:i w:val="1"/>
          <w:iCs w:val="1"/>
          <w:color w:val="auto"/>
        </w:rPr>
        <w:t>Costs and expenses</w:t>
      </w:r>
      <w:r>
        <w:rPr>
          <w:rFonts w:ascii="Arial" w:cs="Arial" w:eastAsia="Arial" w:hAnsi="Arial"/>
          <w:sz w:val="17"/>
          <w:szCs w:val="17"/>
          <w:color w:val="auto"/>
        </w:rPr>
        <w:t>—Interest expense decreased to $56.5 million during the three months ended June 30, 2014 as compared to $69.2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same period in 2013 due to a lower average outstanding debt balance and a lower weighted average cost of debt. The average outstanding balance of our debt declined to $4.08 billion for the three months ended June 30, 2014 from $4.58 billion for the same period in 2013. Our weighted average effective cost of debt decreased to 5.5% for the three months ended June 30, 2014 from 6.0% for the same period in 2013. The decline was primarily a result of the refinancing of higher interest rate senior unsecured notes with lower interest rate senior unsecured notes during 2013.</w:t>
      </w:r>
    </w:p>
    <w:p>
      <w:pPr>
        <w:spacing w:after="0" w:line="13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Real estate expenses increased to $40.6 million during the three months ended June 30, 2014 as compared to $37.0 million for the same period in 2013. Expenses for commercial operating properties increased to $21.1 million during the three months ended June 30, 2014 from $20.2 million for the same period in 2013, primarily due to the acquisition of properties and higher occupancy at a hotel property during the quarter. The increase was offset by reduced expenses resulting from the conversion of hotel rooms to residential units to be sold at a hotel property during the quarter ended June 30, 2014. Costs associated with residential units increased to $7.8 million from $4.6 million for the same period in 2013 due to sales assessments at one of our residential properties and carrying costs for additional residential units where construction was completed during the quarter ended June 30, 2014.</w:t>
      </w:r>
    </w:p>
    <w:p>
      <w:pPr>
        <w:spacing w:after="0" w:line="13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and amortization increased to $18.8 million during the three months ended June 30, 2014 from $17.3 million for the same period in 2013 primarily due to additional leasing activity, the acquisition of a commercial operating property during the quarter and accelerated depreciation related to a terminated lease.</w:t>
      </w:r>
    </w:p>
    <w:p>
      <w:pPr>
        <w:spacing w:after="0" w:line="1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 and administrative expenses increased to $26.6 million during the three months ended June 30, 2014 as compared to $20.9 million for the same period in 2013 primarily related to the timing of expense recognition for our performance based compensation program.</w:t>
      </w:r>
    </w:p>
    <w:p>
      <w:pPr>
        <w:spacing w:after="0" w:line="13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net recovery of loan losses was $2.8 million during the three months ended June 30, 2014 as compared to a net provision for loan losses of $5.0 million for the same period in 2013. Included in the net recovery for the three months ended June 30, 2014 were recoveries of previously recorded loan loss reserves of $2.4 million and a reduction of $0.4 million in the general reserve due primarily to an overall improvement in risk ratings of our loans.</w:t>
      </w:r>
    </w:p>
    <w:p>
      <w:pPr>
        <w:spacing w:after="0" w:line="106"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During the three months ended June 30, 2014, we recorded impairments on real estate assets totaling $3.3 million resulting from a change in business strategy for a residential property. During the three months ended June 30, 2013, we recorded no impairments on real estate assets.</w:t>
      </w:r>
    </w:p>
    <w:p>
      <w:pPr>
        <w:spacing w:after="0" w:line="14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Other expense increased to $4.7 million during the three months ended June 30, 2014 as compared to $0.1 million for the same period in 2013. During the quarter ended June 30, 2014, in connection with the full repayment and termination of our February 2013 Secured Credit Facility, we realized $3.6 million of expense from other comprehensive loss as a portion of an interest rate cap related to our variable rate debt was no longer expected to be highly effective.</w:t>
      </w:r>
    </w:p>
    <w:p>
      <w:pPr>
        <w:spacing w:after="0" w:line="10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Loss on early extinguishment of debt, net</w:t>
      </w:r>
      <w:r>
        <w:rPr>
          <w:rFonts w:ascii="Arial" w:cs="Arial" w:eastAsia="Arial" w:hAnsi="Arial"/>
          <w:sz w:val="18"/>
          <w:szCs w:val="18"/>
          <w:color w:val="auto"/>
        </w:rPr>
        <w:t>—During the three months ended June 30, 2014, we incurred losses on early extinguishment of debt of $23.6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Together with cash on hand, net proceeds from the issuances of our $550 million of 4.00% senior unsecured notes due November 2017 and our $770 million of 5.00% senior unsecured notes due July 2019 were used to fully repay and terminate our February 2013 Secured Credit Facility. As a result, during the quarter ended June 30, 2014, we expensed $22.8 million relating to accelerated amortization of discount and fees associated with the payoff of our February 2013 Secured Credit Facility.</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June 30, 2013, we incurred $3.0 million of net losses on the early extinguishment of debt primarily related to accelerated amortization of discounts and fees in connection with amortization payments of our October 2012 and February 2013 Secured Credit Facilities. We also redeemed our $448.5 million aggregate principal amount of 5.95% senior unsecured notes due October 2013 prior to maturity and incurred $9.5 million of losses related to a prepayment penalty and the accelerated amortization of discounts and fees.</w:t>
      </w:r>
    </w:p>
    <w:p>
      <w:pPr>
        <w:spacing w:after="0" w:line="1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Earnings from equity method investments</w:t>
      </w:r>
      <w:r>
        <w:rPr>
          <w:rFonts w:ascii="Arial" w:cs="Arial" w:eastAsia="Arial" w:hAnsi="Arial"/>
          <w:sz w:val="18"/>
          <w:szCs w:val="18"/>
          <w:color w:val="auto"/>
        </w:rPr>
        <w:t>—Earnings from equity method investments increased to $24.1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2014 as compared to $8.3 million for the same period in 2013. For the three months ended June 30, 2014, we recognized $23.4 million of earnings from equity method investments resulting from asset sales by one of our equity method investees.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Discontinued operations</w:t>
      </w:r>
      <w:r>
        <w:rPr>
          <w:rFonts w:ascii="Arial" w:cs="Arial" w:eastAsia="Arial" w:hAnsi="Arial"/>
          <w:sz w:val="18"/>
          <w:szCs w:val="18"/>
          <w:color w:val="auto"/>
        </w:rPr>
        <w:t>—During the prior quarter, we adopted ASU 2014-08 (see Note 3), which raised the threshold for discontinued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reporting to disposals of components that are considered strategic shifts in a company's business. There were no disposals that met this threshold during the quarter. Income (loss) from discontinued operations includes operating results from net lease assets and commercial operating properties held for sale or sold as of December 31, 2013. During the three months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ended June 30, 2013, we sold two commercial operating properties with a carrying value of $19.1 million, which resulted in a net gain of $4.9 million, and two net lease assets with a carrying value of $12.6 million, which resulted in a gain of $3.4 million.</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Income from sales of residential property</w:t>
      </w:r>
      <w:r>
        <w:rPr>
          <w:rFonts w:ascii="Arial" w:cs="Arial" w:eastAsia="Arial" w:hAnsi="Arial"/>
          <w:sz w:val="18"/>
          <w:szCs w:val="18"/>
          <w:color w:val="auto"/>
        </w:rPr>
        <w:t>—During the three months ended June 30, 2014 and 2013, we sold residential condominiums for total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of $47.1 million and $88.9 million, respectively, that resulted in income from sales of residential properties totaling $17.2 million and $34.3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2014 compared to the Six Months Ended June 30, 2013</w:t>
      </w:r>
    </w:p>
    <w:p>
      <w:pPr>
        <w:spacing w:after="0" w:line="342"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Six Months Ended</w:t>
      </w:r>
    </w:p>
    <w:p>
      <w:pPr>
        <w:spacing w:after="0" w:line="4"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13335</wp:posOffset>
            </wp:positionV>
            <wp:extent cx="19380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123,075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115,128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7,947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63,041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54,349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8,692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19,302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Land sales revenue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8,630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238,592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194,021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44,571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113,986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140,723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74,815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8,352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Cost of land sales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7,265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46,411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42,723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3,688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(recovery of) loan losses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(21,418)</w:t>
            </w:r>
          </w:p>
        </w:tc>
        <w:tc>
          <w:tcPr>
            <w:tcW w:w="170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&gt;(100)%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6,279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50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293,262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313,910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(20,648)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Earnings from equity method investments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30,001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5,226</w:t>
            </w:r>
          </w:p>
        </w:tc>
        <w:tc>
          <w:tcPr>
            <w:tcW w:w="170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&gt;100%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from sales of residential property</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33,674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58,016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(24,342)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28,880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primarily includes income from net lease assets and commercial operating properties, increased to $123.1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six months ended June 30, 2014 from $115.1 million for the same period in 2013.</w:t>
      </w:r>
    </w:p>
    <w:p>
      <w:pPr>
        <w:spacing w:after="0" w:line="17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Operating lease income from net lease assets increased to $76.6 million during the six months ended June 30, 2014 from $72.4 million for the same period in 2013 primarily due to new leasing activity and a new net lease asset acquired at the end of 2013, offset by lease terminations since June 30, 2013. As of June 30, 2014, net lease assets were 94.4% leased compared to 93.8% leased as of June 30, 2013. For the six months ended June 30, 2014, the net lease portfolio generated an unleveraged yield of 7.51% compared to 7.26% during the same period in 2013.</w:t>
      </w:r>
    </w:p>
    <w:p>
      <w:pPr>
        <w:spacing w:after="0" w:line="13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Operating lease income from commercial operating properties increased to $43.9 million during the six months ended June 30, 2014 from $42.7 million for the same period in 2013 primarily due to new leasing activity and the acquisition of properties during the period. As of June 30, 2014, commercial operating properties, excluding hotels, were 61.3% leased compared to 60.5% leased as of June 30, 2013.</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income increased to $63.0 million during the six months ended June 30, 2014 as compared to $54.3 million for the same period in 2013. The increase was due to $5.0 million of income recognition related to the amortization of a discount associated with the acquisition of a loan, as well as new investment originations and additional fundings of existing loans. The average balance of performing loans was $1.33 billion for the six months ended June 30, 2014 as compared to $1.26 billion for the same period in</w:t>
      </w:r>
    </w:p>
    <w:p>
      <w:pPr>
        <w:sectPr>
          <w:pgSz w:w="11900" w:h="16838" w:orient="portrait"/>
          <w:cols w:equalWidth="0" w:num="1">
            <w:col w:w="11420"/>
          </w:cols>
          <w:pgMar w:left="240" w:top="125"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2013. The increase was offset in part by payoffs and paydowns of performing loans since June 30, 2013. The weighted average yield of our performing loans increased to 8.6%, excluding the $5.0 million amortization of discount, for the six months ended June 30, 2014 from 7.1% for the same period in 2013.</w:t>
      </w:r>
    </w:p>
    <w:p>
      <w:pPr>
        <w:spacing w:after="0" w:line="8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Other income increased to $43.8 million during the six months ended June 30, 2014 as compared to $24.5 million for the same period in 2013. The increase was due to gains on sales of non-performing loans of $19.0 million and $5.3 million of income related to a lease modification fee received. The increase was offset in part by a decline of $2.4 million in loan related income received during the same period in 2013.</w:t>
      </w:r>
    </w:p>
    <w:p>
      <w:pPr>
        <w:spacing w:after="0" w:line="1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Land sales and costs</w:t>
      </w:r>
      <w:r>
        <w:rPr>
          <w:rFonts w:ascii="Arial" w:cs="Arial" w:eastAsia="Arial" w:hAnsi="Arial"/>
          <w:sz w:val="18"/>
          <w:szCs w:val="18"/>
          <w:color w:val="auto"/>
        </w:rPr>
        <w:t>—During the six months ended June 30, 2014, we sold residential lots from two of our master planned community properties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of $8.6 million which had associated cost of sales of $7.3 million.</w:t>
      </w:r>
    </w:p>
    <w:p>
      <w:pPr>
        <w:spacing w:after="0" w:line="13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b w:val="1"/>
          <w:bCs w:val="1"/>
          <w:i w:val="1"/>
          <w:iCs w:val="1"/>
          <w:color w:val="auto"/>
        </w:rPr>
        <w:t>Costs and expenses</w:t>
      </w:r>
      <w:r>
        <w:rPr>
          <w:rFonts w:ascii="Arial" w:cs="Arial" w:eastAsia="Arial" w:hAnsi="Arial"/>
          <w:sz w:val="16"/>
          <w:szCs w:val="16"/>
          <w:color w:val="auto"/>
        </w:rPr>
        <w:t>—Interest expense decreased to $114.0 million during the six months ended June 30, 2014 as compared to $140.7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2013 due to a lower average outstanding debt balance and a lower weighted average cost of debt. The average outstanding balance of our debt declined to $4.10 billion for the six months ended June 30, 2014 from $4.60 billion for the same period in 2013. Our weighted average effective cost of debt decreased to 5.5% for the six months ended June 30, 2014 from 6.1% for the same period in 2013. The decline was a result of the refinancing of higher interest rate secured credit facilities and senior unsecured notes with lower interest rate senior unsecured notes during 2013 and 2014.</w:t>
      </w:r>
    </w:p>
    <w:p>
      <w:pPr>
        <w:spacing w:after="0" w:line="11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Real estate expenses increased to $83.2 million during the six months ended June 30, 2014 as compared to $74.8 million for the same period in 2013. Expenses for commercial operating properties increased to $43.5 million during the six months ended June 30, 2014 from $40.6 million for the same period in 2013, primarily due to the acquisition of properties, higher occupancy at a hotel property and increased snow removal costs during the period. The increase was offset in part by reduced expenses resulting from the conversion of hotel rooms to residential units to be sold at a property during the six months ended June 30, 2014. Costs associated with residential units increased to $14.1 million from $10.0 million for the same period in 2013 due to sales assessments at one of our residential properties and carrying costs for additional residential units where construction was completed during the the six months ended June 30, 2014. Carrying costs and other expenses on our land assets increased to $14.4 million during the six months ended June 30, 2014 from $13.0 million for the same period in 2013, primarily related to an increase in costs incurred on certain land assets prior to development.</w:t>
      </w:r>
    </w:p>
    <w:p>
      <w:pPr>
        <w:spacing w:after="0" w:line="12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and amortization increased to $37.4 million during the six months ended June 30, 2014 from $34.7 million for the same period in 2013 primarily due to additional leasing activity, the acquisition of a commercial operating property during the quarter ended June 30, 2014 and accelerated depreciation related to a terminated lease.</w:t>
      </w:r>
    </w:p>
    <w:p>
      <w:pPr>
        <w:spacing w:after="0" w:line="1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 and administrative expenses increased to $46.4 million during the six months ended June 30, 2014 as compared to $42.7 million for the same period in 2013 primarily related to the timing of expense recognition for our performance based compensation program.</w:t>
      </w:r>
    </w:p>
    <w:p>
      <w:pPr>
        <w:spacing w:after="0" w:line="13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net recovery of loan losses was $6.2 million during the six months ended June 30, 2014 as compared to a net provision for loan losses of $15.2 million for the same period in 2013. Included in the net recovery for the six months ended June 30, 2014 were recoveries of previously recorded loan loss reserves of $7.6 million offset by an increase of $1.4 million in the general reserve due primarily to new investment originations.</w:t>
      </w:r>
    </w:p>
    <w:p>
      <w:pPr>
        <w:spacing w:after="0" w:line="1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six months ended June 30, 2014, we recorded impairments on real estate assets totaling $6.3 million resulting from a change in business strategy for a residential property and resulting from the sale of a net lease asset. During the six months ended June 30, 2013, we recorded no impairments on real estate assets.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Loss on early extinguishment of debt, net</w:t>
      </w:r>
      <w:r>
        <w:rPr>
          <w:rFonts w:ascii="Arial" w:cs="Arial" w:eastAsia="Arial" w:hAnsi="Arial"/>
          <w:sz w:val="18"/>
          <w:szCs w:val="18"/>
          <w:color w:val="auto"/>
        </w:rPr>
        <w:t>—During the six months ended June 30, 2014, we incurred losses on early extinguishment of debt of $24.8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Together with cash on hand, net proceeds from the issuances of our $550 million of 4.00% senior unsecured notes due November 2017 and our $770 million of 5.00% senior unsecured notes due July 2019 were used to fully repay and terminate our February 2013 Secured Credit Facility. As a result, during the quarter ended June 30, 2014, we expensed $22.8 million relating to accelerated amortization of discount and fees associated with the payoff of our February 2013 Secured Credit Facility.</w:t>
      </w:r>
    </w:p>
    <w:p>
      <w:pPr>
        <w:spacing w:after="0" w:line="18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the six months ended June 30, 2013, we incurred $7.7 million of losses on the early extinguishment of debt due to accelerated amortization of discounts and fees in connection with the refinancing of our October 2012 Secured Credit Facility with our February 2013 Secured Credit Facility. We also recorded $7.6 million of losses related to the accelerated amortization of discounts and fees in connection with amortization payments that we made on our 2012 and 2013 Secured Credit Facilities. We also redeemed our $448.5 million 5.95% senior unsecured notes due October 2013 prior to maturity and incurred $9.5 million of losses related to a prepayment penalty and the acceleration of amortization of discounts.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b w:val="1"/>
          <w:bCs w:val="1"/>
          <w:i w:val="1"/>
          <w:iCs w:val="1"/>
          <w:color w:val="auto"/>
        </w:rPr>
        <w:t>Earnings from equity method investments</w:t>
      </w:r>
      <w:r>
        <w:rPr>
          <w:rFonts w:ascii="Arial" w:cs="Arial" w:eastAsia="Arial" w:hAnsi="Arial"/>
          <w:sz w:val="17"/>
          <w:szCs w:val="17"/>
          <w:color w:val="auto"/>
        </w:rPr>
        <w:t>—Earnings from equity method investments decreased to $27.3 million during the six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2014 as compared to $30.0 million for the same period in 2013 due primarily to lower income from sales of residential property units recorded by one of our real estate equity investments and the sale of our interest in LNR in April 2013. We had no equity in earnings from LNR during the six months ended June 30, 2014 as compared to the same period in 2013 in which we recorded equity in earnings of $45.4 million, which was offset by an other than temporary impairment of $30.9 million arising from the terms of the sale of our investment in LNR. We and other owners of LNR entered into negotiations with potential purchasers of LNR beginning in September 2012. After an extensive due diligence and negotiation process, the LNR owners entered into a definitive contract to sell LNR in January 2013 at a fixed sale price which, from our perspective, reflected in part our then-current expectations about the future results of LNR and potential volatility in its business. The definitive sale contract provided that LNR would not make cash distributions to its owners during the fourth quarter of 2012 through the closing of the sale. Notwithstanding the fixed terms of the contract, our investment balance in LNR increased due to equity in earnings recorded which resulted in our recognition of other than temporary impairment on our investment during 2013. For the six months ended June 30, 2014, we recognized $23.4 million of earnings from equity method investments resulting from asset sales by one of our equity method investees.</w:t>
      </w:r>
    </w:p>
    <w:p>
      <w:pPr>
        <w:spacing w:after="0" w:line="18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b w:val="1"/>
          <w:bCs w:val="1"/>
          <w:i w:val="1"/>
          <w:iCs w:val="1"/>
          <w:color w:val="auto"/>
        </w:rPr>
        <w:t>Income tax (expense) benefit</w:t>
      </w:r>
      <w:r>
        <w:rPr>
          <w:rFonts w:ascii="Arial" w:cs="Arial" w:eastAsia="Arial" w:hAnsi="Arial"/>
          <w:sz w:val="16"/>
          <w:szCs w:val="16"/>
          <w:color w:val="auto"/>
        </w:rPr>
        <w:t>—Income taxes are primarily generated by assets held in our taxable REIT subsidiaries (“TRS's”). Income taxes decreased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 net tax benefit of $0.7 million during the six months ended June 30, 2014 as compared to a tax expense of $4.5 million for the same period in 2013. The period to period difference was due primarily to a tax benefit generated by certain property level expenses as well as lower taxable income from sales of condominium units and earnings from equity method investments in the quarter ended June 30, 2014 compared to the same period in 2013.</w:t>
      </w:r>
    </w:p>
    <w:p>
      <w:pPr>
        <w:spacing w:after="0" w:line="15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i w:val="1"/>
          <w:iCs w:val="1"/>
          <w:color w:val="auto"/>
        </w:rPr>
        <w:t>Discontinued operations</w:t>
      </w:r>
      <w:r>
        <w:rPr>
          <w:rFonts w:ascii="Arial" w:cs="Arial" w:eastAsia="Arial" w:hAnsi="Arial"/>
          <w:sz w:val="18"/>
          <w:szCs w:val="18"/>
          <w:color w:val="auto"/>
        </w:rPr>
        <w:t>—During the six months ended June 30, 2014, we adopted ASU 2014-08 (see Note 3), which raised the threshold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discontinued operations reporting to disposals of components that are considered strategic shifts in a company's business. There were no disposals that met this threshold during the period. Income (loss) from discontinued operations includes operating results from net lease assets and commercial operating properties held for sale or sold as of December 31, 2013. During the six months ended June 30, 2013, we sold three commercial operating properties with a carrying value of $43.2 million, which resulted in a net gain of $9.9 million, and three net lease assets with a carrying value of $13.5 million, which resulted in a net gain of $3.4 million.</w:t>
      </w:r>
    </w:p>
    <w:p>
      <w:pPr>
        <w:spacing w:after="0" w:line="1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Income from sales of residential property</w:t>
      </w:r>
      <w:r>
        <w:rPr>
          <w:rFonts w:ascii="Arial" w:cs="Arial" w:eastAsia="Arial" w:hAnsi="Arial"/>
          <w:sz w:val="18"/>
          <w:szCs w:val="18"/>
          <w:color w:val="auto"/>
        </w:rPr>
        <w:t>—During the six months ended June 30, 2014 and 2013, we sold residential condominiums for total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of $94.8 million and $164.1 million, respectively, that resulted in income from sales of residential properties totaling $33.7 million and $58.0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 and Adjusted EBITDA</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addition to net income (loss), we use Adjusted income and Adjusted EBITDA to measure our operating performance. Adjusted income represents net income (loss) allocable to common shareholders, prior to the effect of depreciation and amortization, provision for loan losses, impairment of assets, loss on transfer of interest to unconsolidated subsidiary, stock-based compensation expense, and the non-cash portion of gain (loss) on early extinguishment of debt. Adjusted EBITDA represents net income (loss) plus the sum of interest expense, income taxes, depreciation and amortization, provision for loan losses, impairment of assets, stock-based compensation expense and loss on transfer of interest to unconsolidated subsidiary, adjusted for gain (loss) on early extinguishment of debt.</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Adjusted income and Adjusted EBITDA are useful measures to consider, in addition to net income (loss), as they may help investors evaluate our core operating performance prior to certain non-cash items.</w:t>
      </w:r>
    </w:p>
    <w:p>
      <w:pPr>
        <w:spacing w:after="0" w:line="17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Adjusted income and Adjusted EBITDA should be examined in conjunction with net income (loss) as shown in our Consolidated Statements of Operations. Adjusted income and Adjusted EBITDA should not be considered as an alternative to net income (loss) (determined in accordance with GAAP), as an indicator of our performance, or to cash flows from operating activities (determined in accordance with GAAP) as a measure of our liquidity, nor are Adjusted income and Adjusted EBITDA indicative of funds available to fund our cash needs or available for distribution to shareholders. Rather, Adjusted income and Adjusted EBITDA are additional measures for us to use to analyze how our business is performing. It should be noted that our manner of calculating Adjusted income and Adjusted EBITDA may differ from the calculations of similarly-titled measures by other companies.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 June 30,</w:t>
            </w:r>
          </w:p>
        </w:tc>
        <w:tc>
          <w:tcPr>
            <w:tcW w:w="420" w:type="dxa"/>
            <w:vAlign w:val="bottom"/>
          </w:tcPr>
          <w:p>
            <w:pPr>
              <w:spacing w:after="0"/>
              <w:rPr>
                <w:sz w:val="16"/>
                <w:szCs w:val="16"/>
                <w:color w:val="auto"/>
              </w:rPr>
            </w:pPr>
          </w:p>
        </w:tc>
        <w:tc>
          <w:tcPr>
            <w:tcW w:w="264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264"/>
        </w:trPr>
        <w:tc>
          <w:tcPr>
            <w:tcW w:w="51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income</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Net income (loss) allocable to common shareholders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(16,207)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(26,001)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(42,779)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(67,264)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Depreciation and amortization(1)</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34,854</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Add: Provision for (recovery of) loan losses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15,226</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Impairment of assets(2)</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Add: Stock-based compensation expense</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3,196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5,271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9,921</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Loss on early extinguishment of debt, net(3)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13,270</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Less: HPU/Participating Security allocation</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(2,385)</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income (loss) allocable to common shareholders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28,868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4,403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23,322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4,140</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1" w:lineRule="exact"/>
        <w:rPr>
          <w:sz w:val="20"/>
          <w:szCs w:val="20"/>
          <w:color w:val="auto"/>
        </w:rPr>
      </w:pPr>
    </w:p>
    <w:p>
      <w:pPr>
        <w:jc w:val="both"/>
        <w:ind w:left="660" w:hanging="652"/>
        <w:spacing w:after="0" w:line="247"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the three and six months ended June 30, 2013, depreciation and amortization includes $70 and $201, respectively, of depreciation and amortization reclassified to discontinued operations. Depreciation and amortization also includes our proportionate share of depreciation and amortization expense for equity method investments and excludes the portion of depreciation and amortization expense allocable to noncontrolling interests.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the three and six months ended June 30, 2013, impairment of assets includes $427 and $395 of impairment of assets reclassified to discontinued operations.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the three and six months ended June 30, 2013, loss on early extinguishment of debt, net excludes the portion of losses paid in cash of $11,514.</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 June 30,</w:t>
            </w:r>
          </w:p>
        </w:tc>
        <w:tc>
          <w:tcPr>
            <w:tcW w:w="420" w:type="dxa"/>
            <w:vAlign w:val="bottom"/>
          </w:tcPr>
          <w:p>
            <w:pPr>
              <w:spacing w:after="0"/>
              <w:rPr>
                <w:sz w:val="16"/>
                <w:szCs w:val="16"/>
                <w:color w:val="auto"/>
              </w:rPr>
            </w:pPr>
          </w:p>
        </w:tc>
        <w:tc>
          <w:tcPr>
            <w:tcW w:w="264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264"/>
        </w:trPr>
        <w:tc>
          <w:tcPr>
            <w:tcW w:w="51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(3,594)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(14,398)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(17,771)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(46,651)</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expense(1)</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57,794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69,157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140,723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Less: Income tax expense (benefit)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4,504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amortization(2)</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19,957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34,854</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EBITDA</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73,942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72,588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137,268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133,430</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Provision for (recovery of) loan losses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15,226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Add: Impairment of assets(3)</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9,921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Add: Loss on early extinguishment of debt, net(4)</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23,587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24,767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13,270</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101,233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86,482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167,393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172,242</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Interest expense includes our proportionate share of interest for equity method investments.</w:t>
      </w:r>
    </w:p>
    <w:p>
      <w:pPr>
        <w:spacing w:after="0" w:line="13"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 the three and six months ended June 30, 2013, depreciation and amortization includes $70 and $201, respectively, of depreciation and amortization reclassified to discontinued operations. Depreciation and amortization also includes our proportionate share of depreciation and amortization expense for equity method investments.</w:t>
      </w:r>
    </w:p>
    <w:p>
      <w:pPr>
        <w:ind w:left="660" w:hanging="652"/>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 the three and six months ended June 30, 2013, impairment of assets includes $427 and $395 of impairment of assets reclassified to discontinued operations.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 the three and six months ended June 30, 2013, loss on early extinguishment of debt, net excludes the portion of losses paid in cash of $11,514.</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Loan Credit Statistics</w:t>
      </w:r>
      <w:r>
        <w:rPr>
          <w:rFonts w:ascii="Arial" w:cs="Arial" w:eastAsia="Arial" w:hAnsi="Arial"/>
          <w:sz w:val="18"/>
          <w:szCs w:val="18"/>
          <w:color w:val="auto"/>
        </w:rPr>
        <w:t>—The table below summarizes our non-performing loans and the reserves for loan losses associated with our loans ($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264"/>
        </w:trPr>
        <w:tc>
          <w:tcPr>
            <w:tcW w:w="7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22"/>
                <w:szCs w:val="22"/>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2013</w:t>
            </w:r>
          </w:p>
        </w:tc>
      </w:tr>
      <w:tr>
        <w:trPr>
          <w:trHeight w:val="250"/>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Non-performing loans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Carrying value(1)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93,960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203,604</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a percentage of total carrying value of loans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Reserve for loan losses</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Impaired loan asset-specific reserves for loan losses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107,304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348,004</w:t>
            </w:r>
          </w:p>
        </w:tc>
      </w:tr>
      <w:tr>
        <w:trPr>
          <w:trHeight w:val="243"/>
        </w:trPr>
        <w:tc>
          <w:tcPr>
            <w:tcW w:w="7740" w:type="dxa"/>
            <w:vAlign w:val="bottom"/>
          </w:tcPr>
          <w:p>
            <w:pPr>
              <w:ind w:left="160"/>
              <w:spacing w:after="0"/>
              <w:rPr>
                <w:sz w:val="20"/>
                <w:szCs w:val="20"/>
                <w:color w:val="auto"/>
              </w:rPr>
            </w:pPr>
            <w:r>
              <w:rPr>
                <w:rFonts w:ascii="Arial" w:cs="Arial" w:eastAsia="Arial" w:hAnsi="Arial"/>
                <w:sz w:val="18"/>
                <w:szCs w:val="18"/>
                <w:color w:val="auto"/>
              </w:rPr>
              <w:t>As a percentage of gross carrying value of impaired loans</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reserve for loan losses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137,904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377,204</w:t>
            </w:r>
          </w:p>
        </w:tc>
      </w:tr>
      <w:tr>
        <w:trPr>
          <w:trHeight w:val="243"/>
        </w:trPr>
        <w:tc>
          <w:tcPr>
            <w:tcW w:w="7740" w:type="dxa"/>
            <w:vAlign w:val="bottom"/>
          </w:tcPr>
          <w:p>
            <w:pPr>
              <w:ind w:left="160"/>
              <w:spacing w:after="0"/>
              <w:rPr>
                <w:sz w:val="20"/>
                <w:szCs w:val="20"/>
                <w:color w:val="auto"/>
              </w:rPr>
            </w:pPr>
            <w:r>
              <w:rPr>
                <w:rFonts w:ascii="Arial" w:cs="Arial" w:eastAsia="Arial" w:hAnsi="Arial"/>
                <w:sz w:val="18"/>
                <w:szCs w:val="18"/>
                <w:color w:val="auto"/>
              </w:rPr>
              <w:t>As a percentage of total loans before loan loss reserves</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23.5%</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As of June 30, 2014 and December 31, 2013, carrying values of non-performing loans are net of asset-specific reserves for loan losses of $86.7 million and $317.0 million, respectively.</w:t>
      </w:r>
    </w:p>
    <w:p>
      <w:pPr>
        <w:spacing w:after="0" w:line="17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b w:val="1"/>
          <w:bCs w:val="1"/>
          <w:i w:val="1"/>
          <w:iCs w:val="1"/>
          <w:color w:val="auto"/>
        </w:rPr>
        <w:t>Non-Performing Loans</w:t>
      </w:r>
      <w:r>
        <w:rPr>
          <w:rFonts w:ascii="Arial" w:cs="Arial" w:eastAsia="Arial" w:hAnsi="Arial"/>
          <w:sz w:val="16"/>
          <w:szCs w:val="16"/>
          <w:color w:val="auto"/>
        </w:rPr>
        <w:t>—We designate loans as non-performing at such time as: (1) the loan becomes 90 days delinquent; (2) the loan has a maturity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default; or (3) management determines it is probable that it will be unable to collect all amounts due according to the contractual terms of the loan. All non-performing loans are placed on non-accrual status and income is only recognized in certain cases upon actual cash receipt. As of June 30, 2014, we had non-performing loans with an aggregate carrying value of $94.0 million compared to non-performing loans of $203.6 million at December 31, 2013. Our non-performing loans decreased during the six months ended June 30, 2014 as we sold two non-performing loans and received title to properties that served as collateral in full satisfaction for other non-performing loans. We expect that our level of non-performing loans will fluctuate from period to period.</w:t>
      </w:r>
    </w:p>
    <w:p>
      <w:pPr>
        <w:spacing w:after="0" w:line="16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b w:val="1"/>
          <w:bCs w:val="1"/>
          <w:i w:val="1"/>
          <w:iCs w:val="1"/>
          <w:color w:val="auto"/>
        </w:rPr>
        <w:t>Reserve for Loan Losses</w:t>
      </w:r>
      <w:r>
        <w:rPr>
          <w:rFonts w:ascii="Arial" w:cs="Arial" w:eastAsia="Arial" w:hAnsi="Arial"/>
          <w:sz w:val="18"/>
          <w:szCs w:val="18"/>
          <w:color w:val="auto"/>
        </w:rPr>
        <w:t>—The reserve for loan losses was $137.9 million as of June 30, 2014, or 9.8% of total loans, compared to $377.2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23.5% at December 31, 2013. The reduction in the balance of the reserve was the result of $233.1 million of charge-offs associated with the resolutions of non-performing loans and $6.2 million of recoveries of loan losses during the six months ended June 30, 2014. For the six months ended June 30, 2014, the provision for loan losses includes recoveries of previously recorded loan loss reserves of $7.6 million offset by an increase of $1.4 million in the general reserve due primarily to new investment originations. We expect that our level of reserve for loan losses will fluctuate from period to period. Due to the volatility of the commercial real estate market, the process of estimating collateral values and reserves requires the use of significant judgment. In addition, the process of estimating values and reserves for our European loan assets, which had a carrying value of $98.1 million as of June 30, 2014, is subject to additional risks related to the economic uncertainty in the Eurozone. We currently believe there are adequate collateral and reserves to support the carrying values of the loans.</w:t>
      </w:r>
    </w:p>
    <w:p>
      <w:pPr>
        <w:spacing w:after="0" w:line="19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June 30, 2014, asset-specific reserves decreased to $107.3 million compared to $348.0 million at December 31, 2013, primarily due to charge-offs on non-performing loans that were sold and non-performing loans where we took title to properties that served as collateral in full satisfaction of such loans.</w:t>
      </w:r>
    </w:p>
    <w:p>
      <w:pPr>
        <w:spacing w:after="0" w:line="17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general reserve increased to $30.6 million or 2.5% of performing loans as of June 30, 2014, compared to $29.2 million or 2.7% of performing loans at December 31, 2013. This increase was primarily attributable to the increase in the balance of performing loans, which was driven by new investment originations.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Risk concentrations</w:t>
      </w:r>
      <w:r>
        <w:rPr>
          <w:rFonts w:ascii="Arial" w:cs="Arial" w:eastAsia="Arial" w:hAnsi="Arial"/>
          <w:sz w:val="18"/>
          <w:szCs w:val="18"/>
          <w:color w:val="auto"/>
        </w:rPr>
        <w:t>—As of June 30, 2014, our total investment portfolio, consisting of real estate, loans receivable and other lending investments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investments, was comprised of the following property and collateral types ($ in thousands)(1):</w:t>
      </w:r>
    </w:p>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Property/Collateral Types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4"/>
                <w:szCs w:val="14"/>
                <w:color w:val="auto"/>
              </w:rPr>
            </w:pPr>
          </w:p>
        </w:tc>
        <w:tc>
          <w:tcPr>
            <w:tcW w:w="10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9"/>
              </w:rPr>
              <w:t>Net Lease</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Land</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260" w:type="dxa"/>
            <w:vAlign w:val="bottom"/>
          </w:tcPr>
          <w:p>
            <w:pPr>
              <w:ind w:lef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0"/>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Office / Industrial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108,603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966,838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351,095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1,426,536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Land</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65,182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1,000,522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1,065,704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Mixed Use / Mixed Collateral</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502,327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241,523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743,850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Entertainment / Leisure</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475,437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475,437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Hotel</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136,080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53,893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444,322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Retail</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175,918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57,348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118,361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351,627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Condominium</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119,904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347,112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Property Types</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260,724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9,483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270,207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Strategic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143,357</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1,487,007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1,645,186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992,080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1,000,522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5,268,152</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Geographic Region</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24"/>
                <w:szCs w:val="24"/>
                <w:color w:val="auto"/>
              </w:rPr>
            </w:pPr>
          </w:p>
        </w:tc>
        <w:tc>
          <w:tcPr>
            <w:tcW w:w="10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9"/>
              </w:rPr>
              <w:t>Net Lease</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24"/>
                <w:szCs w:val="2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Land</w:t>
            </w:r>
          </w:p>
        </w:tc>
        <w:tc>
          <w:tcPr>
            <w:tcW w:w="1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24"/>
                <w:szCs w:val="24"/>
                <w:color w:val="auto"/>
              </w:rPr>
            </w:pPr>
          </w:p>
        </w:tc>
        <w:tc>
          <w:tcPr>
            <w:tcW w:w="1260" w:type="dxa"/>
            <w:vAlign w:val="bottom"/>
          </w:tcPr>
          <w:p>
            <w:pPr>
              <w:ind w:lef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0"/>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Northeast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606,917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155,166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196,587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1,333,157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89,112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412,096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172,544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358,852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1,032,604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Southeast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237,433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287,247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904,315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Mid-Atlantic</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174,468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177,110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142,280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186,068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679,926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Southwest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219,683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182,831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134,265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657,651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Central</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89,848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67,239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49,254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9,501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215,842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Northwest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80,858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122,900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International(2)</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91,904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91,904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Various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86,496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Strategic Investments(2)</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143,357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1,487,007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1,645,186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992,080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1,000,522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5,268,152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the carrying value of our total investment portfolio gross of accumulated depreciation and general loan loss reserves.</w:t>
      </w:r>
    </w:p>
    <w:p>
      <w:pPr>
        <w:spacing w:after="0" w:line="13" w:lineRule="exact"/>
        <w:rPr>
          <w:rFonts w:ascii="Arial" w:cs="Arial" w:eastAsia="Arial" w:hAnsi="Arial"/>
          <w:sz w:val="14"/>
          <w:szCs w:val="14"/>
          <w:color w:val="auto"/>
        </w:rPr>
      </w:pPr>
    </w:p>
    <w:p>
      <w:pPr>
        <w:ind w:left="660" w:hanging="652"/>
        <w:spacing w:after="0" w:line="255"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Strategic investments include $55.4 million of international assets. Additionally, international and strategic investments include $98.1 million of European assets, including $74.0 million in Germany and $24.1 million in the United Kingdom.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three months ended June 30, 2014, we funded investments totaling $167.1 million, comprised of $117.0 million of new originations and $50.1 million associated with ongoing developments and prior financing commitments. Also during the three months ended June 30, 2014, we received $170.2 million of proceeds from our portfolios, comprised of $115.5 million from repayments and sales of loans, $48.0 million from sales of operating properties and $6.7 million of proceeds across other segments. As of June 30, 2014, we had unrestricted cash of $356.5 million, which we expect to be used primarily to fund future investment activity.</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quarter ended June 30, 2014, we issued at par $1.32 billion of notes comprised of $550.0 million of 4.00% senior unsecured notes due November 2017 and $770.0 million of 5.00% senior unsecured notes due July 2019. Net proceeds from the offering, together with cash on hand, were used to fully extinguish and terminate our February 2013 Secured Credit Facility. The transaction allowed us to unencumber $2.0 billion of collateral, primarily comprised of net lease assets and performing loans.</w:t>
      </w:r>
    </w:p>
    <w:p>
      <w:pPr>
        <w:sectPr>
          <w:pgSz w:w="11900" w:h="16838" w:orient="portrait"/>
          <w:cols w:equalWidth="0" w:num="1">
            <w:col w:w="11420"/>
          </w:cols>
          <w:pgMar w:left="240" w:top="125"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it enhances our liquidity profile by enabling us to retain 100% of proceeds from asset repayments and sales associated with these previously encumbered assets rather than directing proceeds to repay the February 2013 Secured Credit Facility.</w:t>
      </w:r>
    </w:p>
    <w:p>
      <w:pPr>
        <w:spacing w:after="0" w:line="13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of June 30, 2014, we had $130.9 million of debt maturities due before June 30, 2015. Over the next 12 months, we currently expect to fund in the range of $175 million to $250 million of capital expenditures within our portfolio. The majority of these amounts relate to our land development activities and operating properties. The amount spent will depend on the pace of our development activities as well as the extent to which we strategically partner with others to complete these projects. Our capital sources to meet expected cash uses through the next 12 months will primarily include cash on hand, loan repayments from borrowers, proceeds from asset sales and raising capital through debt refinancings or equity capital transactions. As of June 30, 2014, we had unencumbered assets with a carrying value of approximately $4.8 billion.</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cannot predict with certainty the specific transactions we will undertake to generate sufficient liquidity to meet our obligations as they come due. We will adjust our plans as appropriate in response to changes in our expectations and changes in market conditions. While economic trends have continued to improve, it is not possible for us to predict whether the improving trends will continue or to quantify the impact of these or other trends on our financial results.</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color w:val="auto"/>
        </w:rPr>
        <w:t>—The following table outlines the contractual obligations related to our long-term debt agreements and operating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as of June 30, 2014 (see Note 8 of the Notes to the Consolidated Financial Statements).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Amounts Due By Period</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240" w:type="dxa"/>
            <w:vAlign w:val="bottom"/>
          </w:tcPr>
          <w:p>
            <w:pPr>
              <w:spacing w:after="0"/>
              <w:rPr>
                <w:sz w:val="13"/>
                <w:szCs w:val="13"/>
                <w:color w:val="auto"/>
              </w:rPr>
            </w:pPr>
          </w:p>
        </w:tc>
        <w:tc>
          <w:tcPr>
            <w:tcW w:w="96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1 - 3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5 - 10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After 10</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Secured credit facilities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391,938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391,938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3,326,890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105,765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1,301,125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2"/>
              </w:rPr>
              <w:t>1,150,000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Secured term loans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278,261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33,632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18,544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197,058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debt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7"/>
        </w:trPr>
        <w:tc>
          <w:tcPr>
            <w:tcW w:w="2860" w:type="dxa"/>
            <w:vAlign w:val="bottom"/>
          </w:tcPr>
          <w:p>
            <w:pPr>
              <w:ind w:left="160"/>
              <w:spacing w:after="0"/>
              <w:rPr>
                <w:sz w:val="20"/>
                <w:szCs w:val="20"/>
                <w:color w:val="auto"/>
              </w:rPr>
            </w:pPr>
            <w:r>
              <w:rPr>
                <w:rFonts w:ascii="Arial" w:cs="Arial" w:eastAsia="Arial" w:hAnsi="Arial"/>
                <w:sz w:val="18"/>
                <w:szCs w:val="18"/>
                <w:color w:val="auto"/>
              </w:rPr>
              <w:t>Total principal maturities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4,097,089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139,397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1,711,607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2"/>
              </w:rPr>
              <w:t>1,176,100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967,058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102,927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Payable(1)</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793,405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191,299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374,784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156,591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20,403</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Operating Lease Obligations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5,719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9,880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10,719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6,809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4,925,078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336,415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2,096,271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2"/>
              </w:rPr>
              <w:t>1,343,410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1,024,195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124,787</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All variable-rate debt assumes a 3-month LIBOR rate of 0.22% and 1-month LIBOR rate of 0.15%.</w:t>
      </w:r>
    </w:p>
    <w:p>
      <w:pPr>
        <w:spacing w:after="0" w:line="13" w:lineRule="exact"/>
        <w:rPr>
          <w:rFonts w:ascii="Arial" w:cs="Arial" w:eastAsia="Arial" w:hAnsi="Arial"/>
          <w:sz w:val="14"/>
          <w:szCs w:val="14"/>
          <w:color w:val="auto"/>
        </w:rPr>
      </w:pPr>
    </w:p>
    <w:p>
      <w:pPr>
        <w:ind w:left="660" w:hanging="652"/>
        <w:spacing w:after="0" w:line="255"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also have issued letters of credit totaling $3.7 million in connection with our investments. See Unfunded Commitments below, for a discussion of certain unfunded commitments related to our lending and net lease businesses.</w:t>
      </w:r>
    </w:p>
    <w:p>
      <w:pPr>
        <w:spacing w:after="0" w:line="132"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February 2013 Secured Credit Facility</w:t>
      </w:r>
      <w:r>
        <w:rPr>
          <w:rFonts w:ascii="Arial" w:cs="Arial" w:eastAsia="Arial" w:hAnsi="Arial"/>
          <w:sz w:val="18"/>
          <w:szCs w:val="18"/>
          <w:color w:val="auto"/>
        </w:rPr>
        <w:t>—On February 11, 2013, we entered into a $1.71 billion senior secured credit facility due October 15, 2017</w:t>
      </w:r>
      <w:r>
        <w:rPr>
          <w:rFonts w:ascii="Arial" w:cs="Arial" w:eastAsia="Arial" w:hAnsi="Arial"/>
          <w:sz w:val="18"/>
          <w:szCs w:val="18"/>
          <w:b w:val="1"/>
          <w:bCs w:val="1"/>
          <w:color w:val="auto"/>
        </w:rPr>
        <w:t xml:space="preserve"> </w:t>
      </w:r>
      <w:r>
        <w:rPr>
          <w:rFonts w:ascii="Arial" w:cs="Arial" w:eastAsia="Arial" w:hAnsi="Arial"/>
          <w:sz w:val="18"/>
          <w:szCs w:val="18"/>
          <w:color w:val="auto"/>
        </w:rPr>
        <w:t>(the "February 2013 Secured Credit Facility") that amended and restated our $1.82 billion senior secured credit facility, dated October 15, 2012 (the "October 2012 Secured Credit Facility"). The February 2013 Credit Facility amended the October 2012 Secured Credit Facility by: (i) reducing the interest rate from LIBOR plus 4.50%, with a 1.25% LIBOR floor, to LIBOR plus 3.50%, with a 1.00% LIBOR floor; and (ii) extending the call protection period for the lenders from October 15, 2013 to December 31, 2013.</w:t>
      </w:r>
    </w:p>
    <w:p>
      <w:pPr>
        <w:spacing w:after="0" w:line="14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connection with the February 2013 Secured Credit Facility transaction, we incurred $17.1 million of lender fees, of which $14.4 million was capitalized in "Debt obligations, net" on our Consolidated Balance Sheets and $2.7 million was recorded as a loss in "Loss on early extinguishment of debt, net" on our Consolidated Statements of Operations as it related to the lenders who did not participate in the new facility. We also incurred $3.8 million in third party fees, of which $3.6 million was recognized in “Other expense” on our Consolidated Statements of Operations, as it related primarily to those lenders from the original facility that modified their debt under the new facility, and $0.2 million was recorded in “Deferred expenses and other assets, net” on our Consolidated Balance Sheets, as it related to the new lenders.</w:t>
      </w:r>
    </w:p>
    <w:p>
      <w:pPr>
        <w:spacing w:after="0" w:line="15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three months ended June 30, 2014, net proceeds from the issuances of our $550.0 million aggregate principal amount of 4.00% senior unsecured notes and $770.0 million aggregate principal amount of 5.00% senior unsecured notes, together with cash on hand, were used to fully repay and terminate the February 2013 Secured Credit Facility. The transaction supports our long-term strategy, which is becoming primarily an unsecured borrower. The refinancing allowed us to reduce our percentage of secured debt outstanding down to 16% of total debt from 49% prior to the transaction. Through the transaction, we also</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unencumbered $2 billion of collateral, which included more than $1.5 billion of net lease assets and performing loans. Furthermore, the transaction provides us with additional liquidity as we will now retain 100% of proceeds from the sales and repayments of these previously encumbered assets rather than directing them to repay the February 2013 Secured Credit Facility.</w:t>
      </w:r>
    </w:p>
    <w:p>
      <w:pPr>
        <w:spacing w:after="0" w:line="14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From February 2013 through full payoff in June 2014, we made cumulative amortization repayments of $388.5 million. Amortization repayments made during the three and six months ended June 30, 2014 resulted in losses on early extinguishment of debt of $0.3 million and $1.1 million, respectively related to the accelerated amortization of discounts and unamortized deferred financing fees on the portion of the facility that was repaid. In connection with the repayment and termination of the facility, we recorded a loss on early extinguishment of debt of $22.8 million related to unamortized discounts and financing fees at the time of refinancing. These amounts were included in "Loss on extinguishment of debt, net" on our Consolidated Statements of Operations.</w:t>
      </w:r>
    </w:p>
    <w:p>
      <w:pPr>
        <w:spacing w:after="0" w:line="114"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6"/>
          <w:szCs w:val="16"/>
          <w:b w:val="1"/>
          <w:bCs w:val="1"/>
          <w:color w:val="auto"/>
        </w:rPr>
        <w:t>March 2012 Secured Credit Facilities</w:t>
      </w:r>
      <w:r>
        <w:rPr>
          <w:rFonts w:ascii="Arial" w:cs="Arial" w:eastAsia="Arial" w:hAnsi="Arial"/>
          <w:sz w:val="16"/>
          <w:szCs w:val="16"/>
          <w:color w:val="auto"/>
        </w:rPr>
        <w:t>—In March 2012, we entered into an $880.0 million senior secured credit agreement providing for two tranches</w:t>
      </w:r>
      <w:r>
        <w:rPr>
          <w:rFonts w:ascii="Arial" w:cs="Arial" w:eastAsia="Arial" w:hAnsi="Arial"/>
          <w:sz w:val="16"/>
          <w:szCs w:val="16"/>
          <w:b w:val="1"/>
          <w:bCs w:val="1"/>
          <w:color w:val="auto"/>
        </w:rPr>
        <w:t xml:space="preserve"> </w:t>
      </w:r>
      <w:r>
        <w:rPr>
          <w:rFonts w:ascii="Arial" w:cs="Arial" w:eastAsia="Arial" w:hAnsi="Arial"/>
          <w:sz w:val="16"/>
          <w:szCs w:val="16"/>
          <w:color w:val="auto"/>
        </w:rPr>
        <w:t>of term loans: a $410.0 million 2012 A-1 tranche due March 2016, which bears interest at a rate of LIBOR + 4.00% (the "2012 Tranche A-1 Facility"), and a $470.0 million 2012 A-2 tranche due March 2017, which bears interest at a rate of LIBOR + 5.75% (the "2012 Tranche A-2 Facility," together the "March 2012 Secured Credit Facilities"). The 2012 A-1 and A-2 tranches were issued at 98.0% of par and 98.5% of par, respectively, and both tranches include a LIBOR floor of 1.25%. Proceeds from the March 2012 Secured Credit Facilities, together with cash on hand, were used to repurchase and repay at maturity $606.7 million aggregate principal amount of our convertible notes due October 2012, to fully repay the $244.0 million balance on our unsecured credit facility due June 2012, and to repay, upon maturity, $90.3 million outstanding principal balance of our 5.50% senior unsecured notes.</w:t>
      </w:r>
    </w:p>
    <w:p>
      <w:pPr>
        <w:spacing w:after="0" w:line="16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March 2012 Secured Credit Facilities are collateralized by a first lien on a fixed pool of assets. Proceeds from principal repayments and sales of collateral are applied to amortize the March 2012 Secured Credit Facilities. Proceeds received for interest, rent, lease payments and fee income are retained by us. We may also make optional prepayments, subject to prepayment fees. The 2012 Tranche A-1 Facility was fully repaid in August 2013. Repayments of the 2012 Tranche A-1 Facility prior to scheduled amortization dates resulted in losses on early extinguishment of debt of $1.3 million and $4.2 million during the three and six months ended June 30, 2013 related to the accelerated amortization of discounts and unamortized deferred financing fees on the portion of the facility that was repaid. These amounts were included in "Loss on extinguishment of debt, net" on our Consolidated Statements of Operations.</w:t>
      </w:r>
    </w:p>
    <w:p>
      <w:pPr>
        <w:spacing w:after="0" w:line="16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Additionally, through June 30, 2014, we made cumulative amortization repayments of $78.1 million on the 2012 Tranche A-2 Facility. For the three and six months ended June 30, 2014, repayments of the 2012 Tranche A-2 Facility prior to maturity resulted in losses on early extinguishment of debt of $0.6 million and $0.9 million related to the accelerated amortization of discounts and unamortized deferred financing fees on the portion of the facility that was repaid. These amounts were included in "Loss on extinguishment of debt" on our Consolidated Statements of Operations.</w:t>
      </w:r>
    </w:p>
    <w:p>
      <w:pPr>
        <w:spacing w:after="0" w:line="16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Unsecured Notes</w:t>
      </w:r>
      <w:r>
        <w:rPr>
          <w:rFonts w:ascii="Arial" w:cs="Arial" w:eastAsia="Arial" w:hAnsi="Arial"/>
          <w:sz w:val="17"/>
          <w:szCs w:val="17"/>
          <w:color w:val="auto"/>
        </w:rPr>
        <w:t>—In June 2014, we issued $550.0 million aggregate principal amount of 4.00% senior unsecured notes due November 2017 and</w:t>
      </w:r>
      <w:r>
        <w:rPr>
          <w:rFonts w:ascii="Arial" w:cs="Arial" w:eastAsia="Arial" w:hAnsi="Arial"/>
          <w:sz w:val="17"/>
          <w:szCs w:val="17"/>
          <w:b w:val="1"/>
          <w:bCs w:val="1"/>
          <w:color w:val="auto"/>
        </w:rPr>
        <w:t xml:space="preserve"> </w:t>
      </w:r>
      <w:r>
        <w:rPr>
          <w:rFonts w:ascii="Arial" w:cs="Arial" w:eastAsia="Arial" w:hAnsi="Arial"/>
          <w:sz w:val="17"/>
          <w:szCs w:val="17"/>
          <w:color w:val="auto"/>
        </w:rPr>
        <w:t>$770.0 million aggregate principal amount of 5.00% senior unsecured notes due July 2019. Net proceeds from these transactions, together with cash on hand, were used to fully repay and terminate the February 2013 Secured Credit Facility which had an outstanding balance of $1.32 billion.</w:t>
      </w:r>
    </w:p>
    <w:p>
      <w:pPr>
        <w:spacing w:after="0" w:line="158"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June 30, 2014 and December 31, 2013, the carrying value of our encumbered and unencumbered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by asset type are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w w:val="85"/>
              </w:rPr>
              <w:t>As of</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June 30, 2014</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2,132,269</w:t>
            </w:r>
          </w:p>
        </w:tc>
        <w:tc>
          <w:tcPr>
            <w:tcW w:w="56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1,644,463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1,151,718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4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28,705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326,109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152,604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207,913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 and other lending investments, net(1)</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1,438,187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860,557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538,752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4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20,369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221,192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24,093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183,116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679,313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907,995</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707,015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4,797,070</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2,681,717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2,989,494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 of June 30, 2014 and December 31, 2013, the amounts presented exclude general reserves for loan losses of $30.6 million and $29.2 million, respectively.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8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outstanding unsecured debt securities contain corporate level covenants that include a covenant to maintain a ratio of unencumbered assets to unsecured indebtedness of at least 1.2x and a restriction on debt incurrence based upon the effect of the debt incurrence on our fixed charge coverage ratio. If any of our covenants are breached and not cured within applicable cure periods, the breach could result in acceleration of our debt securities unless a waiver or modification is agreed upon with the requisite percentage of the bondholders. While we expect that our ability to incur new indebtedness under the fixed charge coverage ratio will be limited for the foreseeable future, which may put limitations on our ability to make new investments, we will continue to be permitted to incur indebtedness for the purpose of refinancing existing indebtedness and for other permitted purposes under the indentures.</w:t>
      </w:r>
    </w:p>
    <w:p>
      <w:pPr>
        <w:spacing w:after="0" w:line="16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March 2012 Secured Credit Facilities contain certain covenants, including covenants relating to collateral coverage, dividend payments, restrictions on fundamental changes, transactions with affiliates, matters relating to the liens granted to the lenders and the delivery of information to the lenders. In particular, we are required to maintain collateral coverage of 1.25x outstanding borrowings. In addition, for so long as we maintain our qualification as a REIT, the March 2012 Secured Credit Facilities permit us to distribute 100% of our REIT taxable income on an annual basis. We may not pay common dividends if we cease to qualify as a REIT.</w:t>
      </w:r>
    </w:p>
    <w:p>
      <w:pPr>
        <w:spacing w:after="0" w:line="1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March 2012 Secured Credit Facilities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w:t>
      </w:r>
    </w:p>
    <w:p>
      <w:pPr>
        <w:spacing w:after="0" w:line="12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—Our use of derivative financial instruments is primarily limited to the utilization of interest rate swaps, interest rate caps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to manage interest rate risk exposure and foreign exchange contracts to manage our risk to changes in foreign currencies (see Note 10 of the Notes to the Consolidated Financial Statements).</w:t>
      </w:r>
    </w:p>
    <w:p>
      <w:pPr>
        <w:spacing w:after="0" w:line="176"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6"/>
          <w:szCs w:val="16"/>
          <w:b w:val="1"/>
          <w:bCs w:val="1"/>
          <w:color w:val="auto"/>
        </w:rPr>
        <w:t>Off-Balance Sheet Arrangements</w:t>
      </w:r>
      <w:r>
        <w:rPr>
          <w:rFonts w:ascii="Arial" w:cs="Arial" w:eastAsia="Arial" w:hAnsi="Arial"/>
          <w:sz w:val="16"/>
          <w:szCs w:val="16"/>
          <w:color w:val="auto"/>
        </w:rPr>
        <w:t>—We are not dependent on the use of any off-balance sheet financing arrangements for liquidity. We have made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in various unconsolidated ventures. See Item 1—"Financial Statements—Note 6" for further details of our unconsolidated investments. Our maximum exposure to loss from these investments is limited to the carrying value of our investments and any unfunded commitments (see below).</w:t>
      </w:r>
    </w:p>
    <w:p>
      <w:pPr>
        <w:spacing w:after="0" w:line="14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color w:val="auto"/>
        </w:rPr>
        <w:t>Unfunded Commitments</w:t>
      </w:r>
      <w:r>
        <w:rPr>
          <w:rFonts w:ascii="Arial" w:cs="Arial" w:eastAsia="Arial" w:hAnsi="Arial"/>
          <w:sz w:val="17"/>
          <w:szCs w:val="17"/>
          <w:color w:val="auto"/>
        </w:rPr>
        <w:t>—We generally fund construction and development loans and build-outs of space in net lease assets over a period of time if</w:t>
      </w:r>
      <w:r>
        <w:rPr>
          <w:rFonts w:ascii="Arial" w:cs="Arial" w:eastAsia="Arial" w:hAnsi="Arial"/>
          <w:sz w:val="17"/>
          <w:szCs w:val="17"/>
          <w:b w:val="1"/>
          <w:bCs w:val="1"/>
          <w:color w:val="auto"/>
        </w:rPr>
        <w:t xml:space="preserve"> </w:t>
      </w:r>
      <w:r>
        <w:rPr>
          <w:rFonts w:ascii="Arial" w:cs="Arial" w:eastAsia="Arial" w:hAnsi="Arial"/>
          <w:sz w:val="17"/>
          <w:szCs w:val="17"/>
          <w:color w:val="auto"/>
        </w:rPr>
        <w:t>and when the borrowers and tenants meet established milestones and 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June 30, 2014, the maximum amounts of the fundings we may make under each category, assuming all performance hurdles and milestones are met under the Performance-Based Commitments, that we approve all Discretionary Fundings and that 100% of our capital committed to Strategic Investments is drawn down, are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Loans and Other</w:t>
            </w:r>
          </w:p>
        </w:tc>
        <w:tc>
          <w:tcPr>
            <w:tcW w:w="220" w:type="dxa"/>
            <w:vAlign w:val="bottom"/>
          </w:tcPr>
          <w:p>
            <w:pPr>
              <w:spacing w:after="0"/>
              <w:rPr>
                <w:sz w:val="14"/>
                <w:szCs w:val="14"/>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4"/>
                <w:szCs w:val="14"/>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Lending Investments</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36,011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304,526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46,362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46,362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Discretionary Fundings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267,220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6,295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82,373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355,888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7"/>
          <w:szCs w:val="17"/>
          <w:b w:val="1"/>
          <w:bCs w:val="1"/>
          <w:color w:val="auto"/>
        </w:rPr>
        <w:t>Stock Repurchase Programs</w:t>
      </w:r>
      <w:r>
        <w:rPr>
          <w:rFonts w:ascii="Arial" w:cs="Arial" w:eastAsia="Arial" w:hAnsi="Arial"/>
          <w:sz w:val="17"/>
          <w:szCs w:val="17"/>
          <w:color w:val="auto"/>
        </w:rPr>
        <w:t>—On May 15, 2012, our Board of Directors approved a stock repurchase program that authorized the repurchase of up to</w:t>
      </w:r>
      <w:r>
        <w:rPr>
          <w:rFonts w:ascii="Arial" w:cs="Arial" w:eastAsia="Arial" w:hAnsi="Arial"/>
          <w:sz w:val="17"/>
          <w:szCs w:val="17"/>
          <w:b w:val="1"/>
          <w:bCs w:val="1"/>
          <w:color w:val="auto"/>
        </w:rPr>
        <w:t xml:space="preserve"> </w:t>
      </w:r>
      <w:r>
        <w:rPr>
          <w:rFonts w:ascii="Arial" w:cs="Arial" w:eastAsia="Arial" w:hAnsi="Arial"/>
          <w:sz w:val="17"/>
          <w:szCs w:val="17"/>
          <w:color w:val="auto"/>
        </w:rPr>
        <w:t>$20.0 million of our Common Stock from time to time in open market and privately negotiated purchases, including pursuant to one or more trading plans. In September 2013, our Board of Directors approved an increase in the repurchase limit to $50.0 million from the $16.0 million that remained from the previously approved program. There were no stock repurchases during the six months ended June 30, 2014. As of June 30, 2014, we had remaining authorization to repurchase up to $29.0 million of Common Stock out of the $50.0 million authorized by its Board in 2013.</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7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 summary of our critical accounting estimates is included in our Annual Report on Form 10-K for the year ended December 31, 2013 in Management's Discussion and Analysis of Financial Condition. There have been no significant changes to our critical accounting estimates as of June 30, 2014.</w:t>
      </w:r>
    </w:p>
    <w:p>
      <w:pPr>
        <w:spacing w:after="0" w:line="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New Accounting Pronouncements</w:t>
      </w:r>
      <w:r>
        <w:rPr>
          <w:rFonts w:ascii="Arial" w:cs="Arial" w:eastAsia="Arial" w:hAnsi="Arial"/>
          <w:sz w:val="18"/>
          <w:szCs w:val="18"/>
          <w:color w:val="auto"/>
        </w:rPr>
        <w:t>—For a discussion of the impact of new accounting pronouncements on our financial condition or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see Note 3 of the Notes to the Consolidated Financial Statements.</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have been no material changes in Quantitative and Qualitative Disclosures About Market Risk for the first six months of 2014 as compared to the disclosures included in our Annual Report on Form 10-K for the year ended December 31, 2013. See discussion of quantitative and qualitative disclosures about market risk under Item 7a—"Quantitative and Qualitative Disclosures about Market Risk," included in our Annual Report on Form 10-K for the year ended December 31, 2013.</w:t>
      </w:r>
    </w:p>
    <w:p>
      <w:pPr>
        <w:spacing w:after="0" w:line="1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w:t>
      </w:r>
    </w:p>
    <w:p>
      <w:pPr>
        <w:spacing w:after="0" w:line="13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13a-15(b) or Rule 15d-15.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3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and/or one or more of its subsidiaries is party to various pending litigation matters that are considered ordinary routine litigation incidental to its business as a finance and investment company focused on the commercial real estate industry, including loan foreclosure and foreclosure-related proceedings. In addition to such matters, the Company is a party to the following legal proceeding: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Action</w:t>
      </w:r>
    </w:p>
    <w:p>
      <w:pPr>
        <w:spacing w:after="0" w:line="18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March 7, 2014, a shareholder action purporting to assert derivative, class and individual claims was filed in the Circuit Court for Baltimore City, Maryland naming the Company, a number of our current and former senior executives (including our chief executive officer) and current and former directors as defendants. The complaint seeks unspecified damages and other relief and alleges breach of fiduciary duty, breach of contract and other causes of action arising out of shares of our common stock issued by the Company to our senior executives pursuant to restricted stock unit awards granted in December 2008 and modified in July 2011. We believe the claims have no merit and we intend to defend the action vigorously.</w:t>
      </w:r>
    </w:p>
    <w:p>
      <w:pPr>
        <w:spacing w:after="0" w:line="12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Company's Annual Report on Form 10-K for the fiscal year ended December 31, 2013.</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1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80"/>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4140" w:type="dxa"/>
            <w:vAlign w:val="bottom"/>
          </w:tcPr>
          <w:p>
            <w:pPr>
              <w:spacing w:after="0"/>
              <w:rPr>
                <w:sz w:val="24"/>
                <w:szCs w:val="24"/>
                <w:color w:val="auto"/>
              </w:rPr>
            </w:pPr>
          </w:p>
        </w:tc>
      </w:tr>
      <w:tr>
        <w:trPr>
          <w:trHeight w:val="392"/>
        </w:trPr>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140" w:type="dxa"/>
            <w:vAlign w:val="bottom"/>
          </w:tcPr>
          <w:p>
            <w:pPr>
              <w:ind w:left="1720"/>
              <w:spacing w:after="0"/>
              <w:rPr>
                <w:sz w:val="20"/>
                <w:szCs w:val="20"/>
                <w:color w:val="auto"/>
              </w:rPr>
            </w:pPr>
            <w:r>
              <w:rPr>
                <w:rFonts w:ascii="Arial" w:cs="Arial" w:eastAsia="Arial" w:hAnsi="Arial"/>
                <w:sz w:val="18"/>
                <w:szCs w:val="18"/>
                <w:b w:val="1"/>
                <w:bCs w:val="1"/>
                <w:color w:val="auto"/>
              </w:rPr>
              <w:t>INDEX TO EXHIBITS</w:t>
            </w:r>
          </w:p>
        </w:tc>
      </w:tr>
      <w:tr>
        <w:trPr>
          <w:trHeight w:val="576"/>
        </w:trPr>
        <w:tc>
          <w:tcPr>
            <w:tcW w:w="310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6"/>
              </w:rPr>
              <w:t>Exhibit</w:t>
            </w:r>
          </w:p>
        </w:tc>
        <w:tc>
          <w:tcPr>
            <w:tcW w:w="4140" w:type="dxa"/>
            <w:vAlign w:val="bottom"/>
          </w:tcPr>
          <w:p>
            <w:pPr>
              <w:spacing w:after="0"/>
              <w:rPr>
                <w:sz w:val="24"/>
                <w:szCs w:val="24"/>
                <w:color w:val="auto"/>
              </w:rPr>
            </w:pPr>
          </w:p>
        </w:tc>
      </w:tr>
      <w:tr>
        <w:trPr>
          <w:trHeight w:val="234"/>
        </w:trPr>
        <w:tc>
          <w:tcPr>
            <w:tcW w:w="310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4"/>
              </w:rPr>
              <w:t>Number</w:t>
            </w:r>
          </w:p>
        </w:tc>
        <w:tc>
          <w:tcPr>
            <w:tcW w:w="4140" w:type="dxa"/>
            <w:vAlign w:val="bottom"/>
          </w:tcPr>
          <w:p>
            <w:pPr>
              <w:ind w:left="2400"/>
              <w:spacing w:after="0"/>
              <w:rPr>
                <w:sz w:val="20"/>
                <w:szCs w:val="20"/>
                <w:color w:val="auto"/>
              </w:rPr>
            </w:pPr>
            <w:r>
              <w:rPr>
                <w:rFonts w:ascii="Arial" w:cs="Arial" w:eastAsia="Arial" w:hAnsi="Arial"/>
                <w:sz w:val="18"/>
                <w:szCs w:val="18"/>
                <w:b w:val="1"/>
                <w:bCs w:val="1"/>
                <w:color w:val="auto"/>
                <w:w w:val="89"/>
              </w:rPr>
              <w:t>Document Description</w:t>
            </w:r>
          </w:p>
        </w:tc>
      </w:tr>
    </w:tbl>
    <w:p>
      <w:pPr>
        <w:spacing w:after="0" w:line="40" w:lineRule="exact"/>
        <w:rPr>
          <w:sz w:val="20"/>
          <w:szCs w:val="20"/>
          <w:color w:val="auto"/>
        </w:rPr>
      </w:pPr>
    </w:p>
    <w:p>
      <w:pPr>
        <w:ind w:left="1620" w:right="400" w:hanging="359"/>
        <w:spacing w:after="0" w:line="308" w:lineRule="auto"/>
        <w:rPr>
          <w:sz w:val="20"/>
          <w:szCs w:val="20"/>
          <w:color w:val="auto"/>
        </w:rPr>
      </w:pPr>
      <w:r>
        <w:rPr>
          <w:rFonts w:ascii="Arial" w:cs="Arial" w:eastAsia="Arial" w:hAnsi="Arial"/>
          <w:sz w:val="17"/>
          <w:szCs w:val="17"/>
          <w:color w:val="auto"/>
        </w:rPr>
        <w:t>4.1 Twenty-Sixth Supplemental Indenture, dated June 13, 2014, between the Company and U.S. Bank National Association, as trustee (incorporated by reference from the Company's Current Report on Form 8-K filed on June 13, 2014).</w:t>
      </w:r>
    </w:p>
    <w:p>
      <w:pPr>
        <w:spacing w:after="0" w:line="201" w:lineRule="exact"/>
        <w:rPr>
          <w:sz w:val="20"/>
          <w:szCs w:val="20"/>
          <w:color w:val="auto"/>
        </w:rPr>
      </w:pPr>
    </w:p>
    <w:p>
      <w:pPr>
        <w:ind w:left="1620" w:right="400" w:hanging="359"/>
        <w:spacing w:after="0" w:line="277" w:lineRule="auto"/>
        <w:rPr>
          <w:sz w:val="20"/>
          <w:szCs w:val="20"/>
          <w:color w:val="auto"/>
        </w:rPr>
      </w:pPr>
      <w:r>
        <w:rPr>
          <w:rFonts w:ascii="Arial" w:cs="Arial" w:eastAsia="Arial" w:hAnsi="Arial"/>
          <w:sz w:val="18"/>
          <w:szCs w:val="18"/>
          <w:color w:val="auto"/>
        </w:rPr>
        <w:t>4.2 Form of Global Note, No. 1-A, evidencing 4.00% Senior Notes due 2017 issued on June 13, 2014 (incorporated by reference from the Company's Current Report on Form 8-K filed on June 13, 2014).</w:t>
      </w:r>
    </w:p>
    <w:p>
      <w:pPr>
        <w:spacing w:after="0" w:line="224" w:lineRule="exact"/>
        <w:rPr>
          <w:sz w:val="20"/>
          <w:szCs w:val="20"/>
          <w:color w:val="auto"/>
        </w:rPr>
      </w:pPr>
    </w:p>
    <w:p>
      <w:pPr>
        <w:ind w:left="1620" w:right="400" w:hanging="359"/>
        <w:spacing w:after="0" w:line="277" w:lineRule="auto"/>
        <w:rPr>
          <w:sz w:val="20"/>
          <w:szCs w:val="20"/>
          <w:color w:val="auto"/>
        </w:rPr>
      </w:pPr>
      <w:r>
        <w:rPr>
          <w:rFonts w:ascii="Arial" w:cs="Arial" w:eastAsia="Arial" w:hAnsi="Arial"/>
          <w:sz w:val="18"/>
          <w:szCs w:val="18"/>
          <w:color w:val="auto"/>
        </w:rPr>
        <w:t>4.3 Form of Global Note, No. 1-B, evidencing 4.00% Senior Notes due 2017 issued on June 13, 2014 (incorporated by reference from the Company's Current Report on Form 8-K filed on June 13, 2014).</w:t>
      </w:r>
    </w:p>
    <w:p>
      <w:pPr>
        <w:spacing w:after="0" w:line="224" w:lineRule="exact"/>
        <w:rPr>
          <w:sz w:val="20"/>
          <w:szCs w:val="20"/>
          <w:color w:val="auto"/>
        </w:rPr>
      </w:pPr>
    </w:p>
    <w:p>
      <w:pPr>
        <w:ind w:left="1620" w:right="720" w:hanging="359"/>
        <w:spacing w:after="0" w:line="342" w:lineRule="auto"/>
        <w:rPr>
          <w:sz w:val="20"/>
          <w:szCs w:val="20"/>
          <w:color w:val="auto"/>
        </w:rPr>
      </w:pPr>
      <w:r>
        <w:rPr>
          <w:rFonts w:ascii="Arial" w:cs="Arial" w:eastAsia="Arial" w:hAnsi="Arial"/>
          <w:sz w:val="16"/>
          <w:szCs w:val="16"/>
          <w:color w:val="auto"/>
        </w:rPr>
        <w:t>4.4 Twenty-Seventh Supplemental Indenture, dated June 13, 2014, between the Company and U.S. Bank National Association, as trustee (incorporated by reference from the Company's Current Report on Form 8-K filed on June 13, 2014).</w:t>
      </w:r>
    </w:p>
    <w:p>
      <w:pPr>
        <w:spacing w:after="0" w:line="178" w:lineRule="exact"/>
        <w:rPr>
          <w:sz w:val="20"/>
          <w:szCs w:val="20"/>
          <w:color w:val="auto"/>
        </w:rPr>
      </w:pPr>
    </w:p>
    <w:p>
      <w:pPr>
        <w:ind w:left="1620" w:right="400" w:hanging="359"/>
        <w:spacing w:after="0" w:line="277" w:lineRule="auto"/>
        <w:rPr>
          <w:sz w:val="20"/>
          <w:szCs w:val="20"/>
          <w:color w:val="auto"/>
        </w:rPr>
      </w:pPr>
      <w:r>
        <w:rPr>
          <w:rFonts w:ascii="Arial" w:cs="Arial" w:eastAsia="Arial" w:hAnsi="Arial"/>
          <w:sz w:val="18"/>
          <w:szCs w:val="18"/>
          <w:color w:val="auto"/>
        </w:rPr>
        <w:t>4.5 Form of Global Note, No. 1-A, evidencing 5.00% Senior Notes due 2019 issued on June 13, 2014 (incorporated by reference from the Company's Current Report on Form 8-K filed on June 13, 2014).</w:t>
      </w:r>
    </w:p>
    <w:p>
      <w:pPr>
        <w:spacing w:after="0" w:line="224" w:lineRule="exact"/>
        <w:rPr>
          <w:sz w:val="20"/>
          <w:szCs w:val="20"/>
          <w:color w:val="auto"/>
        </w:rPr>
      </w:pPr>
    </w:p>
    <w:p>
      <w:pPr>
        <w:ind w:left="1620" w:right="400" w:hanging="359"/>
        <w:spacing w:after="0" w:line="277" w:lineRule="auto"/>
        <w:rPr>
          <w:sz w:val="20"/>
          <w:szCs w:val="20"/>
          <w:color w:val="auto"/>
        </w:rPr>
      </w:pPr>
      <w:r>
        <w:rPr>
          <w:rFonts w:ascii="Arial" w:cs="Arial" w:eastAsia="Arial" w:hAnsi="Arial"/>
          <w:sz w:val="18"/>
          <w:szCs w:val="18"/>
          <w:color w:val="auto"/>
        </w:rPr>
        <w:t>4.6 Form of Global Note, No. 1-B, evidencing 5.00% Senior Notes due 2019 issued on June 13, 2014 (incorporated by reference from the Company's Current Report on Form 8-K filed on June 13, 2014).</w:t>
      </w:r>
    </w:p>
    <w:p>
      <w:pPr>
        <w:spacing w:after="0" w:line="224" w:lineRule="exact"/>
        <w:rPr>
          <w:sz w:val="20"/>
          <w:szCs w:val="20"/>
          <w:color w:val="auto"/>
        </w:rPr>
      </w:pPr>
    </w:p>
    <w:p>
      <w:pPr>
        <w:ind w:left="1620" w:right="600" w:hanging="449"/>
        <w:spacing w:after="0" w:line="259" w:lineRule="auto"/>
        <w:rPr>
          <w:sz w:val="20"/>
          <w:szCs w:val="20"/>
          <w:color w:val="auto"/>
        </w:rPr>
      </w:pPr>
      <w:r>
        <w:rPr>
          <w:rFonts w:ascii="Arial" w:cs="Arial" w:eastAsia="Arial" w:hAnsi="Arial"/>
          <w:sz w:val="18"/>
          <w:szCs w:val="18"/>
          <w:color w:val="auto"/>
        </w:rPr>
        <w:t>10.1 Underwriting Agreement, dated June 10, 2014, by and among the Company and Merrill Lynch, Pierce, Fenner &amp; Smith Incorporated and the other several underwriters named therein, relating to the Company's 4.00% Senior Notes due 2017 and the 5.00% Senior Notes due 2019 (incorporated by reference from the Company's Current Report on Form 8-K filed on June 13, 2014).</w:t>
      </w:r>
    </w:p>
    <w:p>
      <w:pPr>
        <w:spacing w:after="0" w:line="24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31.0  Certifications pursuant to Section 302 of the Sarbanes-Oxley Act</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32.0  Certifications pursuant to Section 906 of the Sarbanes-Oxley Act.</w:t>
      </w:r>
    </w:p>
    <w:p>
      <w:pPr>
        <w:spacing w:after="0" w:line="63" w:lineRule="exact"/>
        <w:rPr>
          <w:sz w:val="20"/>
          <w:szCs w:val="20"/>
          <w:color w:val="auto"/>
        </w:rPr>
      </w:pPr>
    </w:p>
    <w:p>
      <w:pPr>
        <w:ind w:left="1620" w:right="320" w:hanging="396"/>
        <w:spacing w:after="0" w:line="272" w:lineRule="auto"/>
        <w:tabs>
          <w:tab w:leader="none" w:pos="1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following financial information from the Company's Quarterly Report on Form 10-Q for the period ended June 30, 2014 is formatted in XBRL ("eXtensible Business Reporting Language"): (i) the Consolidated Balance Sheets (unaudited) as of June 30, 2014 and December 31, 2013, (ii) the Consolidated Statements of Operations (unaudited) for the three and six months ended June 30, 2014 and 2013, (iii) the Consolidated Statements of Comprehensive Income (Loss) (unaudited) for the three and six months ended June 30, 2014 and 2013, (iv) the Consolidated Statement of Changes in Equity (unaudited) for the six months ended June 30, 2014 and 2013, (v) the Consolidated Statements of Cash Flows (unaudited) for the six months ended June 30, 2014 and 2013 and (vi) the Notes to the Consolidated Financial Statements (unaudited).*</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line="312" w:lineRule="auto"/>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8"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8"/>
          <w:szCs w:val="18"/>
          <w:color w:val="auto"/>
        </w:rPr>
        <w:t>Date: August 4, 2014</w:t>
      </w:r>
      <w:r>
        <w:rPr>
          <w:sz w:val="20"/>
          <w:szCs w:val="20"/>
          <w:color w:val="auto"/>
        </w:rPr>
        <w:tab/>
      </w:r>
      <w:r>
        <w:rPr>
          <w:rFonts w:ascii="Arial" w:cs="Arial" w:eastAsia="Arial" w:hAnsi="Arial"/>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Jay Sugarman</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760" w:val="left"/>
        </w:tabs>
        <w:rPr>
          <w:sz w:val="20"/>
          <w:szCs w:val="20"/>
          <w:color w:val="auto"/>
        </w:rPr>
      </w:pPr>
      <w:r>
        <w:rPr>
          <w:rFonts w:ascii="Arial" w:cs="Arial" w:eastAsia="Arial" w:hAnsi="Arial"/>
          <w:sz w:val="18"/>
          <w:szCs w:val="18"/>
          <w:color w:val="auto"/>
        </w:rPr>
        <w:t>Date: August 4, 2014</w:t>
      </w:r>
      <w:r>
        <w:rPr>
          <w:sz w:val="20"/>
          <w:szCs w:val="20"/>
          <w:color w:val="auto"/>
        </w:rPr>
        <w:tab/>
      </w:r>
      <w:r>
        <w:rPr>
          <w:rFonts w:ascii="Arial" w:cs="Arial" w:eastAsia="Arial" w:hAnsi="Arial"/>
          <w:sz w:val="17"/>
          <w:szCs w:val="17"/>
          <w:color w:val="auto"/>
        </w:rPr>
        <w:t>/s/ DAVID M. DISTASO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David M. DiStaso</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Chief Financial Officer (principal financial and</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right="300" w:firstLine="316"/>
        <w:spacing w:after="0" w:line="264" w:lineRule="auto"/>
        <w:tabs>
          <w:tab w:leader="none" w:pos="90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560" w:firstLine="316"/>
        <w:spacing w:after="0" w:line="264" w:lineRule="auto"/>
        <w:tabs>
          <w:tab w:leader="none" w:pos="91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840" w:firstLine="316"/>
        <w:spacing w:after="0" w:line="342" w:lineRule="auto"/>
        <w:tabs>
          <w:tab w:leader="none" w:pos="909"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340" w:right="100" w:firstLine="316"/>
        <w:spacing w:after="0" w:line="264" w:lineRule="auto"/>
        <w:tabs>
          <w:tab w:leader="none" w:pos="91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right="200" w:firstLine="316"/>
        <w:spacing w:after="0" w:line="277" w:lineRule="auto"/>
        <w:tabs>
          <w:tab w:leader="none" w:pos="909"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180" w:firstLine="316"/>
        <w:spacing w:after="0" w:line="277" w:lineRule="auto"/>
        <w:tabs>
          <w:tab w:leader="none" w:pos="919"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4, 2014</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JAY SUGARMAN</w:t>
            </w: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7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202"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DiStaso, certify that:</w:t>
      </w:r>
    </w:p>
    <w:p>
      <w:pPr>
        <w:spacing w:after="0" w:line="171" w:lineRule="exact"/>
        <w:rPr>
          <w:sz w:val="20"/>
          <w:szCs w:val="20"/>
          <w:color w:val="auto"/>
        </w:rPr>
      </w:pPr>
    </w:p>
    <w:p>
      <w:pPr>
        <w:ind w:left="520" w:hanging="188"/>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right="300" w:firstLine="316"/>
        <w:spacing w:after="0" w:line="264" w:lineRule="auto"/>
        <w:tabs>
          <w:tab w:leader="none" w:pos="90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560" w:firstLine="316"/>
        <w:spacing w:after="0" w:line="264" w:lineRule="auto"/>
        <w:tabs>
          <w:tab w:leader="none" w:pos="91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840" w:firstLine="316"/>
        <w:spacing w:after="0" w:line="342" w:lineRule="auto"/>
        <w:tabs>
          <w:tab w:leader="none" w:pos="909"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340" w:right="100" w:firstLine="316"/>
        <w:spacing w:after="0" w:line="264" w:lineRule="auto"/>
        <w:tabs>
          <w:tab w:leader="none" w:pos="91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right="200" w:firstLine="316"/>
        <w:spacing w:after="0" w:line="277" w:lineRule="auto"/>
        <w:tabs>
          <w:tab w:leader="none" w:pos="90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180" w:firstLine="316"/>
        <w:spacing w:after="0" w:line="277" w:lineRule="auto"/>
        <w:tabs>
          <w:tab w:leader="none" w:pos="91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4, 2014</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DAVID M. DISTASO</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M. DiStaso</w:t>
            </w: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7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02"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 as adopted pursuant to Section 906 of The Sarbanes-Oxley Act of 2002, that the Quarterly Report on Form 10-Q for the quarter ended June 30, 2014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4, 2014</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JAY SUGARMAN</w:t>
            </w: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7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202"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Financial Officer of iStar Financial Inc. (the "Company"), hereby certifies on the date hereof, pursuant to 18 U.S.C. 1350, as adopted pursuant to Section 906 of The Sarbanes-Oxley Act of 2002, that the Quarterly Report on Form 10-Q for the quarter ended June 30, 2014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4, 2014</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DAVID M. DISTASO</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M. DiStaso</w:t>
            </w: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7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4"/>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0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2019-12-06T22:43:51Z</dcterms:created>
  <dcterms:modified xsi:type="dcterms:W3CDTF">2019-12-06T22:43:51Z</dcterms:modified>
</cp:coreProperties>
</file>