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774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7747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ind w:left="288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15"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10-K</w:t>
      </w:r>
    </w:p>
    <w:p>
      <w:pPr>
        <w:spacing w:after="0" w:line="317" w:lineRule="exact"/>
        <w:rPr>
          <w:sz w:val="24"/>
          <w:szCs w:val="24"/>
          <w:color w:val="auto"/>
        </w:rPr>
      </w:pPr>
    </w:p>
    <w:p>
      <w:pPr>
        <w:ind w:left="1380"/>
        <w:spacing w:after="0"/>
        <w:rPr>
          <w:sz w:val="20"/>
          <w:szCs w:val="20"/>
          <w:color w:val="auto"/>
        </w:rPr>
      </w:pPr>
      <w:r>
        <w:rPr>
          <w:rFonts w:ascii="Arial" w:cs="Arial" w:eastAsia="Arial" w:hAnsi="Arial"/>
          <w:sz w:val="18"/>
          <w:szCs w:val="18"/>
          <w:b w:val="1"/>
          <w:bCs w:val="1"/>
          <w:color w:val="auto"/>
        </w:rPr>
        <w:t>(Mark One)</w:t>
      </w:r>
    </w:p>
    <w:p>
      <w:pPr>
        <w:spacing w:after="0" w:line="54" w:lineRule="exact"/>
        <w:rPr>
          <w:sz w:val="24"/>
          <w:szCs w:val="24"/>
          <w:color w:val="auto"/>
        </w:rPr>
      </w:pPr>
    </w:p>
    <w:p>
      <w:pPr>
        <w:ind w:left="2600" w:right="1840" w:hanging="850"/>
        <w:spacing w:after="0" w:line="256" w:lineRule="auto"/>
        <w:tabs>
          <w:tab w:leader="none" w:pos="26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0"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For the fiscal year ended December 31, 2016</w:t>
      </w:r>
    </w:p>
    <w:p>
      <w:pPr>
        <w:spacing w:after="0" w:line="63"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2600" w:right="1380" w:hanging="809"/>
        <w:spacing w:after="0" w:line="256" w:lineRule="auto"/>
        <w:tabs>
          <w:tab w:leader="none" w:pos="26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tbl>
      <w:tblPr>
        <w:tblLayout w:type="fixed"/>
        <w:tblInd w:w="1220" w:type="dxa"/>
        <w:tblCellMar>
          <w:top w:w="0" w:type="dxa"/>
          <w:left w:w="0" w:type="dxa"/>
          <w:bottom w:w="0" w:type="dxa"/>
          <w:right w:w="0" w:type="dxa"/>
        </w:tblCellMar>
      </w:tblPr>
      <w:tr>
        <w:trPr>
          <w:trHeight w:val="234"/>
        </w:trPr>
        <w:tc>
          <w:tcPr>
            <w:tcW w:w="5620" w:type="dxa"/>
            <w:vAlign w:val="bottom"/>
          </w:tcPr>
          <w:p>
            <w:pPr>
              <w:ind w:left="2680"/>
              <w:spacing w:after="0"/>
              <w:rPr>
                <w:sz w:val="20"/>
                <w:szCs w:val="20"/>
                <w:color w:val="auto"/>
              </w:rPr>
            </w:pPr>
            <w:r>
              <w:rPr>
                <w:rFonts w:ascii="Arial" w:cs="Arial" w:eastAsia="Arial" w:hAnsi="Arial"/>
                <w:sz w:val="18"/>
                <w:szCs w:val="18"/>
                <w:b w:val="1"/>
                <w:bCs w:val="1"/>
                <w:color w:val="auto"/>
              </w:rPr>
              <w:t>For the transition period from</w:t>
            </w:r>
          </w:p>
        </w:tc>
        <w:tc>
          <w:tcPr>
            <w:tcW w:w="2680" w:type="dxa"/>
            <w:vAlign w:val="bottom"/>
          </w:tcPr>
          <w:p>
            <w:pPr>
              <w:spacing w:after="0"/>
              <w:rPr>
                <w:sz w:val="20"/>
                <w:szCs w:val="20"/>
                <w:color w:val="auto"/>
              </w:rPr>
            </w:pPr>
            <w:r>
              <w:rPr>
                <w:rFonts w:ascii="Arial" w:cs="Arial" w:eastAsia="Arial" w:hAnsi="Arial"/>
                <w:sz w:val="18"/>
                <w:szCs w:val="18"/>
                <w:b w:val="1"/>
                <w:bCs w:val="1"/>
                <w:color w:val="auto"/>
              </w:rPr>
              <w:t>to</w:t>
            </w:r>
          </w:p>
        </w:tc>
      </w:tr>
      <w:tr>
        <w:trPr>
          <w:trHeight w:val="378"/>
        </w:trPr>
        <w:tc>
          <w:tcPr>
            <w:tcW w:w="5620" w:type="dxa"/>
            <w:vAlign w:val="bottom"/>
          </w:tcPr>
          <w:p>
            <w:pPr>
              <w:jc w:val="center"/>
              <w:ind w:left="3285"/>
              <w:spacing w:after="0"/>
              <w:rPr>
                <w:sz w:val="20"/>
                <w:szCs w:val="20"/>
                <w:color w:val="auto"/>
              </w:rPr>
            </w:pPr>
            <w:r>
              <w:rPr>
                <w:rFonts w:ascii="Arial" w:cs="Arial" w:eastAsia="Arial" w:hAnsi="Arial"/>
                <w:sz w:val="18"/>
                <w:szCs w:val="18"/>
                <w:b w:val="1"/>
                <w:bCs w:val="1"/>
                <w:color w:val="auto"/>
                <w:w w:val="89"/>
              </w:rPr>
              <w:t>Commission File No. 1-15371</w:t>
            </w:r>
          </w:p>
        </w:tc>
        <w:tc>
          <w:tcPr>
            <w:tcW w:w="2680" w:type="dxa"/>
            <w:vAlign w:val="bottom"/>
          </w:tcPr>
          <w:p>
            <w:pPr>
              <w:spacing w:after="0"/>
              <w:rPr>
                <w:sz w:val="24"/>
                <w:szCs w:val="24"/>
                <w:color w:val="auto"/>
              </w:rPr>
            </w:pPr>
          </w:p>
        </w:tc>
      </w:tr>
      <w:tr>
        <w:trPr>
          <w:trHeight w:val="299"/>
        </w:trPr>
        <w:tc>
          <w:tcPr>
            <w:tcW w:w="8300" w:type="dxa"/>
            <w:vAlign w:val="bottom"/>
            <w:gridSpan w:val="2"/>
          </w:tcPr>
          <w:p>
            <w:pPr>
              <w:jc w:val="center"/>
              <w:ind w:left="605"/>
              <w:spacing w:after="0"/>
              <w:rPr>
                <w:sz w:val="20"/>
                <w:szCs w:val="20"/>
                <w:color w:val="auto"/>
              </w:rPr>
            </w:pPr>
            <w:r>
              <w:rPr>
                <w:rFonts w:ascii="Arial" w:cs="Arial" w:eastAsia="Arial" w:hAnsi="Arial"/>
                <w:sz w:val="14"/>
                <w:szCs w:val="14"/>
                <w:color w:val="auto"/>
                <w:w w:val="92"/>
              </w:rPr>
              <w:t>_______________________________________________________________________________</w:t>
            </w:r>
          </w:p>
        </w:tc>
      </w:tr>
      <w:tr>
        <w:trPr>
          <w:trHeight w:val="497"/>
        </w:trPr>
        <w:tc>
          <w:tcPr>
            <w:tcW w:w="5620" w:type="dxa"/>
            <w:vAlign w:val="bottom"/>
          </w:tcPr>
          <w:p>
            <w:pPr>
              <w:jc w:val="center"/>
              <w:ind w:left="3265"/>
              <w:spacing w:after="0"/>
              <w:rPr>
                <w:sz w:val="20"/>
                <w:szCs w:val="20"/>
                <w:color w:val="auto"/>
              </w:rPr>
            </w:pPr>
            <w:r>
              <w:rPr>
                <w:rFonts w:ascii="Arial" w:cs="Arial" w:eastAsia="Arial" w:hAnsi="Arial"/>
                <w:sz w:val="32"/>
                <w:szCs w:val="32"/>
                <w:b w:val="1"/>
                <w:bCs w:val="1"/>
                <w:color w:val="auto"/>
                <w:w w:val="96"/>
              </w:rPr>
              <w:t>iStar Inc.</w:t>
            </w:r>
          </w:p>
        </w:tc>
        <w:tc>
          <w:tcPr>
            <w:tcW w:w="2680" w:type="dxa"/>
            <w:vAlign w:val="bottom"/>
          </w:tcPr>
          <w:p>
            <w:pPr>
              <w:spacing w:after="0"/>
              <w:rPr>
                <w:sz w:val="24"/>
                <w:szCs w:val="24"/>
                <w:color w:val="auto"/>
              </w:rPr>
            </w:pPr>
          </w:p>
        </w:tc>
      </w:tr>
      <w:tr>
        <w:trPr>
          <w:trHeight w:val="230"/>
        </w:trPr>
        <w:tc>
          <w:tcPr>
            <w:tcW w:w="8300" w:type="dxa"/>
            <w:vAlign w:val="bottom"/>
            <w:gridSpan w:val="2"/>
          </w:tcPr>
          <w:p>
            <w:pPr>
              <w:jc w:val="center"/>
              <w:ind w:left="605"/>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99"/>
        </w:trPr>
        <w:tc>
          <w:tcPr>
            <w:tcW w:w="5620" w:type="dxa"/>
            <w:vAlign w:val="bottom"/>
          </w:tcPr>
          <w:p>
            <w:pPr>
              <w:jc w:val="center"/>
              <w:ind w:right="2465"/>
              <w:spacing w:after="0"/>
              <w:rPr>
                <w:sz w:val="20"/>
                <w:szCs w:val="20"/>
                <w:color w:val="auto"/>
              </w:rPr>
            </w:pPr>
            <w:r>
              <w:rPr>
                <w:rFonts w:ascii="Arial" w:cs="Arial" w:eastAsia="Arial" w:hAnsi="Arial"/>
                <w:sz w:val="18"/>
                <w:szCs w:val="18"/>
                <w:b w:val="1"/>
                <w:bCs w:val="1"/>
                <w:color w:val="auto"/>
                <w:w w:val="98"/>
              </w:rPr>
              <w:t>Maryland</w:t>
            </w:r>
          </w:p>
        </w:tc>
        <w:tc>
          <w:tcPr>
            <w:tcW w:w="2680" w:type="dxa"/>
            <w:vAlign w:val="bottom"/>
          </w:tcPr>
          <w:p>
            <w:pPr>
              <w:jc w:val="right"/>
              <w:ind w:right="310"/>
              <w:spacing w:after="0"/>
              <w:rPr>
                <w:sz w:val="20"/>
                <w:szCs w:val="20"/>
                <w:color w:val="auto"/>
              </w:rPr>
            </w:pPr>
            <w:r>
              <w:rPr>
                <w:rFonts w:ascii="Arial" w:cs="Arial" w:eastAsia="Arial" w:hAnsi="Arial"/>
                <w:sz w:val="18"/>
                <w:szCs w:val="18"/>
                <w:b w:val="1"/>
                <w:bCs w:val="1"/>
                <w:color w:val="auto"/>
              </w:rPr>
              <w:t>95-6881527</w:t>
            </w:r>
          </w:p>
        </w:tc>
      </w:tr>
      <w:tr>
        <w:trPr>
          <w:trHeight w:val="216"/>
        </w:trPr>
        <w:tc>
          <w:tcPr>
            <w:tcW w:w="5620" w:type="dxa"/>
            <w:vAlign w:val="bottom"/>
          </w:tcPr>
          <w:p>
            <w:pPr>
              <w:jc w:val="center"/>
              <w:ind w:right="2465"/>
              <w:spacing w:after="0"/>
              <w:rPr>
                <w:sz w:val="20"/>
                <w:szCs w:val="20"/>
                <w:color w:val="auto"/>
              </w:rPr>
            </w:pPr>
            <w:r>
              <w:rPr>
                <w:rFonts w:ascii="Arial" w:cs="Arial" w:eastAsia="Arial" w:hAnsi="Arial"/>
                <w:sz w:val="18"/>
                <w:szCs w:val="18"/>
                <w:color w:val="auto"/>
                <w:w w:val="93"/>
              </w:rPr>
              <w:t>(State or other jurisdiction of</w:t>
            </w:r>
          </w:p>
        </w:tc>
        <w:tc>
          <w:tcPr>
            <w:tcW w:w="2680" w:type="dxa"/>
            <w:vAlign w:val="bottom"/>
          </w:tcPr>
          <w:p>
            <w:pPr>
              <w:jc w:val="center"/>
              <w:ind w:left="930"/>
              <w:spacing w:after="0"/>
              <w:rPr>
                <w:sz w:val="20"/>
                <w:szCs w:val="20"/>
                <w:color w:val="auto"/>
              </w:rPr>
            </w:pPr>
            <w:r>
              <w:rPr>
                <w:rFonts w:ascii="Arial" w:cs="Arial" w:eastAsia="Arial" w:hAnsi="Arial"/>
                <w:sz w:val="18"/>
                <w:szCs w:val="18"/>
                <w:color w:val="auto"/>
                <w:w w:val="92"/>
              </w:rPr>
              <w:t>(I.R.S. Employer</w:t>
            </w:r>
          </w:p>
        </w:tc>
      </w:tr>
      <w:tr>
        <w:trPr>
          <w:trHeight w:val="230"/>
        </w:trPr>
        <w:tc>
          <w:tcPr>
            <w:tcW w:w="5620" w:type="dxa"/>
            <w:vAlign w:val="bottom"/>
          </w:tcPr>
          <w:p>
            <w:pPr>
              <w:jc w:val="center"/>
              <w:ind w:right="2465"/>
              <w:spacing w:after="0"/>
              <w:rPr>
                <w:sz w:val="20"/>
                <w:szCs w:val="20"/>
                <w:color w:val="auto"/>
              </w:rPr>
            </w:pPr>
            <w:r>
              <w:rPr>
                <w:rFonts w:ascii="Arial" w:cs="Arial" w:eastAsia="Arial" w:hAnsi="Arial"/>
                <w:sz w:val="18"/>
                <w:szCs w:val="18"/>
                <w:color w:val="auto"/>
                <w:w w:val="93"/>
              </w:rPr>
              <w:t>incorporation or organization)</w:t>
            </w:r>
          </w:p>
        </w:tc>
        <w:tc>
          <w:tcPr>
            <w:tcW w:w="2680" w:type="dxa"/>
            <w:vAlign w:val="bottom"/>
          </w:tcPr>
          <w:p>
            <w:pPr>
              <w:jc w:val="center"/>
              <w:ind w:left="930"/>
              <w:spacing w:after="0"/>
              <w:rPr>
                <w:sz w:val="20"/>
                <w:szCs w:val="20"/>
                <w:color w:val="auto"/>
              </w:rPr>
            </w:pPr>
            <w:r>
              <w:rPr>
                <w:rFonts w:ascii="Arial" w:cs="Arial" w:eastAsia="Arial" w:hAnsi="Arial"/>
                <w:sz w:val="18"/>
                <w:szCs w:val="18"/>
                <w:color w:val="auto"/>
                <w:w w:val="94"/>
              </w:rPr>
              <w:t>Identification Number)</w:t>
            </w:r>
          </w:p>
        </w:tc>
      </w:tr>
      <w:tr>
        <w:trPr>
          <w:trHeight w:val="252"/>
        </w:trPr>
        <w:tc>
          <w:tcPr>
            <w:tcW w:w="5620" w:type="dxa"/>
            <w:vAlign w:val="bottom"/>
          </w:tcPr>
          <w:p>
            <w:pPr>
              <w:jc w:val="center"/>
              <w:ind w:right="2465"/>
              <w:spacing w:after="0"/>
              <w:rPr>
                <w:sz w:val="20"/>
                <w:szCs w:val="20"/>
                <w:color w:val="auto"/>
              </w:rPr>
            </w:pPr>
            <w:r>
              <w:rPr>
                <w:rFonts w:ascii="Arial" w:cs="Arial" w:eastAsia="Arial" w:hAnsi="Arial"/>
                <w:sz w:val="18"/>
                <w:szCs w:val="18"/>
                <w:b w:val="1"/>
                <w:bCs w:val="1"/>
                <w:color w:val="auto"/>
                <w:w w:val="89"/>
              </w:rPr>
              <w:t>1114 Avenue of the Americas, 39</w:t>
            </w:r>
            <w:r>
              <w:rPr>
                <w:rFonts w:ascii="Arial" w:cs="Arial" w:eastAsia="Arial" w:hAnsi="Arial"/>
                <w:sz w:val="14"/>
                <w:szCs w:val="14"/>
                <w:b w:val="1"/>
                <w:bCs w:val="1"/>
                <w:color w:val="auto"/>
                <w:w w:val="89"/>
              </w:rPr>
              <w:t>th</w:t>
            </w:r>
            <w:r>
              <w:rPr>
                <w:rFonts w:ascii="Arial" w:cs="Arial" w:eastAsia="Arial" w:hAnsi="Arial"/>
                <w:sz w:val="18"/>
                <w:szCs w:val="18"/>
                <w:b w:val="1"/>
                <w:bCs w:val="1"/>
                <w:color w:val="auto"/>
                <w:w w:val="89"/>
              </w:rPr>
              <w:t xml:space="preserve"> Floor</w:t>
            </w:r>
          </w:p>
        </w:tc>
        <w:tc>
          <w:tcPr>
            <w:tcW w:w="2680" w:type="dxa"/>
            <w:vAlign w:val="bottom"/>
          </w:tcPr>
          <w:p>
            <w:pPr>
              <w:spacing w:after="0"/>
              <w:rPr>
                <w:sz w:val="21"/>
                <w:szCs w:val="21"/>
                <w:color w:val="auto"/>
              </w:rPr>
            </w:pPr>
          </w:p>
        </w:tc>
      </w:tr>
      <w:tr>
        <w:trPr>
          <w:trHeight w:val="220"/>
        </w:trPr>
        <w:tc>
          <w:tcPr>
            <w:tcW w:w="5620" w:type="dxa"/>
            <w:vAlign w:val="bottom"/>
          </w:tcPr>
          <w:p>
            <w:pPr>
              <w:jc w:val="center"/>
              <w:ind w:right="2465"/>
              <w:spacing w:after="0"/>
              <w:rPr>
                <w:sz w:val="20"/>
                <w:szCs w:val="20"/>
                <w:color w:val="auto"/>
              </w:rPr>
            </w:pPr>
            <w:r>
              <w:rPr>
                <w:rFonts w:ascii="Arial" w:cs="Arial" w:eastAsia="Arial" w:hAnsi="Arial"/>
                <w:sz w:val="18"/>
                <w:szCs w:val="18"/>
                <w:b w:val="1"/>
                <w:bCs w:val="1"/>
                <w:color w:val="auto"/>
                <w:w w:val="93"/>
              </w:rPr>
              <w:t>New York, NY</w:t>
            </w:r>
          </w:p>
        </w:tc>
        <w:tc>
          <w:tcPr>
            <w:tcW w:w="2680" w:type="dxa"/>
            <w:vAlign w:val="bottom"/>
          </w:tcPr>
          <w:p>
            <w:pPr>
              <w:jc w:val="right"/>
              <w:ind w:right="510"/>
              <w:spacing w:after="0"/>
              <w:rPr>
                <w:sz w:val="20"/>
                <w:szCs w:val="20"/>
                <w:color w:val="auto"/>
              </w:rPr>
            </w:pPr>
            <w:r>
              <w:rPr>
                <w:rFonts w:ascii="Arial" w:cs="Arial" w:eastAsia="Arial" w:hAnsi="Arial"/>
                <w:sz w:val="18"/>
                <w:szCs w:val="18"/>
                <w:b w:val="1"/>
                <w:bCs w:val="1"/>
                <w:color w:val="auto"/>
              </w:rPr>
              <w:t>10036</w:t>
            </w:r>
          </w:p>
        </w:tc>
      </w:tr>
      <w:tr>
        <w:trPr>
          <w:trHeight w:val="230"/>
        </w:trPr>
        <w:tc>
          <w:tcPr>
            <w:tcW w:w="5620" w:type="dxa"/>
            <w:vAlign w:val="bottom"/>
          </w:tcPr>
          <w:p>
            <w:pPr>
              <w:jc w:val="center"/>
              <w:ind w:right="2465"/>
              <w:spacing w:after="0"/>
              <w:rPr>
                <w:sz w:val="20"/>
                <w:szCs w:val="20"/>
                <w:color w:val="auto"/>
              </w:rPr>
            </w:pPr>
            <w:r>
              <w:rPr>
                <w:rFonts w:ascii="Arial" w:cs="Arial" w:eastAsia="Arial" w:hAnsi="Arial"/>
                <w:sz w:val="18"/>
                <w:szCs w:val="18"/>
                <w:color w:val="auto"/>
                <w:w w:val="92"/>
              </w:rPr>
              <w:t>(Address of principal executive offices)</w:t>
            </w:r>
          </w:p>
        </w:tc>
        <w:tc>
          <w:tcPr>
            <w:tcW w:w="2680" w:type="dxa"/>
            <w:vAlign w:val="bottom"/>
          </w:tcPr>
          <w:p>
            <w:pPr>
              <w:jc w:val="center"/>
              <w:ind w:left="910"/>
              <w:spacing w:after="0"/>
              <w:rPr>
                <w:sz w:val="20"/>
                <w:szCs w:val="20"/>
                <w:color w:val="auto"/>
              </w:rPr>
            </w:pPr>
            <w:r>
              <w:rPr>
                <w:rFonts w:ascii="Arial" w:cs="Arial" w:eastAsia="Arial" w:hAnsi="Arial"/>
                <w:sz w:val="18"/>
                <w:szCs w:val="18"/>
                <w:color w:val="auto"/>
                <w:w w:val="93"/>
              </w:rPr>
              <w:t>(Zip code)</w:t>
            </w:r>
          </w:p>
        </w:tc>
      </w:tr>
    </w:tbl>
    <w:p>
      <w:pPr>
        <w:spacing w:after="0" w:line="144"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930-9400</w:t>
      </w:r>
    </w:p>
    <w:p>
      <w:pPr>
        <w:spacing w:after="0" w:line="63" w:lineRule="exact"/>
        <w:rPr>
          <w:sz w:val="24"/>
          <w:szCs w:val="24"/>
          <w:color w:val="auto"/>
        </w:rPr>
      </w:pPr>
    </w:p>
    <w:p>
      <w:pPr>
        <w:ind w:left="288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36" w:lineRule="exact"/>
        <w:rPr>
          <w:sz w:val="24"/>
          <w:szCs w:val="24"/>
          <w:color w:val="auto"/>
        </w:rPr>
      </w:pPr>
    </w:p>
    <w:p>
      <w:pPr>
        <w:ind w:left="406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tbl>
      <w:tblPr>
        <w:tblLayout w:type="fixed"/>
        <w:tblInd w:w="460" w:type="dxa"/>
        <w:tblCellMar>
          <w:top w:w="0" w:type="dxa"/>
          <w:left w:w="0" w:type="dxa"/>
          <w:bottom w:w="0" w:type="dxa"/>
          <w:right w:w="0" w:type="dxa"/>
        </w:tblCellMar>
      </w:tblPr>
      <w:tr>
        <w:trPr>
          <w:trHeight w:val="192"/>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Title of each class:</w:t>
            </w:r>
          </w:p>
        </w:tc>
        <w:tc>
          <w:tcPr>
            <w:tcW w:w="520" w:type="dxa"/>
            <w:vAlign w:val="bottom"/>
          </w:tcPr>
          <w:p>
            <w:pPr>
              <w:spacing w:after="0"/>
              <w:rPr>
                <w:sz w:val="16"/>
                <w:szCs w:val="16"/>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Exchange on which registered:</w:t>
            </w:r>
          </w:p>
        </w:tc>
      </w:tr>
      <w:tr>
        <w:trPr>
          <w:trHeight w:val="190"/>
        </w:trPr>
        <w:tc>
          <w:tcPr>
            <w:tcW w:w="5480" w:type="dxa"/>
            <w:vAlign w:val="bottom"/>
            <w:gridSpan w:val="2"/>
          </w:tcPr>
          <w:p>
            <w:pPr>
              <w:jc w:val="center"/>
              <w:ind w:right="540"/>
              <w:spacing w:after="0"/>
              <w:rPr>
                <w:sz w:val="20"/>
                <w:szCs w:val="20"/>
                <w:color w:val="auto"/>
              </w:rPr>
            </w:pPr>
            <w:r>
              <w:rPr>
                <w:rFonts w:ascii="Arial" w:cs="Arial" w:eastAsia="Arial" w:hAnsi="Arial"/>
                <w:sz w:val="14"/>
                <w:szCs w:val="14"/>
                <w:color w:val="auto"/>
                <w:w w:val="93"/>
              </w:rPr>
              <w:t>Common Stock, $0.001 par value</w:t>
            </w:r>
          </w:p>
        </w:tc>
        <w:tc>
          <w:tcPr>
            <w:tcW w:w="5040" w:type="dxa"/>
            <w:vAlign w:val="bottom"/>
          </w:tcPr>
          <w:p>
            <w:pPr>
              <w:jc w:val="center"/>
              <w:spacing w:after="0"/>
              <w:rPr>
                <w:sz w:val="20"/>
                <w:szCs w:val="20"/>
                <w:color w:val="auto"/>
              </w:rPr>
            </w:pPr>
            <w:r>
              <w:rPr>
                <w:rFonts w:ascii="Arial" w:cs="Arial" w:eastAsia="Arial" w:hAnsi="Arial"/>
                <w:sz w:val="14"/>
                <w:szCs w:val="14"/>
                <w:color w:val="auto"/>
                <w:w w:val="92"/>
              </w:rPr>
              <w:t>New York Stock Exchange</w:t>
            </w:r>
          </w:p>
        </w:tc>
      </w:tr>
      <w:tr>
        <w:trPr>
          <w:trHeight w:val="169"/>
        </w:trPr>
        <w:tc>
          <w:tcPr>
            <w:tcW w:w="5480" w:type="dxa"/>
            <w:vAlign w:val="bottom"/>
            <w:gridSpan w:val="2"/>
          </w:tcPr>
          <w:p>
            <w:pPr>
              <w:jc w:val="center"/>
              <w:ind w:right="540"/>
              <w:spacing w:after="0"/>
              <w:rPr>
                <w:sz w:val="20"/>
                <w:szCs w:val="20"/>
                <w:color w:val="auto"/>
              </w:rPr>
            </w:pPr>
            <w:r>
              <w:rPr>
                <w:rFonts w:ascii="Arial" w:cs="Arial" w:eastAsia="Arial" w:hAnsi="Arial"/>
                <w:sz w:val="14"/>
                <w:szCs w:val="14"/>
                <w:color w:val="auto"/>
                <w:w w:val="91"/>
              </w:rPr>
              <w:t>8.00% Series D Cumulative Redeemable</w:t>
            </w:r>
          </w:p>
        </w:tc>
        <w:tc>
          <w:tcPr>
            <w:tcW w:w="5040" w:type="dxa"/>
            <w:vAlign w:val="bottom"/>
          </w:tcPr>
          <w:p>
            <w:pPr>
              <w:jc w:val="center"/>
              <w:spacing w:after="0"/>
              <w:rPr>
                <w:sz w:val="20"/>
                <w:szCs w:val="20"/>
                <w:color w:val="auto"/>
              </w:rPr>
            </w:pPr>
            <w:r>
              <w:rPr>
                <w:rFonts w:ascii="Arial" w:cs="Arial" w:eastAsia="Arial" w:hAnsi="Arial"/>
                <w:sz w:val="14"/>
                <w:szCs w:val="14"/>
                <w:color w:val="auto"/>
                <w:w w:val="92"/>
              </w:rPr>
              <w:t>New York Stock Exchange</w:t>
            </w:r>
          </w:p>
        </w:tc>
      </w:tr>
      <w:tr>
        <w:trPr>
          <w:trHeight w:val="182"/>
        </w:trPr>
        <w:tc>
          <w:tcPr>
            <w:tcW w:w="5480" w:type="dxa"/>
            <w:vAlign w:val="bottom"/>
            <w:gridSpan w:val="2"/>
          </w:tcPr>
          <w:p>
            <w:pPr>
              <w:jc w:val="center"/>
              <w:ind w:right="540"/>
              <w:spacing w:after="0"/>
              <w:rPr>
                <w:sz w:val="20"/>
                <w:szCs w:val="20"/>
                <w:color w:val="auto"/>
              </w:rPr>
            </w:pPr>
            <w:r>
              <w:rPr>
                <w:rFonts w:ascii="Arial" w:cs="Arial" w:eastAsia="Arial" w:hAnsi="Arial"/>
                <w:sz w:val="14"/>
                <w:szCs w:val="14"/>
                <w:color w:val="auto"/>
                <w:w w:val="92"/>
              </w:rPr>
              <w:t>Preferred Stock, $0.001 par value</w:t>
            </w:r>
          </w:p>
        </w:tc>
        <w:tc>
          <w:tcPr>
            <w:tcW w:w="5040" w:type="dxa"/>
            <w:vAlign w:val="bottom"/>
          </w:tcPr>
          <w:p>
            <w:pPr>
              <w:spacing w:after="0"/>
              <w:rPr>
                <w:sz w:val="15"/>
                <w:szCs w:val="15"/>
                <w:color w:val="auto"/>
              </w:rPr>
            </w:pPr>
          </w:p>
        </w:tc>
      </w:tr>
      <w:tr>
        <w:trPr>
          <w:trHeight w:val="169"/>
        </w:trPr>
        <w:tc>
          <w:tcPr>
            <w:tcW w:w="5480" w:type="dxa"/>
            <w:vAlign w:val="bottom"/>
            <w:gridSpan w:val="2"/>
          </w:tcPr>
          <w:p>
            <w:pPr>
              <w:jc w:val="center"/>
              <w:ind w:right="540"/>
              <w:spacing w:after="0"/>
              <w:rPr>
                <w:sz w:val="20"/>
                <w:szCs w:val="20"/>
                <w:color w:val="auto"/>
              </w:rPr>
            </w:pPr>
            <w:r>
              <w:rPr>
                <w:rFonts w:ascii="Arial" w:cs="Arial" w:eastAsia="Arial" w:hAnsi="Arial"/>
                <w:sz w:val="14"/>
                <w:szCs w:val="14"/>
                <w:color w:val="auto"/>
                <w:w w:val="92"/>
              </w:rPr>
              <w:t>7.875% Series E Cumulative Redeemable</w:t>
            </w:r>
          </w:p>
        </w:tc>
        <w:tc>
          <w:tcPr>
            <w:tcW w:w="5040" w:type="dxa"/>
            <w:vAlign w:val="bottom"/>
          </w:tcPr>
          <w:p>
            <w:pPr>
              <w:jc w:val="center"/>
              <w:spacing w:after="0"/>
              <w:rPr>
                <w:sz w:val="20"/>
                <w:szCs w:val="20"/>
                <w:color w:val="auto"/>
              </w:rPr>
            </w:pPr>
            <w:r>
              <w:rPr>
                <w:rFonts w:ascii="Arial" w:cs="Arial" w:eastAsia="Arial" w:hAnsi="Arial"/>
                <w:sz w:val="14"/>
                <w:szCs w:val="14"/>
                <w:color w:val="auto"/>
                <w:w w:val="92"/>
              </w:rPr>
              <w:t>New York Stock Exchange</w:t>
            </w:r>
          </w:p>
        </w:tc>
      </w:tr>
      <w:tr>
        <w:trPr>
          <w:trHeight w:val="182"/>
        </w:trPr>
        <w:tc>
          <w:tcPr>
            <w:tcW w:w="5480" w:type="dxa"/>
            <w:vAlign w:val="bottom"/>
            <w:gridSpan w:val="2"/>
          </w:tcPr>
          <w:p>
            <w:pPr>
              <w:jc w:val="center"/>
              <w:ind w:right="540"/>
              <w:spacing w:after="0"/>
              <w:rPr>
                <w:sz w:val="20"/>
                <w:szCs w:val="20"/>
                <w:color w:val="auto"/>
              </w:rPr>
            </w:pPr>
            <w:r>
              <w:rPr>
                <w:rFonts w:ascii="Arial" w:cs="Arial" w:eastAsia="Arial" w:hAnsi="Arial"/>
                <w:sz w:val="14"/>
                <w:szCs w:val="14"/>
                <w:color w:val="auto"/>
                <w:w w:val="92"/>
              </w:rPr>
              <w:t>Preferred Stock, $0.001 par value</w:t>
            </w:r>
          </w:p>
        </w:tc>
        <w:tc>
          <w:tcPr>
            <w:tcW w:w="5040" w:type="dxa"/>
            <w:vAlign w:val="bottom"/>
          </w:tcPr>
          <w:p>
            <w:pPr>
              <w:spacing w:after="0"/>
              <w:rPr>
                <w:sz w:val="15"/>
                <w:szCs w:val="15"/>
                <w:color w:val="auto"/>
              </w:rPr>
            </w:pPr>
          </w:p>
        </w:tc>
      </w:tr>
      <w:tr>
        <w:trPr>
          <w:trHeight w:val="169"/>
        </w:trPr>
        <w:tc>
          <w:tcPr>
            <w:tcW w:w="5480" w:type="dxa"/>
            <w:vAlign w:val="bottom"/>
            <w:gridSpan w:val="2"/>
          </w:tcPr>
          <w:p>
            <w:pPr>
              <w:jc w:val="center"/>
              <w:ind w:right="540"/>
              <w:spacing w:after="0"/>
              <w:rPr>
                <w:sz w:val="20"/>
                <w:szCs w:val="20"/>
                <w:color w:val="auto"/>
              </w:rPr>
            </w:pPr>
            <w:r>
              <w:rPr>
                <w:rFonts w:ascii="Arial" w:cs="Arial" w:eastAsia="Arial" w:hAnsi="Arial"/>
                <w:sz w:val="14"/>
                <w:szCs w:val="14"/>
                <w:color w:val="auto"/>
                <w:w w:val="92"/>
              </w:rPr>
              <w:t>7.80% Series F Cumulative Redeemable</w:t>
            </w:r>
          </w:p>
        </w:tc>
        <w:tc>
          <w:tcPr>
            <w:tcW w:w="5040" w:type="dxa"/>
            <w:vAlign w:val="bottom"/>
          </w:tcPr>
          <w:p>
            <w:pPr>
              <w:jc w:val="center"/>
              <w:spacing w:after="0"/>
              <w:rPr>
                <w:sz w:val="20"/>
                <w:szCs w:val="20"/>
                <w:color w:val="auto"/>
              </w:rPr>
            </w:pPr>
            <w:r>
              <w:rPr>
                <w:rFonts w:ascii="Arial" w:cs="Arial" w:eastAsia="Arial" w:hAnsi="Arial"/>
                <w:sz w:val="14"/>
                <w:szCs w:val="14"/>
                <w:color w:val="auto"/>
                <w:w w:val="92"/>
              </w:rPr>
              <w:t>New York Stock Exchange</w:t>
            </w:r>
          </w:p>
        </w:tc>
      </w:tr>
      <w:tr>
        <w:trPr>
          <w:trHeight w:val="182"/>
        </w:trPr>
        <w:tc>
          <w:tcPr>
            <w:tcW w:w="5480" w:type="dxa"/>
            <w:vAlign w:val="bottom"/>
            <w:gridSpan w:val="2"/>
          </w:tcPr>
          <w:p>
            <w:pPr>
              <w:jc w:val="center"/>
              <w:ind w:right="540"/>
              <w:spacing w:after="0"/>
              <w:rPr>
                <w:sz w:val="20"/>
                <w:szCs w:val="20"/>
                <w:color w:val="auto"/>
              </w:rPr>
            </w:pPr>
            <w:r>
              <w:rPr>
                <w:rFonts w:ascii="Arial" w:cs="Arial" w:eastAsia="Arial" w:hAnsi="Arial"/>
                <w:sz w:val="14"/>
                <w:szCs w:val="14"/>
                <w:color w:val="auto"/>
                <w:w w:val="92"/>
              </w:rPr>
              <w:t>Preferred Stock, $0.001 par value</w:t>
            </w:r>
          </w:p>
        </w:tc>
        <w:tc>
          <w:tcPr>
            <w:tcW w:w="5040" w:type="dxa"/>
            <w:vAlign w:val="bottom"/>
          </w:tcPr>
          <w:p>
            <w:pPr>
              <w:spacing w:after="0"/>
              <w:rPr>
                <w:sz w:val="15"/>
                <w:szCs w:val="15"/>
                <w:color w:val="auto"/>
              </w:rPr>
            </w:pPr>
          </w:p>
        </w:tc>
      </w:tr>
      <w:tr>
        <w:trPr>
          <w:trHeight w:val="169"/>
        </w:trPr>
        <w:tc>
          <w:tcPr>
            <w:tcW w:w="5480" w:type="dxa"/>
            <w:vAlign w:val="bottom"/>
            <w:gridSpan w:val="2"/>
          </w:tcPr>
          <w:p>
            <w:pPr>
              <w:jc w:val="center"/>
              <w:ind w:right="540"/>
              <w:spacing w:after="0"/>
              <w:rPr>
                <w:sz w:val="20"/>
                <w:szCs w:val="20"/>
                <w:color w:val="auto"/>
              </w:rPr>
            </w:pPr>
            <w:r>
              <w:rPr>
                <w:rFonts w:ascii="Arial" w:cs="Arial" w:eastAsia="Arial" w:hAnsi="Arial"/>
                <w:sz w:val="14"/>
                <w:szCs w:val="14"/>
                <w:color w:val="auto"/>
                <w:w w:val="91"/>
              </w:rPr>
              <w:t>7.65% Series G Cumulative Redeemable</w:t>
            </w:r>
          </w:p>
        </w:tc>
        <w:tc>
          <w:tcPr>
            <w:tcW w:w="5040" w:type="dxa"/>
            <w:vAlign w:val="bottom"/>
          </w:tcPr>
          <w:p>
            <w:pPr>
              <w:jc w:val="center"/>
              <w:spacing w:after="0"/>
              <w:rPr>
                <w:sz w:val="20"/>
                <w:szCs w:val="20"/>
                <w:color w:val="auto"/>
              </w:rPr>
            </w:pPr>
            <w:r>
              <w:rPr>
                <w:rFonts w:ascii="Arial" w:cs="Arial" w:eastAsia="Arial" w:hAnsi="Arial"/>
                <w:sz w:val="14"/>
                <w:szCs w:val="14"/>
                <w:color w:val="auto"/>
                <w:w w:val="92"/>
              </w:rPr>
              <w:t>New York Stock Exchange</w:t>
            </w:r>
          </w:p>
        </w:tc>
      </w:tr>
      <w:tr>
        <w:trPr>
          <w:trHeight w:val="182"/>
        </w:trPr>
        <w:tc>
          <w:tcPr>
            <w:tcW w:w="5480" w:type="dxa"/>
            <w:vAlign w:val="bottom"/>
            <w:gridSpan w:val="2"/>
          </w:tcPr>
          <w:p>
            <w:pPr>
              <w:jc w:val="center"/>
              <w:ind w:right="540"/>
              <w:spacing w:after="0"/>
              <w:rPr>
                <w:sz w:val="20"/>
                <w:szCs w:val="20"/>
                <w:color w:val="auto"/>
              </w:rPr>
            </w:pPr>
            <w:r>
              <w:rPr>
                <w:rFonts w:ascii="Arial" w:cs="Arial" w:eastAsia="Arial" w:hAnsi="Arial"/>
                <w:sz w:val="14"/>
                <w:szCs w:val="14"/>
                <w:color w:val="auto"/>
                <w:w w:val="92"/>
              </w:rPr>
              <w:t>Preferred Stock, $0.001 par value</w:t>
            </w:r>
          </w:p>
        </w:tc>
        <w:tc>
          <w:tcPr>
            <w:tcW w:w="5040" w:type="dxa"/>
            <w:vAlign w:val="bottom"/>
          </w:tcPr>
          <w:p>
            <w:pPr>
              <w:spacing w:after="0"/>
              <w:rPr>
                <w:sz w:val="15"/>
                <w:szCs w:val="15"/>
                <w:color w:val="auto"/>
              </w:rPr>
            </w:pPr>
          </w:p>
        </w:tc>
      </w:tr>
      <w:tr>
        <w:trPr>
          <w:trHeight w:val="169"/>
        </w:trPr>
        <w:tc>
          <w:tcPr>
            <w:tcW w:w="5480" w:type="dxa"/>
            <w:vAlign w:val="bottom"/>
            <w:gridSpan w:val="2"/>
          </w:tcPr>
          <w:p>
            <w:pPr>
              <w:jc w:val="center"/>
              <w:ind w:right="540"/>
              <w:spacing w:after="0"/>
              <w:rPr>
                <w:sz w:val="20"/>
                <w:szCs w:val="20"/>
                <w:color w:val="auto"/>
              </w:rPr>
            </w:pPr>
            <w:r>
              <w:rPr>
                <w:rFonts w:ascii="Arial" w:cs="Arial" w:eastAsia="Arial" w:hAnsi="Arial"/>
                <w:sz w:val="14"/>
                <w:szCs w:val="14"/>
                <w:color w:val="auto"/>
                <w:w w:val="92"/>
              </w:rPr>
              <w:t>7.50% Series I Cumulative Redeemable</w:t>
            </w:r>
          </w:p>
        </w:tc>
        <w:tc>
          <w:tcPr>
            <w:tcW w:w="5040" w:type="dxa"/>
            <w:vAlign w:val="bottom"/>
          </w:tcPr>
          <w:p>
            <w:pPr>
              <w:jc w:val="center"/>
              <w:spacing w:after="0"/>
              <w:rPr>
                <w:sz w:val="20"/>
                <w:szCs w:val="20"/>
                <w:color w:val="auto"/>
              </w:rPr>
            </w:pPr>
            <w:r>
              <w:rPr>
                <w:rFonts w:ascii="Arial" w:cs="Arial" w:eastAsia="Arial" w:hAnsi="Arial"/>
                <w:sz w:val="14"/>
                <w:szCs w:val="14"/>
                <w:color w:val="auto"/>
                <w:w w:val="92"/>
              </w:rPr>
              <w:t>New York Stock Exchange</w:t>
            </w:r>
          </w:p>
        </w:tc>
      </w:tr>
      <w:tr>
        <w:trPr>
          <w:trHeight w:val="182"/>
        </w:trPr>
        <w:tc>
          <w:tcPr>
            <w:tcW w:w="5480" w:type="dxa"/>
            <w:vAlign w:val="bottom"/>
            <w:gridSpan w:val="2"/>
          </w:tcPr>
          <w:p>
            <w:pPr>
              <w:jc w:val="center"/>
              <w:ind w:right="540"/>
              <w:spacing w:after="0"/>
              <w:rPr>
                <w:sz w:val="20"/>
                <w:szCs w:val="20"/>
                <w:color w:val="auto"/>
              </w:rPr>
            </w:pPr>
            <w:r>
              <w:rPr>
                <w:rFonts w:ascii="Arial" w:cs="Arial" w:eastAsia="Arial" w:hAnsi="Arial"/>
                <w:sz w:val="14"/>
                <w:szCs w:val="14"/>
                <w:color w:val="auto"/>
                <w:w w:val="92"/>
              </w:rPr>
              <w:t>Preferred Stock, $0.001 par value</w:t>
            </w:r>
          </w:p>
        </w:tc>
        <w:tc>
          <w:tcPr>
            <w:tcW w:w="5040" w:type="dxa"/>
            <w:vAlign w:val="bottom"/>
          </w:tcPr>
          <w:p>
            <w:pPr>
              <w:spacing w:after="0"/>
              <w:rPr>
                <w:sz w:val="15"/>
                <w:szCs w:val="15"/>
                <w:color w:val="auto"/>
              </w:rPr>
            </w:pPr>
          </w:p>
        </w:tc>
      </w:tr>
    </w:tbl>
    <w:p>
      <w:pPr>
        <w:spacing w:after="0" w:line="155" w:lineRule="exact"/>
        <w:rPr>
          <w:sz w:val="24"/>
          <w:szCs w:val="24"/>
          <w:color w:val="auto"/>
        </w:rPr>
      </w:pPr>
    </w:p>
    <w:p>
      <w:pPr>
        <w:ind w:left="4060"/>
        <w:spacing w:after="0"/>
        <w:rPr>
          <w:sz w:val="20"/>
          <w:szCs w:val="20"/>
          <w:color w:val="auto"/>
        </w:rPr>
      </w:pPr>
      <w:r>
        <w:rPr>
          <w:rFonts w:ascii="Arial" w:cs="Arial" w:eastAsia="Arial" w:hAnsi="Arial"/>
          <w:sz w:val="14"/>
          <w:szCs w:val="14"/>
          <w:color w:val="auto"/>
        </w:rPr>
        <w:t>Securities registered pursuant to Section 12(g) of the Act:</w:t>
      </w:r>
    </w:p>
    <w:p>
      <w:pPr>
        <w:sectPr>
          <w:pgSz w:w="11900" w:h="16838" w:orient="portrait"/>
          <w:cols w:equalWidth="0" w:num="1">
            <w:col w:w="10980"/>
          </w:cols>
          <w:pgMar w:left="240" w:top="229" w:right="679" w:bottom="1440" w:gutter="0" w:footer="0" w:header="0"/>
        </w:sectPr>
      </w:pPr>
    </w:p>
    <w:p>
      <w:pPr>
        <w:spacing w:after="0" w:line="200" w:lineRule="exact"/>
        <w:rPr>
          <w:sz w:val="24"/>
          <w:szCs w:val="24"/>
          <w:color w:val="auto"/>
        </w:rPr>
      </w:pPr>
    </w:p>
    <w:p>
      <w:pPr>
        <w:spacing w:after="0" w:line="310" w:lineRule="exact"/>
        <w:rPr>
          <w:sz w:val="24"/>
          <w:szCs w:val="24"/>
          <w:color w:val="auto"/>
        </w:rPr>
      </w:pPr>
    </w:p>
    <w:p>
      <w:pPr>
        <w:jc w:val="center"/>
        <w:ind w:left="98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931545</wp:posOffset>
            </wp:positionH>
            <wp:positionV relativeFrom="paragraph">
              <wp:posOffset>23495</wp:posOffset>
            </wp:positionV>
            <wp:extent cx="25730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9" w:lineRule="exact"/>
        <w:rPr>
          <w:sz w:val="24"/>
          <w:szCs w:val="24"/>
          <w:color w:val="auto"/>
        </w:rPr>
      </w:pPr>
    </w:p>
    <w:p>
      <w:pPr>
        <w:ind w:left="2420"/>
        <w:spacing w:after="0"/>
        <w:rPr>
          <w:sz w:val="20"/>
          <w:szCs w:val="20"/>
          <w:color w:val="auto"/>
        </w:rPr>
      </w:pPr>
      <w:r>
        <w:rPr>
          <w:rFonts w:ascii="Arial" w:cs="Arial" w:eastAsia="Arial" w:hAnsi="Arial"/>
          <w:sz w:val="12"/>
          <w:szCs w:val="12"/>
          <w:color w:val="auto"/>
        </w:rPr>
        <w:t>4.50% Series J Convertible Perpetual</w:t>
      </w:r>
    </w:p>
    <w:p>
      <w:pPr>
        <w:spacing w:after="0" w:line="23" w:lineRule="exact"/>
        <w:rPr>
          <w:sz w:val="24"/>
          <w:szCs w:val="24"/>
          <w:color w:val="auto"/>
        </w:rPr>
      </w:pPr>
    </w:p>
    <w:p>
      <w:pPr>
        <w:ind w:left="2520"/>
        <w:spacing w:after="0"/>
        <w:rPr>
          <w:sz w:val="20"/>
          <w:szCs w:val="20"/>
          <w:color w:val="auto"/>
        </w:rPr>
      </w:pPr>
      <w:r>
        <w:rPr>
          <w:rFonts w:ascii="Arial" w:cs="Arial" w:eastAsia="Arial" w:hAnsi="Arial"/>
          <w:sz w:val="13"/>
          <w:szCs w:val="13"/>
          <w:color w:val="auto"/>
        </w:rPr>
        <w:t>Preferred Stock, $0.001 par value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0" w:lineRule="exact"/>
        <w:rPr>
          <w:sz w:val="24"/>
          <w:szCs w:val="24"/>
          <w:color w:val="auto"/>
        </w:rPr>
      </w:pPr>
    </w:p>
    <w:p>
      <w:pPr>
        <w:jc w:val="center"/>
        <w:ind w:right="1820"/>
        <w:spacing w:after="0"/>
        <w:rPr>
          <w:sz w:val="20"/>
          <w:szCs w:val="20"/>
          <w:color w:val="auto"/>
        </w:rPr>
      </w:pPr>
      <w:r>
        <w:rPr>
          <w:rFonts w:ascii="Arial" w:cs="Arial" w:eastAsia="Arial" w:hAnsi="Arial"/>
          <w:sz w:val="12"/>
          <w:szCs w:val="12"/>
          <w:b w:val="1"/>
          <w:bCs w:val="1"/>
          <w:color w:val="auto"/>
        </w:rPr>
        <w:t>Name of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-513715</wp:posOffset>
            </wp:positionH>
            <wp:positionV relativeFrom="paragraph">
              <wp:posOffset>38100</wp:posOffset>
            </wp:positionV>
            <wp:extent cx="25730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62" w:lineRule="exact"/>
        <w:rPr>
          <w:sz w:val="24"/>
          <w:szCs w:val="24"/>
          <w:color w:val="auto"/>
        </w:rPr>
      </w:pPr>
    </w:p>
    <w:p>
      <w:pPr>
        <w:ind w:left="1100"/>
        <w:spacing w:after="0"/>
        <w:rPr>
          <w:sz w:val="20"/>
          <w:szCs w:val="20"/>
          <w:color w:val="auto"/>
        </w:rPr>
      </w:pPr>
      <w:r>
        <w:rPr>
          <w:rFonts w:ascii="Arial" w:cs="Arial" w:eastAsia="Arial" w:hAnsi="Arial"/>
          <w:sz w:val="14"/>
          <w:szCs w:val="14"/>
          <w:color w:val="auto"/>
        </w:rPr>
        <w:t>N/A</w:t>
      </w:r>
    </w:p>
    <w:p>
      <w:pPr>
        <w:sectPr>
          <w:pgSz w:w="11900" w:h="16838" w:orient="portrait"/>
          <w:cols w:equalWidth="0" w:num="2">
            <w:col w:w="6000" w:space="720"/>
            <w:col w:w="4260"/>
          </w:cols>
          <w:pgMar w:left="240" w:top="229" w:right="679" w:bottom="1440" w:gutter="0" w:footer="0" w:header="0"/>
          <w:type w:val="continuous"/>
        </w:sectPr>
      </w:pPr>
    </w:p>
    <w:bookmarkStart w:id="1" w:name="page2"/>
    <w:bookmarkEnd w:id="1"/>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0"/>
        <w:spacing w:after="0" w:line="150"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No o</w:t>
      </w:r>
    </w:p>
    <w:p>
      <w:pPr>
        <w:spacing w:after="0" w:line="200" w:lineRule="exact"/>
        <w:rPr>
          <w:sz w:val="20"/>
          <w:szCs w:val="20"/>
          <w:color w:val="auto"/>
        </w:rPr>
      </w:pPr>
    </w:p>
    <w:p>
      <w:pPr>
        <w:sectPr>
          <w:pgSz w:w="11900" w:h="16838" w:orient="portrait"/>
          <w:cols w:equalWidth="0" w:num="2">
            <w:col w:w="7760" w:space="160"/>
            <w:col w:w="3500"/>
          </w:cols>
          <w:pgMar w:left="240" w:top="121" w:right="239" w:bottom="1440" w:gutter="0" w:footer="0" w:header="0"/>
          <w:type w:val="continuous"/>
        </w:sectPr>
      </w:pPr>
    </w:p>
    <w:p>
      <w:pPr>
        <w:spacing w:after="0" w:line="44" w:lineRule="exact"/>
        <w:rPr>
          <w:sz w:val="20"/>
          <w:szCs w:val="20"/>
          <w:color w:val="auto"/>
        </w:rPr>
      </w:pPr>
    </w:p>
    <w:p>
      <w:pPr>
        <w:ind w:left="600"/>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o No </w:t>
      </w:r>
      <w:r>
        <w:rPr>
          <w:rFonts w:ascii="MS PGothic" w:cs="MS PGothic" w:eastAsia="MS PGothic" w:hAnsi="MS PGothic"/>
          <w:sz w:val="14"/>
          <w:szCs w:val="14"/>
          <w:color w:val="auto"/>
        </w:rPr>
        <w:t>☒</w:t>
      </w:r>
    </w:p>
    <w:p>
      <w:pPr>
        <w:spacing w:after="0" w:line="299" w:lineRule="exact"/>
        <w:rPr>
          <w:sz w:val="20"/>
          <w:szCs w:val="20"/>
          <w:color w:val="auto"/>
        </w:rPr>
      </w:pPr>
    </w:p>
    <w:p>
      <w:pPr>
        <w:ind w:right="20" w:firstLine="594"/>
        <w:spacing w:after="0" w:line="180" w:lineRule="exact"/>
        <w:rPr>
          <w:sz w:val="20"/>
          <w:szCs w:val="20"/>
          <w:color w:val="auto"/>
        </w:rPr>
      </w:pPr>
      <w:r>
        <w:rPr>
          <w:rFonts w:ascii="Arial" w:cs="Arial" w:eastAsia="Arial" w:hAnsi="Arial"/>
          <w:sz w:val="14"/>
          <w:szCs w:val="14"/>
          <w:color w:val="auto"/>
        </w:rPr>
        <w:t xml:space="preserve">Indicate by check mark whether the registrant: (i) has filed all reports required to be filed by Section 13 or 15(d) of the Securities Exchange Act of 1934 during the preceding twelve months (or for such shorter period that the registrant was required to file such reports); and (ii)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235" w:lineRule="exact"/>
        <w:rPr>
          <w:sz w:val="20"/>
          <w:szCs w:val="20"/>
          <w:color w:val="auto"/>
        </w:rPr>
      </w:pPr>
    </w:p>
    <w:p>
      <w:pPr>
        <w:ind w:firstLine="594"/>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ectPr>
          <w:pgSz w:w="11900" w:h="16838" w:orient="portrait"/>
          <w:cols w:equalWidth="0" w:num="1">
            <w:col w:w="11420"/>
          </w:cols>
          <w:pgMar w:left="240" w:top="121" w:right="239" w:bottom="1440" w:gutter="0" w:footer="0" w:header="0"/>
          <w:type w:val="continuous"/>
        </w:sectPr>
      </w:pPr>
    </w:p>
    <w:p>
      <w:pPr>
        <w:spacing w:after="0" w:line="234" w:lineRule="exact"/>
        <w:rPr>
          <w:sz w:val="20"/>
          <w:szCs w:val="20"/>
          <w:color w:val="auto"/>
        </w:rPr>
      </w:pPr>
    </w:p>
    <w:p>
      <w:pPr>
        <w:ind w:firstLine="594"/>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235" w:lineRule="exact"/>
        <w:rPr>
          <w:sz w:val="20"/>
          <w:szCs w:val="20"/>
          <w:color w:val="auto"/>
        </w:rPr>
      </w:pPr>
    </w:p>
    <w:p>
      <w:pPr>
        <w:ind w:firstLine="594"/>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00" w:lineRule="exact"/>
        <w:rPr>
          <w:sz w:val="20"/>
          <w:szCs w:val="20"/>
          <w:color w:val="auto"/>
        </w:rPr>
      </w:pPr>
    </w:p>
    <w:p>
      <w:pPr>
        <w:spacing w:after="0" w:line="379" w:lineRule="exact"/>
        <w:rPr>
          <w:sz w:val="20"/>
          <w:szCs w:val="20"/>
          <w:color w:val="auto"/>
        </w:rPr>
      </w:pPr>
    </w:p>
    <w:tbl>
      <w:tblPr>
        <w:tblLayout w:type="fixed"/>
        <w:tblInd w:w="200" w:type="dxa"/>
        <w:tblCellMar>
          <w:top w:w="0" w:type="dxa"/>
          <w:left w:w="0" w:type="dxa"/>
          <w:bottom w:w="0" w:type="dxa"/>
          <w:right w:w="0" w:type="dxa"/>
        </w:tblCellMar>
      </w:tblPr>
      <w:tr>
        <w:trPr>
          <w:trHeight w:val="182"/>
        </w:trPr>
        <w:tc>
          <w:tcPr>
            <w:tcW w:w="22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380" w:type="dxa"/>
            <w:vAlign w:val="bottom"/>
          </w:tcPr>
          <w:p>
            <w:pPr>
              <w:jc w:val="center"/>
              <w:spacing w:after="0"/>
              <w:rPr>
                <w:sz w:val="20"/>
                <w:szCs w:val="20"/>
                <w:color w:val="auto"/>
              </w:rPr>
            </w:pPr>
            <w:r>
              <w:rPr>
                <w:rFonts w:ascii="Arial" w:cs="Arial" w:eastAsia="Arial" w:hAnsi="Arial"/>
                <w:sz w:val="14"/>
                <w:szCs w:val="14"/>
                <w:color w:val="auto"/>
                <w:w w:val="93"/>
              </w:rPr>
              <w:t>Non-accelerated filer o</w:t>
            </w: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00" w:type="dxa"/>
            <w:vAlign w:val="bottom"/>
            <w:vMerge w:val="restart"/>
          </w:tcPr>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2680" w:type="dxa"/>
            <w:vAlign w:val="bottom"/>
          </w:tcPr>
          <w:p>
            <w:pPr>
              <w:spacing w:after="0"/>
              <w:rPr>
                <w:sz w:val="15"/>
                <w:szCs w:val="15"/>
                <w:color w:val="auto"/>
              </w:rPr>
            </w:pPr>
          </w:p>
        </w:tc>
        <w:tc>
          <w:tcPr>
            <w:tcW w:w="3380" w:type="dxa"/>
            <w:vAlign w:val="bottom"/>
          </w:tcPr>
          <w:p>
            <w:pPr>
              <w:ind w:left="1180"/>
              <w:spacing w:after="0"/>
              <w:rPr>
                <w:sz w:val="20"/>
                <w:szCs w:val="20"/>
                <w:color w:val="auto"/>
              </w:rPr>
            </w:pPr>
            <w:r>
              <w:rPr>
                <w:rFonts w:ascii="Arial" w:cs="Arial" w:eastAsia="Arial" w:hAnsi="Arial"/>
                <w:sz w:val="14"/>
                <w:szCs w:val="14"/>
                <w:color w:val="auto"/>
              </w:rPr>
              <w:t>(Do not check if a</w:t>
            </w: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200" w:type="dxa"/>
            <w:vAlign w:val="bottom"/>
            <w:vMerge w:val="continue"/>
          </w:tcPr>
          <w:p>
            <w:pPr>
              <w:spacing w:after="0"/>
              <w:rPr>
                <w:sz w:val="16"/>
                <w:szCs w:val="16"/>
                <w:color w:val="auto"/>
              </w:rPr>
            </w:pPr>
          </w:p>
        </w:tc>
        <w:tc>
          <w:tcPr>
            <w:tcW w:w="2680" w:type="dxa"/>
            <w:vAlign w:val="bottom"/>
          </w:tcPr>
          <w:p>
            <w:pPr>
              <w:ind w:left="740"/>
              <w:spacing w:after="0"/>
              <w:rPr>
                <w:sz w:val="20"/>
                <w:szCs w:val="20"/>
                <w:color w:val="auto"/>
              </w:rPr>
            </w:pPr>
            <w:r>
              <w:rPr>
                <w:rFonts w:ascii="Arial" w:cs="Arial" w:eastAsia="Arial" w:hAnsi="Arial"/>
                <w:sz w:val="14"/>
                <w:szCs w:val="14"/>
                <w:color w:val="auto"/>
              </w:rPr>
              <w:t>Accelerated filer o</w:t>
            </w:r>
          </w:p>
        </w:tc>
        <w:tc>
          <w:tcPr>
            <w:tcW w:w="3380" w:type="dxa"/>
            <w:vAlign w:val="bottom"/>
          </w:tcPr>
          <w:p>
            <w:pPr>
              <w:jc w:val="center"/>
              <w:spacing w:after="0"/>
              <w:rPr>
                <w:sz w:val="20"/>
                <w:szCs w:val="20"/>
                <w:color w:val="auto"/>
              </w:rPr>
            </w:pPr>
            <w:r>
              <w:rPr>
                <w:rFonts w:ascii="Arial" w:cs="Arial" w:eastAsia="Arial" w:hAnsi="Arial"/>
                <w:sz w:val="14"/>
                <w:szCs w:val="14"/>
                <w:color w:val="auto"/>
                <w:w w:val="94"/>
              </w:rPr>
              <w:t>smaller reporting company)</w:t>
            </w:r>
          </w:p>
        </w:tc>
        <w:tc>
          <w:tcPr>
            <w:tcW w:w="2600" w:type="dxa"/>
            <w:vAlign w:val="bottom"/>
          </w:tcPr>
          <w:p>
            <w:pPr>
              <w:ind w:left="920"/>
              <w:spacing w:after="0"/>
              <w:rPr>
                <w:sz w:val="20"/>
                <w:szCs w:val="20"/>
                <w:color w:val="auto"/>
              </w:rPr>
            </w:pPr>
            <w:r>
              <w:rPr>
                <w:rFonts w:ascii="Arial" w:cs="Arial" w:eastAsia="Arial" w:hAnsi="Arial"/>
                <w:sz w:val="14"/>
                <w:szCs w:val="14"/>
                <w:color w:val="auto"/>
                <w:w w:val="92"/>
              </w:rPr>
              <w:t>Smaller reporting company o</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600"/>
        <w:spacing w:after="0" w:line="161" w:lineRule="exact"/>
        <w:tabs>
          <w:tab w:leader="none" w:pos="700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 Yes o</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299" w:lineRule="exact"/>
        <w:rPr>
          <w:sz w:val="20"/>
          <w:szCs w:val="20"/>
          <w:color w:val="auto"/>
        </w:rPr>
      </w:pPr>
    </w:p>
    <w:p>
      <w:pPr>
        <w:ind w:firstLine="594"/>
        <w:spacing w:after="0" w:line="273" w:lineRule="auto"/>
        <w:rPr>
          <w:sz w:val="20"/>
          <w:szCs w:val="20"/>
          <w:color w:val="auto"/>
        </w:rPr>
      </w:pPr>
      <w:r>
        <w:rPr>
          <w:rFonts w:ascii="Arial" w:cs="Arial" w:eastAsia="Arial" w:hAnsi="Arial"/>
          <w:sz w:val="14"/>
          <w:szCs w:val="14"/>
          <w:color w:val="auto"/>
        </w:rPr>
        <w:t>As of June 30, 2016 the aggregate market value of iStar Inc. common stock, $0.001 par value per share, held by non-affiliates (1) of the registrant was approximately $673 million, based upon the closing price of $9.59 on the New York Stock Exchange composite tape on such date.</w:t>
      </w:r>
    </w:p>
    <w:p>
      <w:pPr>
        <w:spacing w:after="0" w:line="228" w:lineRule="exact"/>
        <w:rPr>
          <w:sz w:val="20"/>
          <w:szCs w:val="20"/>
          <w:color w:val="auto"/>
        </w:rPr>
      </w:pPr>
    </w:p>
    <w:p>
      <w:pPr>
        <w:ind w:left="600"/>
        <w:spacing w:after="0"/>
        <w:rPr>
          <w:sz w:val="20"/>
          <w:szCs w:val="20"/>
          <w:color w:val="auto"/>
        </w:rPr>
      </w:pPr>
      <w:r>
        <w:rPr>
          <w:rFonts w:ascii="Arial" w:cs="Arial" w:eastAsia="Arial" w:hAnsi="Arial"/>
          <w:sz w:val="14"/>
          <w:szCs w:val="14"/>
          <w:color w:val="auto"/>
        </w:rPr>
        <w:t>As of February 23, 2017, there were 72,042,468 shares of common stock outstanding.</w:t>
      </w:r>
    </w:p>
    <w:p>
      <w:pPr>
        <w:spacing w:after="0" w:line="13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For purposes of this Annual Report only, includes all outstanding common stock other than common stock held directly by the registrant's directors and executive officers.</w:t>
      </w:r>
    </w:p>
    <w:p>
      <w:pPr>
        <w:spacing w:after="0" w:line="132" w:lineRule="exact"/>
        <w:rPr>
          <w:rFonts w:ascii="Arial" w:cs="Arial" w:eastAsia="Arial" w:hAnsi="Arial"/>
          <w:sz w:val="14"/>
          <w:szCs w:val="14"/>
          <w:color w:val="auto"/>
        </w:rPr>
      </w:pPr>
    </w:p>
    <w:p>
      <w:pPr>
        <w:ind w:left="4060"/>
        <w:spacing w:after="0"/>
        <w:rPr>
          <w:rFonts w:ascii="Arial" w:cs="Arial" w:eastAsia="Arial" w:hAnsi="Arial"/>
          <w:sz w:val="14"/>
          <w:szCs w:val="14"/>
          <w:color w:val="auto"/>
        </w:rPr>
      </w:pPr>
      <w:r>
        <w:rPr>
          <w:rFonts w:ascii="Arial" w:cs="Arial" w:eastAsia="Arial" w:hAnsi="Arial"/>
          <w:sz w:val="14"/>
          <w:szCs w:val="14"/>
          <w:b w:val="1"/>
          <w:bCs w:val="1"/>
          <w:color w:val="auto"/>
        </w:rPr>
        <w:t>DOCUMENTS INCORPORATED BY REFERENCE</w:t>
      </w:r>
    </w:p>
    <w:p>
      <w:pPr>
        <w:spacing w:after="0" w:line="275" w:lineRule="exact"/>
        <w:rPr>
          <w:sz w:val="20"/>
          <w:szCs w:val="20"/>
          <w:color w:val="auto"/>
        </w:rPr>
      </w:pPr>
    </w:p>
    <w:p>
      <w:pPr>
        <w:ind w:left="660" w:right="40" w:hanging="328"/>
        <w:spacing w:after="0" w:line="273"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Portions of the registrant's definitive proxy statement for the registrant's 2017 Annual Meeting, to be filed within 120 days after the close of the registrant's fiscal year,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774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7747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 w:name="page3"/>
    <w:bookmarkEnd w:id="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320" w:type="dxa"/>
            <w:vAlign w:val="bottom"/>
            <w:gridSpan w:val="10"/>
          </w:tcPr>
          <w:p>
            <w:pPr>
              <w:ind w:left="34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750"/>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Page</w:t>
            </w:r>
          </w:p>
        </w:tc>
      </w:tr>
      <w:tr>
        <w:trPr>
          <w:trHeight w:val="196"/>
        </w:trPr>
        <w:tc>
          <w:tcPr>
            <w:tcW w:w="1140" w:type="dxa"/>
            <w:vAlign w:val="bottom"/>
            <w:gridSpan w:val="6"/>
          </w:tcPr>
          <w:p>
            <w:pPr>
              <w:spacing w:after="0" w:line="170" w:lineRule="exact"/>
              <w:rPr>
                <w:sz w:val="20"/>
                <w:szCs w:val="20"/>
                <w:color w:val="auto"/>
              </w:rPr>
            </w:pPr>
            <w:r>
              <w:rPr>
                <w:rFonts w:ascii="Arial" w:cs="Arial" w:eastAsia="Arial" w:hAnsi="Arial"/>
                <w:sz w:val="18"/>
                <w:szCs w:val="18"/>
                <w:b w:val="1"/>
                <w:bCs w:val="1"/>
                <w:color w:val="0000EE"/>
              </w:rPr>
              <w:t>PART I</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80" w:type="dxa"/>
            <w:vAlign w:val="bottom"/>
            <w:gridSpan w:val="5"/>
          </w:tcPr>
          <w:p>
            <w:pPr>
              <w:jc w:val="right"/>
              <w:ind w:right="20"/>
              <w:spacing w:after="0" w:line="170"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57"/>
        </w:trPr>
        <w:tc>
          <w:tcPr>
            <w:tcW w:w="500" w:type="dxa"/>
            <w:vAlign w:val="bottom"/>
            <w:tcBorders>
              <w:top w:val="single" w:sz="8" w:color="0000EE"/>
            </w:tcBorders>
          </w:tcPr>
          <w:p>
            <w:pPr>
              <w:spacing w:after="0"/>
              <w:rPr>
                <w:rFonts w:ascii="Arial" w:cs="Arial" w:eastAsia="Arial" w:hAnsi="Arial"/>
                <w:sz w:val="18"/>
                <w:szCs w:val="18"/>
                <w:color w:val="0000EE"/>
                <w:w w:val="83"/>
              </w:rPr>
            </w:pPr>
            <w:hyperlink w:anchor="page4">
              <w:r>
                <w:rPr>
                  <w:rFonts w:ascii="Arial" w:cs="Arial" w:eastAsia="Arial" w:hAnsi="Arial"/>
                  <w:sz w:val="18"/>
                  <w:szCs w:val="18"/>
                  <w:color w:val="0000EE"/>
                  <w:w w:val="83"/>
                </w:rPr>
                <w:t>Item 1.</w:t>
              </w:r>
            </w:hyperlink>
          </w:p>
        </w:tc>
        <w:tc>
          <w:tcPr>
            <w:tcW w:w="80" w:type="dxa"/>
            <w:vAlign w:val="bottom"/>
            <w:tcBorders>
              <w:top w:val="single" w:sz="8" w:color="0000EE"/>
            </w:tcBorders>
          </w:tcPr>
          <w:p>
            <w:pPr>
              <w:spacing w:after="0"/>
              <w:rPr>
                <w:sz w:val="22"/>
                <w:szCs w:val="22"/>
                <w:color w:val="auto"/>
              </w:rPr>
            </w:pPr>
          </w:p>
        </w:tc>
        <w:tc>
          <w:tcPr>
            <w:tcW w:w="560" w:type="dxa"/>
            <w:vAlign w:val="bottom"/>
            <w:gridSpan w:val="4"/>
          </w:tcPr>
          <w:p>
            <w:pPr>
              <w:spacing w:after="0"/>
              <w:rPr>
                <w:sz w:val="22"/>
                <w:szCs w:val="22"/>
                <w:color w:val="auto"/>
              </w:rPr>
            </w:pPr>
          </w:p>
        </w:tc>
        <w:tc>
          <w:tcPr>
            <w:tcW w:w="956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60" w:type="dxa"/>
            <w:vAlign w:val="bottom"/>
            <w:gridSpan w:val="3"/>
          </w:tcPr>
          <w:p>
            <w:pPr>
              <w:spacing w:after="0"/>
              <w:rPr>
                <w:sz w:val="22"/>
                <w:szCs w:val="22"/>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20" w:type="dxa"/>
            <w:vAlign w:val="bottom"/>
          </w:tcPr>
          <w:p>
            <w:pPr>
              <w:spacing w:after="0"/>
              <w:rPr>
                <w:sz w:val="22"/>
                <w:szCs w:val="22"/>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6"/>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Item 1a.</w:t>
              </w:r>
            </w:hyperlink>
          </w:p>
        </w:tc>
        <w:tc>
          <w:tcPr>
            <w:tcW w:w="9560" w:type="dxa"/>
            <w:vAlign w:val="bottom"/>
            <w:gridSpan w:val="19"/>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17">
              <w:r>
                <w:rPr>
                  <w:rFonts w:ascii="Arial" w:cs="Arial" w:eastAsia="Arial" w:hAnsi="Arial"/>
                  <w:sz w:val="18"/>
                  <w:szCs w:val="18"/>
                  <w:color w:val="0000EE"/>
                </w:rPr>
                <w:t>14</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28">
              <w:r>
                <w:rPr>
                  <w:rFonts w:ascii="Arial" w:cs="Arial" w:eastAsia="Arial" w:hAnsi="Arial"/>
                  <w:sz w:val="18"/>
                  <w:szCs w:val="18"/>
                  <w:color w:val="0000EE"/>
                  <w:w w:val="82"/>
                </w:rPr>
                <w:t>Item 1b.</w:t>
              </w:r>
            </w:hyperlink>
          </w:p>
        </w:tc>
        <w:tc>
          <w:tcPr>
            <w:tcW w:w="560" w:type="dxa"/>
            <w:vAlign w:val="bottom"/>
            <w:gridSpan w:val="4"/>
          </w:tcPr>
          <w:p>
            <w:pPr>
              <w:spacing w:after="0"/>
              <w:rPr>
                <w:sz w:val="21"/>
                <w:szCs w:val="21"/>
                <w:color w:val="auto"/>
              </w:rPr>
            </w:pPr>
          </w:p>
        </w:tc>
        <w:tc>
          <w:tcPr>
            <w:tcW w:w="9560" w:type="dxa"/>
            <w:vAlign w:val="bottom"/>
            <w:gridSpan w:val="1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Unresolved Staff Comments</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Arial" w:cs="Arial" w:eastAsia="Arial" w:hAnsi="Arial"/>
                <w:sz w:val="18"/>
                <w:szCs w:val="18"/>
                <w:color w:val="0000EE"/>
                <w:w w:val="83"/>
              </w:rPr>
            </w:pPr>
            <w:hyperlink w:anchor="page28">
              <w:r>
                <w:rPr>
                  <w:rFonts w:ascii="Arial" w:cs="Arial" w:eastAsia="Arial" w:hAnsi="Arial"/>
                  <w:sz w:val="18"/>
                  <w:szCs w:val="18"/>
                  <w:color w:val="0000EE"/>
                  <w:w w:val="83"/>
                </w:rPr>
                <w:t>Item 2.</w:t>
              </w:r>
            </w:hyperlink>
          </w:p>
        </w:tc>
        <w:tc>
          <w:tcPr>
            <w:tcW w:w="80" w:type="dxa"/>
            <w:vAlign w:val="bottom"/>
          </w:tcPr>
          <w:p>
            <w:pPr>
              <w:spacing w:after="0"/>
              <w:rPr>
                <w:sz w:val="21"/>
                <w:szCs w:val="21"/>
                <w:color w:val="auto"/>
              </w:rPr>
            </w:pPr>
          </w:p>
        </w:tc>
        <w:tc>
          <w:tcPr>
            <w:tcW w:w="560" w:type="dxa"/>
            <w:vAlign w:val="bottom"/>
            <w:gridSpan w:val="4"/>
          </w:tcPr>
          <w:p>
            <w:pPr>
              <w:spacing w:after="0"/>
              <w:rPr>
                <w:sz w:val="21"/>
                <w:szCs w:val="21"/>
                <w:color w:val="auto"/>
              </w:rPr>
            </w:pPr>
          </w:p>
        </w:tc>
        <w:tc>
          <w:tcPr>
            <w:tcW w:w="740" w:type="dxa"/>
            <w:vAlign w:val="bottom"/>
            <w:gridSpan w:val="2"/>
          </w:tcPr>
          <w:p>
            <w:pPr>
              <w:spacing w:after="0"/>
              <w:rPr>
                <w:rFonts w:ascii="Arial" w:cs="Arial" w:eastAsia="Arial" w:hAnsi="Arial"/>
                <w:sz w:val="18"/>
                <w:szCs w:val="18"/>
                <w:color w:val="0000EE"/>
                <w:w w:val="87"/>
              </w:rPr>
            </w:pPr>
            <w:hyperlink w:anchor="page28">
              <w:r>
                <w:rPr>
                  <w:rFonts w:ascii="Arial" w:cs="Arial" w:eastAsia="Arial" w:hAnsi="Arial"/>
                  <w:sz w:val="18"/>
                  <w:szCs w:val="18"/>
                  <w:color w:val="0000EE"/>
                  <w:w w:val="87"/>
                </w:rPr>
                <w:t>Properties</w:t>
              </w:r>
            </w:hyperlink>
          </w:p>
        </w:tc>
        <w:tc>
          <w:tcPr>
            <w:tcW w:w="1300" w:type="dxa"/>
            <w:vAlign w:val="bottom"/>
            <w:gridSpan w:val="6"/>
          </w:tcPr>
          <w:p>
            <w:pPr>
              <w:spacing w:after="0"/>
              <w:rPr>
                <w:sz w:val="21"/>
                <w:szCs w:val="21"/>
                <w:color w:val="auto"/>
              </w:rPr>
            </w:pPr>
          </w:p>
        </w:tc>
        <w:tc>
          <w:tcPr>
            <w:tcW w:w="7520" w:type="dxa"/>
            <w:vAlign w:val="bottom"/>
            <w:gridSpan w:val="11"/>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Arial" w:cs="Arial" w:eastAsia="Arial" w:hAnsi="Arial"/>
                <w:sz w:val="18"/>
                <w:szCs w:val="18"/>
                <w:color w:val="0000EE"/>
                <w:w w:val="83"/>
              </w:rPr>
            </w:pPr>
            <w:hyperlink w:anchor="page28">
              <w:r>
                <w:rPr>
                  <w:rFonts w:ascii="Arial" w:cs="Arial" w:eastAsia="Arial" w:hAnsi="Arial"/>
                  <w:sz w:val="18"/>
                  <w:szCs w:val="18"/>
                  <w:color w:val="0000EE"/>
                  <w:w w:val="83"/>
                </w:rPr>
                <w:t>Item 3.</w:t>
              </w:r>
            </w:hyperlink>
          </w:p>
        </w:tc>
        <w:tc>
          <w:tcPr>
            <w:tcW w:w="640" w:type="dxa"/>
            <w:vAlign w:val="bottom"/>
            <w:gridSpan w:val="5"/>
          </w:tcPr>
          <w:p>
            <w:pPr>
              <w:spacing w:after="0"/>
              <w:rPr>
                <w:sz w:val="21"/>
                <w:szCs w:val="21"/>
                <w:color w:val="auto"/>
              </w:rPr>
            </w:pPr>
          </w:p>
        </w:tc>
        <w:tc>
          <w:tcPr>
            <w:tcW w:w="1340" w:type="dxa"/>
            <w:vAlign w:val="bottom"/>
            <w:gridSpan w:val="4"/>
          </w:tcPr>
          <w:p>
            <w:pPr>
              <w:spacing w:after="0"/>
              <w:rPr>
                <w:rFonts w:ascii="Arial" w:cs="Arial" w:eastAsia="Arial" w:hAnsi="Arial"/>
                <w:sz w:val="18"/>
                <w:szCs w:val="18"/>
                <w:color w:val="0000EE"/>
                <w:w w:val="87"/>
              </w:rPr>
            </w:pPr>
            <w:hyperlink w:anchor="page28">
              <w:r>
                <w:rPr>
                  <w:rFonts w:ascii="Arial" w:cs="Arial" w:eastAsia="Arial" w:hAnsi="Arial"/>
                  <w:sz w:val="18"/>
                  <w:szCs w:val="18"/>
                  <w:color w:val="0000EE"/>
                  <w:w w:val="87"/>
                </w:rPr>
                <w:t>Legal Proceedings</w:t>
              </w:r>
            </w:hyperlink>
          </w:p>
        </w:tc>
        <w:tc>
          <w:tcPr>
            <w:tcW w:w="8220" w:type="dxa"/>
            <w:vAlign w:val="bottom"/>
            <w:gridSpan w:val="15"/>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Arial" w:cs="Arial" w:eastAsia="Arial" w:hAnsi="Arial"/>
                <w:sz w:val="18"/>
                <w:szCs w:val="18"/>
                <w:color w:val="0000EE"/>
                <w:w w:val="83"/>
              </w:rPr>
            </w:pPr>
            <w:hyperlink w:anchor="page28">
              <w:r>
                <w:rPr>
                  <w:rFonts w:ascii="Arial" w:cs="Arial" w:eastAsia="Arial" w:hAnsi="Arial"/>
                  <w:sz w:val="18"/>
                  <w:szCs w:val="18"/>
                  <w:color w:val="0000EE"/>
                  <w:w w:val="83"/>
                </w:rPr>
                <w:t>Item 4.</w:t>
              </w:r>
            </w:hyperlink>
          </w:p>
        </w:tc>
        <w:tc>
          <w:tcPr>
            <w:tcW w:w="640" w:type="dxa"/>
            <w:vAlign w:val="bottom"/>
            <w:gridSpan w:val="5"/>
          </w:tcPr>
          <w:p>
            <w:pPr>
              <w:spacing w:after="0"/>
              <w:rPr>
                <w:sz w:val="21"/>
                <w:szCs w:val="21"/>
                <w:color w:val="auto"/>
              </w:rPr>
            </w:pPr>
          </w:p>
        </w:tc>
        <w:tc>
          <w:tcPr>
            <w:tcW w:w="9560" w:type="dxa"/>
            <w:vAlign w:val="bottom"/>
            <w:gridSpan w:val="1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Mine Safety Disclosures</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0000EE"/>
            </w:tcBorders>
            <w:shd w:val="clear" w:color="auto" w:fill="0000EE"/>
          </w:tcPr>
          <w:p>
            <w:pPr>
              <w:spacing w:after="0" w:line="20" w:lineRule="exact"/>
              <w:rPr>
                <w:sz w:val="1"/>
                <w:szCs w:val="1"/>
                <w:color w:val="auto"/>
              </w:rPr>
            </w:pPr>
          </w:p>
        </w:tc>
        <w:tc>
          <w:tcPr>
            <w:tcW w:w="100" w:type="dxa"/>
            <w:vAlign w:val="bottom"/>
            <w:tcBorders>
              <w:bottom w:val="single" w:sz="8" w:color="0000EE"/>
            </w:tcBorders>
            <w:shd w:val="clear" w:color="auto" w:fill="0000EE"/>
          </w:tcPr>
          <w:p>
            <w:pPr>
              <w:spacing w:after="0" w:line="20" w:lineRule="exact"/>
              <w:rPr>
                <w:sz w:val="1"/>
                <w:szCs w:val="1"/>
                <w:color w:val="auto"/>
              </w:rPr>
            </w:pPr>
          </w:p>
        </w:tc>
        <w:tc>
          <w:tcPr>
            <w:tcW w:w="160" w:type="dxa"/>
            <w:vAlign w:val="bottom"/>
            <w:tcBorders>
              <w:bottom w:val="single" w:sz="8" w:color="0000EE"/>
            </w:tcBorders>
            <w:shd w:val="clear" w:color="auto" w:fill="0000EE"/>
          </w:tcPr>
          <w:p>
            <w:pPr>
              <w:spacing w:after="0" w:line="20" w:lineRule="exact"/>
              <w:rPr>
                <w:sz w:val="1"/>
                <w:szCs w:val="1"/>
                <w:color w:val="auto"/>
              </w:rPr>
            </w:pPr>
          </w:p>
        </w:tc>
        <w:tc>
          <w:tcPr>
            <w:tcW w:w="440" w:type="dxa"/>
            <w:vAlign w:val="bottom"/>
            <w:tcBorders>
              <w:bottom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bottom w:val="single" w:sz="8" w:color="0000EE"/>
            </w:tcBorders>
            <w:shd w:val="clear" w:color="auto" w:fill="0000EE"/>
          </w:tcPr>
          <w:p>
            <w:pPr>
              <w:spacing w:after="0" w:line="20" w:lineRule="exact"/>
              <w:rPr>
                <w:sz w:val="1"/>
                <w:szCs w:val="1"/>
                <w:color w:val="auto"/>
              </w:rPr>
            </w:pPr>
          </w:p>
        </w:tc>
        <w:tc>
          <w:tcPr>
            <w:tcW w:w="220" w:type="dxa"/>
            <w:vAlign w:val="bottom"/>
            <w:tcBorders>
              <w:bottom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660" w:type="dxa"/>
            <w:vAlign w:val="bottom"/>
            <w:gridSpan w:val="3"/>
          </w:tcPr>
          <w:p>
            <w:pPr>
              <w:spacing w:after="0"/>
              <w:rPr>
                <w:rFonts w:ascii="Arial" w:cs="Arial" w:eastAsia="Arial" w:hAnsi="Arial"/>
                <w:sz w:val="18"/>
                <w:szCs w:val="18"/>
                <w:b w:val="1"/>
                <w:bCs w:val="1"/>
                <w:color w:val="0000EE"/>
                <w:w w:val="99"/>
              </w:rPr>
            </w:pPr>
            <w:hyperlink w:anchor="page29">
              <w:r>
                <w:rPr>
                  <w:rFonts w:ascii="Arial" w:cs="Arial" w:eastAsia="Arial" w:hAnsi="Arial"/>
                  <w:sz w:val="18"/>
                  <w:szCs w:val="18"/>
                  <w:b w:val="1"/>
                  <w:bCs w:val="1"/>
                  <w:color w:val="0000EE"/>
                  <w:w w:val="99"/>
                </w:rPr>
                <w:t>PART II</w:t>
              </w:r>
            </w:hyperlink>
          </w:p>
        </w:tc>
        <w:tc>
          <w:tcPr>
            <w:tcW w:w="480" w:type="dxa"/>
            <w:vAlign w:val="bottom"/>
            <w:gridSpan w:val="3"/>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26</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Arial" w:cs="Arial" w:eastAsia="Arial" w:hAnsi="Arial"/>
                <w:sz w:val="18"/>
                <w:szCs w:val="18"/>
                <w:color w:val="0000EE"/>
                <w:w w:val="83"/>
              </w:rPr>
            </w:pPr>
            <w:hyperlink w:anchor="page29">
              <w:r>
                <w:rPr>
                  <w:rFonts w:ascii="Arial" w:cs="Arial" w:eastAsia="Arial" w:hAnsi="Arial"/>
                  <w:sz w:val="18"/>
                  <w:szCs w:val="18"/>
                  <w:color w:val="0000EE"/>
                  <w:w w:val="83"/>
                </w:rPr>
                <w:t>Item 5.</w:t>
              </w:r>
            </w:hyperlink>
          </w:p>
        </w:tc>
        <w:tc>
          <w:tcPr>
            <w:tcW w:w="160" w:type="dxa"/>
            <w:vAlign w:val="bottom"/>
            <w:gridSpan w:val="2"/>
          </w:tcPr>
          <w:p>
            <w:pPr>
              <w:spacing w:after="0"/>
              <w:rPr>
                <w:sz w:val="21"/>
                <w:szCs w:val="21"/>
                <w:color w:val="auto"/>
              </w:rPr>
            </w:pPr>
          </w:p>
        </w:tc>
        <w:tc>
          <w:tcPr>
            <w:tcW w:w="480" w:type="dxa"/>
            <w:vAlign w:val="bottom"/>
            <w:gridSpan w:val="3"/>
          </w:tcPr>
          <w:p>
            <w:pPr>
              <w:spacing w:after="0"/>
              <w:rPr>
                <w:sz w:val="21"/>
                <w:szCs w:val="21"/>
                <w:color w:val="auto"/>
              </w:rPr>
            </w:pPr>
          </w:p>
        </w:tc>
        <w:tc>
          <w:tcPr>
            <w:tcW w:w="4140" w:type="dxa"/>
            <w:vAlign w:val="bottom"/>
            <w:gridSpan w:val="10"/>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Market for Registrant's Equity and Related Share Matters</w:t>
              </w:r>
            </w:hyperlink>
          </w:p>
        </w:tc>
        <w:tc>
          <w:tcPr>
            <w:tcW w:w="5420" w:type="dxa"/>
            <w:vAlign w:val="bottom"/>
            <w:gridSpan w:val="9"/>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Arial" w:cs="Arial" w:eastAsia="Arial" w:hAnsi="Arial"/>
                <w:sz w:val="18"/>
                <w:szCs w:val="18"/>
                <w:color w:val="0000EE"/>
                <w:w w:val="83"/>
              </w:rPr>
            </w:pPr>
            <w:hyperlink w:anchor="page31">
              <w:r>
                <w:rPr>
                  <w:rFonts w:ascii="Arial" w:cs="Arial" w:eastAsia="Arial" w:hAnsi="Arial"/>
                  <w:sz w:val="18"/>
                  <w:szCs w:val="18"/>
                  <w:color w:val="0000EE"/>
                  <w:w w:val="83"/>
                </w:rPr>
                <w:t>Item 6.</w:t>
              </w:r>
            </w:hyperlink>
          </w:p>
        </w:tc>
        <w:tc>
          <w:tcPr>
            <w:tcW w:w="640" w:type="dxa"/>
            <w:vAlign w:val="bottom"/>
            <w:gridSpan w:val="5"/>
          </w:tcPr>
          <w:p>
            <w:pPr>
              <w:spacing w:after="0"/>
              <w:rPr>
                <w:sz w:val="21"/>
                <w:szCs w:val="21"/>
                <w:color w:val="auto"/>
              </w:rPr>
            </w:pPr>
          </w:p>
        </w:tc>
        <w:tc>
          <w:tcPr>
            <w:tcW w:w="1720" w:type="dxa"/>
            <w:vAlign w:val="bottom"/>
            <w:gridSpan w:val="6"/>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Selected Financial Data</w:t>
              </w:r>
            </w:hyperlink>
          </w:p>
        </w:tc>
        <w:tc>
          <w:tcPr>
            <w:tcW w:w="2420" w:type="dxa"/>
            <w:vAlign w:val="bottom"/>
            <w:gridSpan w:val="4"/>
          </w:tcPr>
          <w:p>
            <w:pPr>
              <w:spacing w:after="0"/>
              <w:rPr>
                <w:sz w:val="21"/>
                <w:szCs w:val="21"/>
                <w:color w:val="auto"/>
              </w:rPr>
            </w:pPr>
          </w:p>
        </w:tc>
        <w:tc>
          <w:tcPr>
            <w:tcW w:w="5420" w:type="dxa"/>
            <w:vAlign w:val="bottom"/>
            <w:gridSpan w:val="9"/>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28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Arial" w:cs="Arial" w:eastAsia="Arial" w:hAnsi="Arial"/>
                <w:sz w:val="18"/>
                <w:szCs w:val="18"/>
                <w:color w:val="0000EE"/>
                <w:w w:val="83"/>
              </w:rPr>
            </w:pPr>
            <w:hyperlink w:anchor="page33">
              <w:r>
                <w:rPr>
                  <w:rFonts w:ascii="Arial" w:cs="Arial" w:eastAsia="Arial" w:hAnsi="Arial"/>
                  <w:sz w:val="18"/>
                  <w:szCs w:val="18"/>
                  <w:color w:val="0000EE"/>
                  <w:w w:val="83"/>
                </w:rPr>
                <w:t>Item 7.</w:t>
              </w:r>
            </w:hyperlink>
          </w:p>
        </w:tc>
        <w:tc>
          <w:tcPr>
            <w:tcW w:w="640" w:type="dxa"/>
            <w:vAlign w:val="bottom"/>
            <w:gridSpan w:val="5"/>
          </w:tcPr>
          <w:p>
            <w:pPr>
              <w:spacing w:after="0"/>
              <w:rPr>
                <w:sz w:val="21"/>
                <w:szCs w:val="21"/>
                <w:color w:val="auto"/>
              </w:rPr>
            </w:pPr>
          </w:p>
        </w:tc>
        <w:tc>
          <w:tcPr>
            <w:tcW w:w="9560" w:type="dxa"/>
            <w:vAlign w:val="bottom"/>
            <w:gridSpan w:val="1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Management's Discussion and Analysis of Financial Condition and Results of Operations</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6"/>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Item 7a.</w:t>
              </w:r>
            </w:hyperlink>
          </w:p>
        </w:tc>
        <w:tc>
          <w:tcPr>
            <w:tcW w:w="9560" w:type="dxa"/>
            <w:vAlign w:val="bottom"/>
            <w:gridSpan w:val="19"/>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Quantitative and Qualitative Disclosures about Market Risk</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50</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Arial" w:cs="Arial" w:eastAsia="Arial" w:hAnsi="Arial"/>
                <w:sz w:val="18"/>
                <w:szCs w:val="18"/>
                <w:color w:val="0000EE"/>
                <w:w w:val="83"/>
              </w:rPr>
            </w:pPr>
            <w:hyperlink w:anchor="page54">
              <w:r>
                <w:rPr>
                  <w:rFonts w:ascii="Arial" w:cs="Arial" w:eastAsia="Arial" w:hAnsi="Arial"/>
                  <w:sz w:val="18"/>
                  <w:szCs w:val="18"/>
                  <w:color w:val="0000EE"/>
                  <w:w w:val="83"/>
                </w:rPr>
                <w:t>Item 8.</w:t>
              </w:r>
            </w:hyperlink>
          </w:p>
        </w:tc>
        <w:tc>
          <w:tcPr>
            <w:tcW w:w="80" w:type="dxa"/>
            <w:vAlign w:val="bottom"/>
          </w:tcPr>
          <w:p>
            <w:pPr>
              <w:spacing w:after="0"/>
              <w:rPr>
                <w:sz w:val="21"/>
                <w:szCs w:val="21"/>
                <w:color w:val="auto"/>
              </w:rPr>
            </w:pPr>
          </w:p>
        </w:tc>
        <w:tc>
          <w:tcPr>
            <w:tcW w:w="560" w:type="dxa"/>
            <w:vAlign w:val="bottom"/>
            <w:gridSpan w:val="4"/>
          </w:tcPr>
          <w:p>
            <w:pPr>
              <w:spacing w:after="0"/>
              <w:rPr>
                <w:sz w:val="21"/>
                <w:szCs w:val="21"/>
                <w:color w:val="auto"/>
              </w:rPr>
            </w:pPr>
          </w:p>
        </w:tc>
        <w:tc>
          <w:tcPr>
            <w:tcW w:w="3240" w:type="dxa"/>
            <w:vAlign w:val="bottom"/>
            <w:gridSpan w:val="9"/>
          </w:tcPr>
          <w:p>
            <w:pPr>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Financial Statements and Supplemental Data</w:t>
              </w:r>
            </w:hyperlink>
          </w:p>
        </w:tc>
        <w:tc>
          <w:tcPr>
            <w:tcW w:w="1080" w:type="dxa"/>
            <w:vAlign w:val="bottom"/>
            <w:gridSpan w:val="2"/>
          </w:tcPr>
          <w:p>
            <w:pPr>
              <w:spacing w:after="0"/>
              <w:rPr>
                <w:sz w:val="21"/>
                <w:szCs w:val="21"/>
                <w:color w:val="auto"/>
              </w:rPr>
            </w:pPr>
          </w:p>
        </w:tc>
        <w:tc>
          <w:tcPr>
            <w:tcW w:w="5240" w:type="dxa"/>
            <w:vAlign w:val="bottom"/>
            <w:gridSpan w:val="8"/>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Borders>
              <w:bottom w:val="single" w:sz="8" w:color="0000EE"/>
            </w:tcBorders>
          </w:tcPr>
          <w:p>
            <w:pPr>
              <w:spacing w:after="0"/>
              <w:rPr>
                <w:rFonts w:ascii="Arial" w:cs="Arial" w:eastAsia="Arial" w:hAnsi="Arial"/>
                <w:sz w:val="18"/>
                <w:szCs w:val="18"/>
                <w:color w:val="0000EE"/>
                <w:w w:val="83"/>
              </w:rPr>
            </w:pPr>
            <w:hyperlink w:anchor="page126">
              <w:r>
                <w:rPr>
                  <w:rFonts w:ascii="Arial" w:cs="Arial" w:eastAsia="Arial" w:hAnsi="Arial"/>
                  <w:sz w:val="18"/>
                  <w:szCs w:val="18"/>
                  <w:color w:val="0000EE"/>
                  <w:w w:val="83"/>
                </w:rPr>
                <w:t>Item 9.</w:t>
              </w:r>
            </w:hyperlink>
          </w:p>
        </w:tc>
        <w:tc>
          <w:tcPr>
            <w:tcW w:w="640" w:type="dxa"/>
            <w:vAlign w:val="bottom"/>
            <w:gridSpan w:val="5"/>
          </w:tcPr>
          <w:p>
            <w:pPr>
              <w:spacing w:after="0"/>
              <w:rPr>
                <w:sz w:val="21"/>
                <w:szCs w:val="21"/>
                <w:color w:val="auto"/>
              </w:rPr>
            </w:pPr>
          </w:p>
        </w:tc>
        <w:tc>
          <w:tcPr>
            <w:tcW w:w="7960" w:type="dxa"/>
            <w:vAlign w:val="bottom"/>
            <w:tcBorders>
              <w:bottom w:val="single" w:sz="8" w:color="0000EE"/>
            </w:tcBorders>
            <w:gridSpan w:val="18"/>
          </w:tcPr>
          <w:p>
            <w:pPr>
              <w:spacing w:after="0"/>
              <w:rPr>
                <w:rFonts w:ascii="Arial" w:cs="Arial" w:eastAsia="Arial" w:hAnsi="Arial"/>
                <w:sz w:val="18"/>
                <w:szCs w:val="18"/>
                <w:color w:val="0000EE"/>
                <w:w w:val="91"/>
              </w:rPr>
            </w:pPr>
            <w:hyperlink w:anchor="page126">
              <w:r>
                <w:rPr>
                  <w:rFonts w:ascii="Arial" w:cs="Arial" w:eastAsia="Arial" w:hAnsi="Arial"/>
                  <w:sz w:val="18"/>
                  <w:szCs w:val="18"/>
                  <w:color w:val="0000EE"/>
                  <w:w w:val="91"/>
                </w:rPr>
                <w:t>Changes and Disagreements with Registered Public Accounting Firm on Accounting and Financial Disclosure</w:t>
              </w:r>
            </w:hyperlink>
          </w:p>
        </w:tc>
        <w:tc>
          <w:tcPr>
            <w:tcW w:w="1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26">
              <w:r>
                <w:rPr>
                  <w:rFonts w:ascii="Arial" w:cs="Arial" w:eastAsia="Arial" w:hAnsi="Arial"/>
                  <w:sz w:val="18"/>
                  <w:szCs w:val="18"/>
                  <w:color w:val="0000EE"/>
                  <w:w w:val="86"/>
                </w:rPr>
                <w:t>122</w:t>
              </w:r>
            </w:hyperlink>
          </w:p>
        </w:tc>
        <w:tc>
          <w:tcPr>
            <w:tcW w:w="20" w:type="dxa"/>
            <w:vAlign w:val="bottom"/>
          </w:tcPr>
          <w:p>
            <w:pPr>
              <w:spacing w:after="0"/>
              <w:rPr>
                <w:sz w:val="21"/>
                <w:szCs w:val="21"/>
                <w:color w:val="auto"/>
              </w:rPr>
            </w:pPr>
          </w:p>
        </w:tc>
      </w:tr>
      <w:tr>
        <w:trPr>
          <w:trHeight w:val="250"/>
        </w:trPr>
        <w:tc>
          <w:tcPr>
            <w:tcW w:w="1140" w:type="dxa"/>
            <w:vAlign w:val="bottom"/>
            <w:gridSpan w:val="6"/>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Item 9a.</w:t>
              </w:r>
            </w:hyperlink>
          </w:p>
        </w:tc>
        <w:tc>
          <w:tcPr>
            <w:tcW w:w="9560" w:type="dxa"/>
            <w:vAlign w:val="bottom"/>
            <w:gridSpan w:val="19"/>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Controls and Procedures</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126">
              <w:r>
                <w:rPr>
                  <w:rFonts w:ascii="Arial" w:cs="Arial" w:eastAsia="Arial" w:hAnsi="Arial"/>
                  <w:sz w:val="18"/>
                  <w:szCs w:val="18"/>
                  <w:color w:val="0000EE"/>
                </w:rPr>
                <w:t>122</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Borders>
              <w:bottom w:val="single" w:sz="8" w:color="0000EE"/>
            </w:tcBorders>
            <w:gridSpan w:val="2"/>
          </w:tcPr>
          <w:p>
            <w:pPr>
              <w:spacing w:after="0"/>
              <w:rPr>
                <w:rFonts w:ascii="Arial" w:cs="Arial" w:eastAsia="Arial" w:hAnsi="Arial"/>
                <w:sz w:val="18"/>
                <w:szCs w:val="18"/>
                <w:color w:val="0000EE"/>
                <w:w w:val="82"/>
              </w:rPr>
            </w:pPr>
            <w:hyperlink w:anchor="page126">
              <w:r>
                <w:rPr>
                  <w:rFonts w:ascii="Arial" w:cs="Arial" w:eastAsia="Arial" w:hAnsi="Arial"/>
                  <w:sz w:val="18"/>
                  <w:szCs w:val="18"/>
                  <w:color w:val="0000EE"/>
                  <w:w w:val="82"/>
                </w:rPr>
                <w:t>Item 9b.</w:t>
              </w:r>
            </w:hyperlink>
          </w:p>
        </w:tc>
        <w:tc>
          <w:tcPr>
            <w:tcW w:w="560" w:type="dxa"/>
            <w:vAlign w:val="bottom"/>
            <w:gridSpan w:val="4"/>
          </w:tcPr>
          <w:p>
            <w:pPr>
              <w:spacing w:after="0"/>
              <w:rPr>
                <w:sz w:val="21"/>
                <w:szCs w:val="21"/>
                <w:color w:val="auto"/>
              </w:rPr>
            </w:pPr>
          </w:p>
        </w:tc>
        <w:tc>
          <w:tcPr>
            <w:tcW w:w="134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126">
              <w:r>
                <w:rPr>
                  <w:rFonts w:ascii="Arial" w:cs="Arial" w:eastAsia="Arial" w:hAnsi="Arial"/>
                  <w:sz w:val="18"/>
                  <w:szCs w:val="18"/>
                  <w:color w:val="0000EE"/>
                  <w:w w:val="92"/>
                </w:rPr>
                <w:t>Other Information</w:t>
              </w:r>
            </w:hyperlink>
          </w:p>
        </w:tc>
        <w:tc>
          <w:tcPr>
            <w:tcW w:w="8220" w:type="dxa"/>
            <w:vAlign w:val="bottom"/>
            <w:gridSpan w:val="15"/>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26">
              <w:r>
                <w:rPr>
                  <w:rFonts w:ascii="Arial" w:cs="Arial" w:eastAsia="Arial" w:hAnsi="Arial"/>
                  <w:sz w:val="18"/>
                  <w:szCs w:val="18"/>
                  <w:color w:val="0000EE"/>
                  <w:w w:val="86"/>
                </w:rPr>
                <w:t>122</w:t>
              </w:r>
            </w:hyperlink>
          </w:p>
        </w:tc>
        <w:tc>
          <w:tcPr>
            <w:tcW w:w="20" w:type="dxa"/>
            <w:vAlign w:val="bottom"/>
          </w:tcPr>
          <w:p>
            <w:pPr>
              <w:spacing w:after="0"/>
              <w:rPr>
                <w:sz w:val="21"/>
                <w:szCs w:val="21"/>
                <w:color w:val="auto"/>
              </w:rPr>
            </w:pPr>
          </w:p>
        </w:tc>
      </w:tr>
      <w:tr>
        <w:trPr>
          <w:trHeight w:val="250"/>
        </w:trPr>
        <w:tc>
          <w:tcPr>
            <w:tcW w:w="74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127">
              <w:r>
                <w:rPr>
                  <w:rFonts w:ascii="Arial" w:cs="Arial" w:eastAsia="Arial" w:hAnsi="Arial"/>
                  <w:sz w:val="18"/>
                  <w:szCs w:val="18"/>
                  <w:b w:val="1"/>
                  <w:bCs w:val="1"/>
                  <w:color w:val="0000EE"/>
                </w:rPr>
                <w:t>PART III</w:t>
              </w:r>
            </w:hyperlink>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27">
              <w:r>
                <w:rPr>
                  <w:rFonts w:ascii="Arial" w:cs="Arial" w:eastAsia="Arial" w:hAnsi="Arial"/>
                  <w:sz w:val="18"/>
                  <w:szCs w:val="18"/>
                  <w:color w:val="0000EE"/>
                  <w:w w:val="86"/>
                </w:rPr>
                <w:t>123</w:t>
              </w:r>
            </w:hyperlink>
          </w:p>
        </w:tc>
        <w:tc>
          <w:tcPr>
            <w:tcW w:w="20" w:type="dxa"/>
            <w:vAlign w:val="bottom"/>
          </w:tcPr>
          <w:p>
            <w:pPr>
              <w:spacing w:after="0"/>
              <w:rPr>
                <w:sz w:val="21"/>
                <w:szCs w:val="2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127">
              <w:r>
                <w:rPr>
                  <w:rFonts w:ascii="Arial" w:cs="Arial" w:eastAsia="Arial" w:hAnsi="Arial"/>
                  <w:sz w:val="18"/>
                  <w:szCs w:val="18"/>
                  <w:color w:val="0000EE"/>
                  <w:w w:val="82"/>
                </w:rPr>
                <w:t>Item 10.</w:t>
              </w:r>
            </w:hyperlink>
          </w:p>
        </w:tc>
        <w:tc>
          <w:tcPr>
            <w:tcW w:w="560" w:type="dxa"/>
            <w:vAlign w:val="bottom"/>
            <w:gridSpan w:val="4"/>
          </w:tcPr>
          <w:p>
            <w:pPr>
              <w:spacing w:after="0"/>
              <w:rPr>
                <w:sz w:val="21"/>
                <w:szCs w:val="21"/>
                <w:color w:val="auto"/>
              </w:rPr>
            </w:pPr>
          </w:p>
        </w:tc>
        <w:tc>
          <w:tcPr>
            <w:tcW w:w="9560" w:type="dxa"/>
            <w:vAlign w:val="bottom"/>
            <w:gridSpan w:val="19"/>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Directors, Executive Officers and Corporate Governance of the Registrant</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127">
              <w:r>
                <w:rPr>
                  <w:rFonts w:ascii="Arial" w:cs="Arial" w:eastAsia="Arial" w:hAnsi="Arial"/>
                  <w:sz w:val="18"/>
                  <w:szCs w:val="18"/>
                  <w:color w:val="0000EE"/>
                </w:rPr>
                <w:t>123</w:t>
              </w:r>
            </w:hyperlink>
          </w:p>
        </w:tc>
      </w:tr>
      <w:tr>
        <w:trPr>
          <w:trHeight w:val="250"/>
        </w:trPr>
        <w:tc>
          <w:tcPr>
            <w:tcW w:w="580" w:type="dxa"/>
            <w:vAlign w:val="bottom"/>
            <w:tcBorders>
              <w:top w:val="single" w:sz="8" w:color="0000EE"/>
            </w:tcBorders>
            <w:gridSpan w:val="2"/>
          </w:tcPr>
          <w:p>
            <w:pPr>
              <w:spacing w:after="0"/>
              <w:rPr>
                <w:rFonts w:ascii="Arial" w:cs="Arial" w:eastAsia="Arial" w:hAnsi="Arial"/>
                <w:sz w:val="18"/>
                <w:szCs w:val="18"/>
                <w:color w:val="0000EE"/>
                <w:w w:val="82"/>
              </w:rPr>
            </w:pPr>
            <w:hyperlink w:anchor="page127">
              <w:r>
                <w:rPr>
                  <w:rFonts w:ascii="Arial" w:cs="Arial" w:eastAsia="Arial" w:hAnsi="Arial"/>
                  <w:sz w:val="18"/>
                  <w:szCs w:val="18"/>
                  <w:color w:val="0000EE"/>
                  <w:w w:val="82"/>
                </w:rPr>
                <w:t>Item 11.</w:t>
              </w:r>
            </w:hyperlink>
          </w:p>
        </w:tc>
        <w:tc>
          <w:tcPr>
            <w:tcW w:w="560" w:type="dxa"/>
            <w:vAlign w:val="bottom"/>
            <w:gridSpan w:val="4"/>
          </w:tcPr>
          <w:p>
            <w:pPr>
              <w:spacing w:after="0"/>
              <w:rPr>
                <w:sz w:val="21"/>
                <w:szCs w:val="21"/>
                <w:color w:val="auto"/>
              </w:rPr>
            </w:pPr>
          </w:p>
        </w:tc>
        <w:tc>
          <w:tcPr>
            <w:tcW w:w="5340" w:type="dxa"/>
            <w:vAlign w:val="bottom"/>
            <w:tcBorders>
              <w:top w:val="single" w:sz="8" w:color="0000EE"/>
            </w:tcBorders>
            <w:gridSpan w:val="15"/>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Executive Compensation</w:t>
              </w:r>
            </w:hyperlink>
          </w:p>
        </w:tc>
        <w:tc>
          <w:tcPr>
            <w:tcW w:w="4220" w:type="dxa"/>
            <w:vAlign w:val="bottom"/>
            <w:gridSpan w:val="4"/>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27">
              <w:r>
                <w:rPr>
                  <w:rFonts w:ascii="Arial" w:cs="Arial" w:eastAsia="Arial" w:hAnsi="Arial"/>
                  <w:sz w:val="18"/>
                  <w:szCs w:val="18"/>
                  <w:color w:val="0000EE"/>
                  <w:w w:val="86"/>
                </w:rPr>
                <w:t>123</w:t>
              </w:r>
            </w:hyperlink>
          </w:p>
        </w:tc>
        <w:tc>
          <w:tcPr>
            <w:tcW w:w="20" w:type="dxa"/>
            <w:vAlign w:val="bottom"/>
          </w:tcPr>
          <w:p>
            <w:pPr>
              <w:spacing w:after="0"/>
              <w:rPr>
                <w:sz w:val="21"/>
                <w:szCs w:val="2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Borders>
              <w:bottom w:val="single" w:sz="8" w:color="0000EE"/>
            </w:tcBorders>
            <w:gridSpan w:val="2"/>
          </w:tcPr>
          <w:p>
            <w:pPr>
              <w:spacing w:after="0"/>
              <w:rPr>
                <w:rFonts w:ascii="Arial" w:cs="Arial" w:eastAsia="Arial" w:hAnsi="Arial"/>
                <w:sz w:val="18"/>
                <w:szCs w:val="18"/>
                <w:color w:val="0000EE"/>
                <w:w w:val="82"/>
              </w:rPr>
            </w:pPr>
            <w:hyperlink w:anchor="page127">
              <w:r>
                <w:rPr>
                  <w:rFonts w:ascii="Arial" w:cs="Arial" w:eastAsia="Arial" w:hAnsi="Arial"/>
                  <w:sz w:val="18"/>
                  <w:szCs w:val="18"/>
                  <w:color w:val="0000EE"/>
                  <w:w w:val="82"/>
                </w:rPr>
                <w:t>Item 12.</w:t>
              </w:r>
            </w:hyperlink>
          </w:p>
        </w:tc>
        <w:tc>
          <w:tcPr>
            <w:tcW w:w="560" w:type="dxa"/>
            <w:vAlign w:val="bottom"/>
            <w:gridSpan w:val="4"/>
          </w:tcPr>
          <w:p>
            <w:pPr>
              <w:spacing w:after="0"/>
              <w:rPr>
                <w:sz w:val="21"/>
                <w:szCs w:val="21"/>
                <w:color w:val="auto"/>
              </w:rPr>
            </w:pPr>
          </w:p>
        </w:tc>
        <w:tc>
          <w:tcPr>
            <w:tcW w:w="730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27">
              <w:r>
                <w:rPr>
                  <w:rFonts w:ascii="Arial" w:cs="Arial" w:eastAsia="Arial" w:hAnsi="Arial"/>
                  <w:sz w:val="18"/>
                  <w:szCs w:val="18"/>
                  <w:color w:val="0000EE"/>
                  <w:w w:val="90"/>
                </w:rPr>
                <w:t>Security Ownership of Certain Beneficial Owners and Management and Related Stockholder Matters</w:t>
              </w:r>
            </w:hyperlink>
          </w:p>
        </w:tc>
        <w:tc>
          <w:tcPr>
            <w:tcW w:w="2260" w:type="dxa"/>
            <w:vAlign w:val="bottom"/>
            <w:gridSpan w:val="2"/>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27">
              <w:r>
                <w:rPr>
                  <w:rFonts w:ascii="Arial" w:cs="Arial" w:eastAsia="Arial" w:hAnsi="Arial"/>
                  <w:sz w:val="18"/>
                  <w:szCs w:val="18"/>
                  <w:color w:val="0000EE"/>
                  <w:w w:val="86"/>
                </w:rPr>
                <w:t>123</w:t>
              </w:r>
            </w:hyperlink>
          </w:p>
        </w:tc>
        <w:tc>
          <w:tcPr>
            <w:tcW w:w="20" w:type="dxa"/>
            <w:vAlign w:val="bottom"/>
          </w:tcPr>
          <w:p>
            <w:pPr>
              <w:spacing w:after="0"/>
              <w:rPr>
                <w:sz w:val="21"/>
                <w:szCs w:val="2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127">
              <w:r>
                <w:rPr>
                  <w:rFonts w:ascii="Arial" w:cs="Arial" w:eastAsia="Arial" w:hAnsi="Arial"/>
                  <w:sz w:val="18"/>
                  <w:szCs w:val="18"/>
                  <w:color w:val="0000EE"/>
                  <w:w w:val="82"/>
                </w:rPr>
                <w:t>Item 13.</w:t>
              </w:r>
            </w:hyperlink>
          </w:p>
        </w:tc>
        <w:tc>
          <w:tcPr>
            <w:tcW w:w="560" w:type="dxa"/>
            <w:vAlign w:val="bottom"/>
            <w:gridSpan w:val="4"/>
          </w:tcPr>
          <w:p>
            <w:pPr>
              <w:spacing w:after="0"/>
              <w:rPr>
                <w:sz w:val="21"/>
                <w:szCs w:val="21"/>
                <w:color w:val="auto"/>
              </w:rPr>
            </w:pPr>
          </w:p>
        </w:tc>
        <w:tc>
          <w:tcPr>
            <w:tcW w:w="9560" w:type="dxa"/>
            <w:vAlign w:val="bottom"/>
            <w:gridSpan w:val="19"/>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Certain Relationships, Related Transactions and Director Independence</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127">
              <w:r>
                <w:rPr>
                  <w:rFonts w:ascii="Arial" w:cs="Arial" w:eastAsia="Arial" w:hAnsi="Arial"/>
                  <w:sz w:val="18"/>
                  <w:szCs w:val="18"/>
                  <w:color w:val="0000EE"/>
                </w:rPr>
                <w:t>123</w:t>
              </w:r>
            </w:hyperlink>
          </w:p>
        </w:tc>
      </w:tr>
      <w:tr>
        <w:trPr>
          <w:trHeight w:val="250"/>
        </w:trPr>
        <w:tc>
          <w:tcPr>
            <w:tcW w:w="580" w:type="dxa"/>
            <w:vAlign w:val="bottom"/>
            <w:tcBorders>
              <w:top w:val="single" w:sz="8" w:color="0000EE"/>
            </w:tcBorders>
            <w:gridSpan w:val="2"/>
          </w:tcPr>
          <w:p>
            <w:pPr>
              <w:spacing w:after="0"/>
              <w:rPr>
                <w:rFonts w:ascii="Arial" w:cs="Arial" w:eastAsia="Arial" w:hAnsi="Arial"/>
                <w:sz w:val="18"/>
                <w:szCs w:val="18"/>
                <w:color w:val="0000EE"/>
                <w:w w:val="82"/>
              </w:rPr>
            </w:pPr>
            <w:hyperlink w:anchor="page127">
              <w:r>
                <w:rPr>
                  <w:rFonts w:ascii="Arial" w:cs="Arial" w:eastAsia="Arial" w:hAnsi="Arial"/>
                  <w:sz w:val="18"/>
                  <w:szCs w:val="18"/>
                  <w:color w:val="0000EE"/>
                  <w:w w:val="82"/>
                </w:rPr>
                <w:t>Item 14.</w:t>
              </w:r>
            </w:hyperlink>
          </w:p>
        </w:tc>
        <w:tc>
          <w:tcPr>
            <w:tcW w:w="560" w:type="dxa"/>
            <w:vAlign w:val="bottom"/>
            <w:gridSpan w:val="4"/>
          </w:tcPr>
          <w:p>
            <w:pPr>
              <w:spacing w:after="0"/>
              <w:rPr>
                <w:sz w:val="21"/>
                <w:szCs w:val="21"/>
                <w:color w:val="auto"/>
              </w:rPr>
            </w:pPr>
          </w:p>
        </w:tc>
        <w:tc>
          <w:tcPr>
            <w:tcW w:w="5140" w:type="dxa"/>
            <w:vAlign w:val="bottom"/>
            <w:tcBorders>
              <w:top w:val="single" w:sz="8" w:color="0000EE"/>
            </w:tcBorders>
            <w:gridSpan w:val="14"/>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Principal Registered Public Accounting Firm Fees and Services</w:t>
              </w:r>
            </w:hyperlink>
          </w:p>
        </w:tc>
        <w:tc>
          <w:tcPr>
            <w:tcW w:w="4420" w:type="dxa"/>
            <w:vAlign w:val="bottom"/>
            <w:gridSpan w:val="5"/>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27">
              <w:r>
                <w:rPr>
                  <w:rFonts w:ascii="Arial" w:cs="Arial" w:eastAsia="Arial" w:hAnsi="Arial"/>
                  <w:sz w:val="18"/>
                  <w:szCs w:val="18"/>
                  <w:color w:val="0000EE"/>
                  <w:w w:val="86"/>
                </w:rPr>
                <w:t>123</w:t>
              </w:r>
            </w:hyperlink>
          </w:p>
        </w:tc>
        <w:tc>
          <w:tcPr>
            <w:tcW w:w="20" w:type="dxa"/>
            <w:vAlign w:val="bottom"/>
          </w:tcPr>
          <w:p>
            <w:pPr>
              <w:spacing w:after="0"/>
              <w:rPr>
                <w:sz w:val="21"/>
                <w:szCs w:val="2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20" w:type="dxa"/>
            <w:vAlign w:val="bottom"/>
            <w:tcBorders>
              <w:bottom w:val="single" w:sz="8" w:color="0000EE"/>
            </w:tcBorders>
            <w:gridSpan w:val="4"/>
          </w:tcPr>
          <w:p>
            <w:pPr>
              <w:spacing w:after="0"/>
              <w:rPr>
                <w:rFonts w:ascii="Arial" w:cs="Arial" w:eastAsia="Arial" w:hAnsi="Arial"/>
                <w:sz w:val="18"/>
                <w:szCs w:val="18"/>
                <w:b w:val="1"/>
                <w:bCs w:val="1"/>
                <w:color w:val="0000EE"/>
                <w:w w:val="98"/>
              </w:rPr>
            </w:pPr>
            <w:hyperlink w:anchor="page127">
              <w:r>
                <w:rPr>
                  <w:rFonts w:ascii="Arial" w:cs="Arial" w:eastAsia="Arial" w:hAnsi="Arial"/>
                  <w:sz w:val="18"/>
                  <w:szCs w:val="18"/>
                  <w:b w:val="1"/>
                  <w:bCs w:val="1"/>
                  <w:color w:val="0000EE"/>
                  <w:w w:val="98"/>
                </w:rPr>
                <w:t>PART IV</w:t>
              </w:r>
            </w:hyperlink>
          </w:p>
        </w:tc>
        <w:tc>
          <w:tcPr>
            <w:tcW w:w="420" w:type="dxa"/>
            <w:vAlign w:val="bottom"/>
            <w:gridSpan w:val="2"/>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27">
              <w:r>
                <w:rPr>
                  <w:rFonts w:ascii="Arial" w:cs="Arial" w:eastAsia="Arial" w:hAnsi="Arial"/>
                  <w:sz w:val="18"/>
                  <w:szCs w:val="18"/>
                  <w:color w:val="0000EE"/>
                  <w:w w:val="86"/>
                </w:rPr>
                <w:t>123</w:t>
              </w:r>
            </w:hyperlink>
          </w:p>
        </w:tc>
        <w:tc>
          <w:tcPr>
            <w:tcW w:w="20" w:type="dxa"/>
            <w:vAlign w:val="bottom"/>
          </w:tcPr>
          <w:p>
            <w:pPr>
              <w:spacing w:after="0"/>
              <w:rPr>
                <w:sz w:val="21"/>
                <w:szCs w:val="21"/>
                <w:color w:val="auto"/>
              </w:rPr>
            </w:pPr>
          </w:p>
        </w:tc>
      </w:tr>
      <w:tr>
        <w:trPr>
          <w:trHeight w:val="250"/>
        </w:trPr>
        <w:tc>
          <w:tcPr>
            <w:tcW w:w="580" w:type="dxa"/>
            <w:vAlign w:val="bottom"/>
            <w:tcBorders>
              <w:bottom w:val="single" w:sz="8" w:color="0000EE"/>
            </w:tcBorders>
            <w:gridSpan w:val="2"/>
          </w:tcPr>
          <w:p>
            <w:pPr>
              <w:spacing w:after="0"/>
              <w:rPr>
                <w:rFonts w:ascii="Arial" w:cs="Arial" w:eastAsia="Arial" w:hAnsi="Arial"/>
                <w:sz w:val="18"/>
                <w:szCs w:val="18"/>
                <w:color w:val="0000EE"/>
                <w:w w:val="82"/>
              </w:rPr>
            </w:pPr>
            <w:hyperlink w:anchor="page127">
              <w:r>
                <w:rPr>
                  <w:rFonts w:ascii="Arial" w:cs="Arial" w:eastAsia="Arial" w:hAnsi="Arial"/>
                  <w:sz w:val="18"/>
                  <w:szCs w:val="18"/>
                  <w:color w:val="0000EE"/>
                  <w:w w:val="82"/>
                </w:rPr>
                <w:t>Item 15.</w:t>
              </w:r>
            </w:hyperlink>
          </w:p>
        </w:tc>
        <w:tc>
          <w:tcPr>
            <w:tcW w:w="560" w:type="dxa"/>
            <w:vAlign w:val="bottom"/>
            <w:gridSpan w:val="4"/>
          </w:tcPr>
          <w:p>
            <w:pPr>
              <w:spacing w:after="0"/>
              <w:rPr>
                <w:sz w:val="21"/>
                <w:szCs w:val="21"/>
                <w:color w:val="auto"/>
              </w:rPr>
            </w:pPr>
          </w:p>
        </w:tc>
        <w:tc>
          <w:tcPr>
            <w:tcW w:w="480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127">
              <w:r>
                <w:rPr>
                  <w:rFonts w:ascii="Arial" w:cs="Arial" w:eastAsia="Arial" w:hAnsi="Arial"/>
                  <w:sz w:val="18"/>
                  <w:szCs w:val="18"/>
                  <w:color w:val="0000EE"/>
                  <w:w w:val="90"/>
                </w:rPr>
                <w:t>Exhibits, Financial Statement Schedules and Reports on Form 8-K</w:t>
              </w:r>
            </w:hyperlink>
          </w:p>
        </w:tc>
        <w:tc>
          <w:tcPr>
            <w:tcW w:w="4760" w:type="dxa"/>
            <w:vAlign w:val="bottom"/>
            <w:gridSpan w:val="6"/>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27">
              <w:r>
                <w:rPr>
                  <w:rFonts w:ascii="Arial" w:cs="Arial" w:eastAsia="Arial" w:hAnsi="Arial"/>
                  <w:sz w:val="18"/>
                  <w:szCs w:val="18"/>
                  <w:color w:val="0000EE"/>
                  <w:w w:val="86"/>
                </w:rPr>
                <w:t>123</w:t>
              </w:r>
            </w:hyperlink>
          </w:p>
        </w:tc>
        <w:tc>
          <w:tcPr>
            <w:tcW w:w="20" w:type="dxa"/>
            <w:vAlign w:val="bottom"/>
          </w:tcPr>
          <w:p>
            <w:pPr>
              <w:spacing w:after="0"/>
              <w:rPr>
                <w:sz w:val="21"/>
                <w:szCs w:val="2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130">
              <w:r>
                <w:rPr>
                  <w:rFonts w:ascii="Arial" w:cs="Arial" w:eastAsia="Arial" w:hAnsi="Arial"/>
                  <w:sz w:val="18"/>
                  <w:szCs w:val="18"/>
                  <w:color w:val="0000EE"/>
                  <w:w w:val="82"/>
                </w:rPr>
                <w:t>Item 16.</w:t>
              </w:r>
            </w:hyperlink>
          </w:p>
        </w:tc>
        <w:tc>
          <w:tcPr>
            <w:tcW w:w="560" w:type="dxa"/>
            <w:vAlign w:val="bottom"/>
            <w:gridSpan w:val="4"/>
          </w:tcPr>
          <w:p>
            <w:pPr>
              <w:spacing w:after="0"/>
              <w:rPr>
                <w:sz w:val="21"/>
                <w:szCs w:val="21"/>
                <w:color w:val="auto"/>
              </w:rPr>
            </w:pPr>
          </w:p>
        </w:tc>
        <w:tc>
          <w:tcPr>
            <w:tcW w:w="9560" w:type="dxa"/>
            <w:vAlign w:val="bottom"/>
            <w:gridSpan w:val="19"/>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Form10-K Summary</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130">
              <w:r>
                <w:rPr>
                  <w:rFonts w:ascii="Arial" w:cs="Arial" w:eastAsia="Arial" w:hAnsi="Arial"/>
                  <w:sz w:val="18"/>
                  <w:szCs w:val="18"/>
                  <w:color w:val="0000EE"/>
                </w:rPr>
                <w:t>126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3" w:lineRule="exact"/>
        <w:rPr>
          <w:sz w:val="20"/>
          <w:szCs w:val="20"/>
          <w:color w:val="auto"/>
        </w:rPr>
      </w:pPr>
    </w:p>
    <w:p>
      <w:pPr>
        <w:ind w:left="40"/>
        <w:spacing w:after="0"/>
        <w:rPr>
          <w:rFonts w:ascii="Arial" w:cs="Arial" w:eastAsia="Arial" w:hAnsi="Arial"/>
          <w:sz w:val="18"/>
          <w:szCs w:val="18"/>
          <w:b w:val="1"/>
          <w:bCs w:val="1"/>
          <w:u w:val="single" w:color="auto"/>
          <w:color w:val="0000EE"/>
        </w:rPr>
      </w:pPr>
      <w:hyperlink w:anchor="page130">
        <w:r>
          <w:rPr>
            <w:rFonts w:ascii="Arial" w:cs="Arial" w:eastAsia="Arial" w:hAnsi="Arial"/>
            <w:sz w:val="18"/>
            <w:szCs w:val="18"/>
            <w:b w:val="1"/>
            <w:bCs w:val="1"/>
            <w:u w:val="single" w:color="auto"/>
            <w:color w:val="0000EE"/>
          </w:rPr>
          <w:t>SIGNATURES</w:t>
        </w:r>
      </w:hyperlink>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9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 for Purposes of the "Safe Harbor Provisions" of Section 21E of the Securities Exchange Act of 1934, as amended</w:t>
      </w:r>
    </w:p>
    <w:p>
      <w:pPr>
        <w:spacing w:after="0" w:line="283"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as amended (the "Securities Act"), and Section 21E of the Securities Exchange Act of 1934, as amended (the "Exchange Act"). Forward-looking statements are included with respect to, among other things, iStar Inc.'s current business plan, business strategy, portfolio management, prospects and liquidity. These forward-looking statements generally are identified by the words "believe," "project," "expect," "anticipate," "estimate," "intend," "strategy," "plan," "may," "should," "will," "would," "will be," "will continue," "will likely result," and similar expressions. Forward-looking statements are based on current expectations and assumptions that are subject to risks and uncertainties which may cause actual results or outcomes to differ materially from those contained in the forward-looking statements. Important factors that iStar Inc. believes might cause such differences are discussed in the section entitled, "Risk Factors" in Part I, Item 1a of this Form 10-K or otherwise accompany the forward-looking statements contained in this Form 10-K. We undertake no obligation to update or revise publicly any forward-looking statements, whether as a result of new information, future events or otherwise. In assessing all forward-looking statements, readers are urged to read carefully all cautionary statements contained in this Form 10-K.</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iStar Inc. (the "Company") finances, invests in and develops real estate and real estate related projects as part of its fully-integrated investment platform. The Company has invested more than $35 billion over the past two decades and is structured as a real estate investment trust ("REIT") with a diversified portfolio focused on larger assets located in major metropolitan markets. The Company's four primary business segments are real estate finance, net lease, operating properties and land and development.</w:t>
      </w:r>
    </w:p>
    <w:p>
      <w:pPr>
        <w:spacing w:after="0" w:line="14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real estate finance portfolio is comprised of senior and mezzanine real estate loans that may be either fixed-rate or variable-rate and are structured to meet the specific financing needs of borrowers. The Company's portfolio also includes preferred equity investments and senior and subordinated loans to business entities, particularly entities engaged in real estate or real estate related businesses, and may be either secured or unsecured. The Company's loan portfolio includes whole loans and loan participations.</w:t>
      </w:r>
    </w:p>
    <w:p>
      <w:pPr>
        <w:spacing w:after="0" w:line="146"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net lease portfolio is primarily comprised of properties owned by the Company and leased to single creditworthy tenants where the properties are subject to long-term leases. Most of the leases provide for expenses at the facilities to be paid by the tenants on a triple net lease basis. The properties in this portfolio are diversified by property type and geographic location. In addition to net lease properties owned by the Company, the Company partnered with a sovereign wealth fund to form a venture to acquire and develop net lease assets (the "Net Lease Venture"). The Company invests in new net lease investments primarily through the Net Lease Venture, in which it holds a noncontrolling 51.9% interest.</w:t>
      </w:r>
    </w:p>
    <w:p>
      <w:pPr>
        <w:spacing w:after="0" w:line="132"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operating properties portfolio is comprised of commercial and residential properties which represent a diverse pool of assets across a broad range of geographies and property types. The Company generally seeks to reposition or redevelop its transitional properties with the objective of maximizing their value through the infusion of capital and/or intensive asset management efforts. The commercial properties within this portfolio include office, retail, hotel and other property types. The residential properties within this portfolio are generally luxury condominium projects located in major U.S. cities where the Company's strategy is to sell individual condominium units through retail distribution channels.</w:t>
      </w:r>
    </w:p>
    <w:p>
      <w:pPr>
        <w:spacing w:after="0" w:line="13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land and development portfolio is primarily comprised of land entitled for master planned communities as well as waterfront and urban infill land parcels located throughout the United States. Master planned communities represent large-scale residential projects that the Company will entitle, plan and/or develop and may sell through retail channels to homebuilders or in bulk. Waterfront parcels are generally entitled for residential projects and urban infill parcels are generally entitled for mixed-use projects. The Company may develop these properties itself, or in partnership with commercial real estate developers, or may sell the properties.</w:t>
      </w:r>
    </w:p>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Company's primary sources of revenues are operating lease income, which is comprised of the rent and reimbursements that tenants pay to lease the Company's properties, interest income, which is the interest that borrowers pay on loans, and land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development revenue from lot and parcel sales. The Company primarily generates income through a “spread” or “margin,” which is the difference between the revenues net of property related expenses generated from leases and loans and interest expense. In addition, the Company generates income from sales of its real estate and income from equity in earnings of its unconsolidated ventures.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History and Recent Developments</w:t>
      </w:r>
    </w:p>
    <w:p>
      <w:pPr>
        <w:spacing w:after="0" w:line="148"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Company began its business in 1993 through the management of private investment funds and became publicly traded in 1998. Since that time, the Company has grown through the origination of new lending and leasing transactions, as well as through corporate acquisitions. During the economic downturn, the composition of the Company's portfolio changed as loans were repaid and the Company acquired title to assets of defaulting borrowers. The composition of the Company's real estate portfolio expanded to include operating properties and land and development assets. The Company has been originating new lending and net lease investments, repositioning or redeveloping its transitional operating properties and progressing on the entitlement, development and sales of its land and development assets. The Company intends to continue these efforts, with the objective of having these assets contribute positively to earnings in the future. The Company's business segments are discussed further in "Industry Segments."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Strategy</w:t>
      </w:r>
    </w:p>
    <w:p>
      <w:pPr>
        <w:spacing w:after="0" w:line="148"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Company uses leverage to enhance its return on assets. Over the past few years, the Company has strengthened its balance sheet through its diverse financing activities. Access to the capital markets has allowed the Company to extend its debt maturity profile and remain primarily an unsecured borrower. In 2016, the Company repaid $926.4 million of maturing unsecured notes and issued $275.0 million of unsecured notes. In addition, the Company entered into a $500.0 million senior secured credit facility and used the proceeds to repay other secured debt. Going forward, the Company will seek to raise capital through a variety of means, which may include unsecured and secured debt financing, debt refinancings, asset sales, sales of interests in business lines, issuances of equity, joint ventures and other third party capital arrangements. A more detailed discussion of the Company's current liquidity and capital resources is provided in Item 7—"Management's Discussion and Analysis of Financial Condition and Results of Operations."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Strategy</w:t>
      </w:r>
    </w:p>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2016, the Company committed to new investments totaling $691.8 million and invested $767.3 million associated with new investments, prior financing commitments as well as ongoing development. Investments included $474.0 million in real estate finance, $135.9 million to develop land and development assets, $69.9 million of capital to reposition or redevelop operating properties, $86.9 million to invest in net lease assets and $0.6 million to invest in corporate/other assets.</w:t>
      </w:r>
    </w:p>
    <w:p>
      <w:pPr>
        <w:spacing w:after="0" w:line="1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originating new investments, the Company's strategy is to focus on the following:</w:t>
      </w:r>
    </w:p>
    <w:p>
      <w:pPr>
        <w:spacing w:after="0" w:line="185" w:lineRule="exact"/>
        <w:rPr>
          <w:sz w:val="20"/>
          <w:szCs w:val="20"/>
          <w:color w:val="auto"/>
        </w:rPr>
      </w:pPr>
    </w:p>
    <w:p>
      <w:pPr>
        <w:ind w:left="66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Targeting the origination of custom-tailored mortgage, corporate and lease financings where customers require flexible financial solutions and "one-call" responsiveness;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Avoiding commodity businesses where there is significant direct competition from other providers of capital;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Developing direct relationships with borrowers and corporate customers in addition to sourcing transactions through intermediaries;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Adding value beyond simply providing capital by offering borrowers and corporate customers specific lending expertise, flexibility, certainty of closing and continuing relationships beyond the closing of a particular financing transaction;</w:t>
      </w: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Taking advantage of market anomalies in the real estate financing markets when, in the Company's view, credit is mispriced by other providers of capital; and</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Evaluating relative risk adjusted returns across multiple investment markets.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Process</w:t>
      </w:r>
    </w:p>
    <w:p>
      <w:pPr>
        <w:spacing w:after="0" w:line="148"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The Company reviews investment opportunities with its investment professionals, as well as representatives from its legal, credit, risk management and capital markets departments. The Company has developed a process for screening potential investments called the Six Point Methodology</w:t>
      </w:r>
      <w:r>
        <w:rPr>
          <w:rFonts w:ascii="Arial" w:cs="Arial" w:eastAsia="Arial" w:hAnsi="Arial"/>
          <w:sz w:val="16"/>
          <w:szCs w:val="16"/>
          <w:color w:val="auto"/>
          <w:vertAlign w:val="superscript"/>
        </w:rPr>
        <w:t>sm</w:t>
      </w:r>
      <w:r>
        <w:rPr>
          <w:rFonts w:ascii="Arial" w:cs="Arial" w:eastAsia="Arial" w:hAnsi="Arial"/>
          <w:sz w:val="16"/>
          <w:szCs w:val="16"/>
          <w:color w:val="auto"/>
        </w:rPr>
        <w:t>. Through this proprietary process, the Company internally evaluates an investment opportunity by: (1) evaluating the source of the opportunity; (2) evaluating the quality of the collateral, corporate credit or lessee, as well as the market and industry dynamics; (3) evaluating the borrower equity, corporate sponsorship and/or guarantors; (4) determining the optimal legal and financial structure for the transaction given its risk profile; (5) performing an alternative investment test; and</w:t>
      </w:r>
    </w:p>
    <w:p>
      <w:pPr>
        <w:spacing w:after="0" w:line="2" w:lineRule="exact"/>
        <w:rPr>
          <w:sz w:val="20"/>
          <w:szCs w:val="20"/>
          <w:color w:val="auto"/>
        </w:rPr>
      </w:pPr>
    </w:p>
    <w:p>
      <w:pPr>
        <w:jc w:val="both"/>
        <w:ind w:firstLine="8"/>
        <w:spacing w:after="0" w:line="255" w:lineRule="auto"/>
        <w:tabs>
          <w:tab w:leader="none" w:pos="256" w:val="left"/>
        </w:tabs>
        <w:numPr>
          <w:ilvl w:val="0"/>
          <w:numId w:val="6"/>
        </w:numPr>
        <w:rPr>
          <w:rFonts w:ascii="Arial" w:cs="Arial" w:eastAsia="Arial" w:hAnsi="Arial"/>
          <w:sz w:val="18"/>
          <w:szCs w:val="18"/>
          <w:color w:val="auto"/>
        </w:rPr>
      </w:pPr>
      <w:r>
        <w:rPr>
          <w:rFonts w:ascii="Arial" w:cs="Arial" w:eastAsia="Arial" w:hAnsi="Arial"/>
          <w:sz w:val="18"/>
          <w:szCs w:val="18"/>
          <w:color w:val="auto"/>
        </w:rPr>
        <w:t>evaluating the liquidity of the investment. Professionals from all disciplines throughout the entire origination process evaluate investments, from the initial consideration of the opportunity, utilizing the Six Point Methodology,</w:t>
      </w:r>
      <w:r>
        <w:rPr>
          <w:rFonts w:ascii="Arial" w:cs="Arial" w:eastAsia="Arial" w:hAnsi="Arial"/>
          <w:sz w:val="18"/>
          <w:szCs w:val="18"/>
          <w:color w:val="auto"/>
          <w:vertAlign w:val="superscript"/>
        </w:rPr>
        <w:t>sm</w:t>
      </w:r>
      <w:r>
        <w:rPr>
          <w:rFonts w:ascii="Arial" w:cs="Arial" w:eastAsia="Arial" w:hAnsi="Arial"/>
          <w:sz w:val="18"/>
          <w:szCs w:val="18"/>
          <w:color w:val="auto"/>
        </w:rPr>
        <w:t xml:space="preserve"> through the preparation and distribution of an approval memorandum for the Company's internal investment committee and/or Board of Directors and into the documentation and closing process.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Any commitment to make an investment of $25 million or less in any transaction or series of related transactions requires the approval of the Chief Executive Officer and Chief Investment Officer. Any commitment in excess of $25 million but less than or equal to $60 million requires the further approval of the Company's internal investment committee, consisting of senior management representatives from all of the Company's key disciplines. Any commitment in excess of $60 million, and any strategic investment such as a corporate merger, acquisition or material transaction involving the Company's entry into a new line of business, requires the approval of the Board of Directors.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 Strategy</w:t>
      </w:r>
    </w:p>
    <w:p>
      <w:pPr>
        <w:spacing w:after="0" w:line="14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Company finances its business with a combination of fixed-rate and variable-rate debt and its asset base consists of fixed-rate and variable-rate investments. Its variable-rate assets and liabilities are intended to be matched against changes in variable interest rates. This means that as interest rates increase, the Company earns more on its variable-rate lending assets and pays more on its variable-rate debt obligations and, conversely, as interest rates decrease, the Company earns less on its variable-rate lending assets and pays less on its variable-rate debt obligations. When the Company's variable-rate debt obligations differ from its variable-rate lending assets, the Company may utilize derivative instruments to limit the impact of changing interest rates on its net income. The Company also uses derivative instruments to limit its exposure to changes in currency rates in respect of certain investments denominated in foreign currencies. The derivative instruments the Company uses are typically in the form of interest rate swaps, interest rate caps and foreign exchange contracts.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Overview</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December 31, 2016, based on current gross carrying values, the Company's total investment portfolio has the following characteristics: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Asset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17145</wp:posOffset>
            </wp:positionV>
            <wp:extent cx="3687445" cy="25901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87445" cy="259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405"/>
        <w:spacing w:after="0" w:line="282" w:lineRule="auto"/>
        <w:rPr>
          <w:sz w:val="20"/>
          <w:szCs w:val="20"/>
          <w:color w:val="auto"/>
        </w:rPr>
      </w:pPr>
      <w:r>
        <w:rPr>
          <w:rFonts w:ascii="Arial" w:cs="Arial" w:eastAsia="Arial" w:hAnsi="Arial"/>
          <w:sz w:val="18"/>
          <w:szCs w:val="18"/>
          <w:color w:val="auto"/>
        </w:rPr>
        <w:t>As of December 31, 2016, based on gross carrying values, our total investment portfolio has the following property/collateral type and geographic characteristics ($ in thousands)</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Property Type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Property/Collateral Types</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Real Estate</w:t>
            </w:r>
          </w:p>
        </w:tc>
        <w:tc>
          <w:tcPr>
            <w:tcW w:w="200" w:type="dxa"/>
            <w:vAlign w:val="bottom"/>
          </w:tcPr>
          <w:p>
            <w:pPr>
              <w:spacing w:after="0"/>
              <w:rPr>
                <w:sz w:val="14"/>
                <w:szCs w:val="14"/>
                <w:color w:val="auto"/>
              </w:rPr>
            </w:pPr>
          </w:p>
        </w:tc>
        <w:tc>
          <w:tcPr>
            <w:tcW w:w="1020" w:type="dxa"/>
            <w:vAlign w:val="bottom"/>
            <w:gridSpan w:val="2"/>
            <w:vMerge w:val="restart"/>
          </w:tcPr>
          <w:p>
            <w:pPr>
              <w:jc w:val="right"/>
              <w:ind w:right="230"/>
              <w:spacing w:after="0"/>
              <w:rPr>
                <w:sz w:val="20"/>
                <w:szCs w:val="20"/>
                <w:color w:val="auto"/>
              </w:rPr>
            </w:pPr>
            <w:r>
              <w:rPr>
                <w:rFonts w:ascii="Arial" w:cs="Arial" w:eastAsia="Arial" w:hAnsi="Arial"/>
                <w:sz w:val="14"/>
                <w:szCs w:val="14"/>
                <w:b w:val="1"/>
                <w:bCs w:val="1"/>
                <w:color w:val="auto"/>
              </w:rPr>
              <w:t>Net Lease</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ind w:left="100"/>
              <w:spacing w:after="0"/>
              <w:rPr>
                <w:sz w:val="20"/>
                <w:szCs w:val="20"/>
                <w:color w:val="auto"/>
              </w:rPr>
            </w:pPr>
            <w:r>
              <w:rPr>
                <w:rFonts w:ascii="Arial" w:cs="Arial" w:eastAsia="Arial" w:hAnsi="Arial"/>
                <w:sz w:val="14"/>
                <w:szCs w:val="14"/>
                <w:b w:val="1"/>
                <w:bCs w:val="1"/>
                <w:color w:val="auto"/>
              </w:rPr>
              <w:t>Operating</w:t>
            </w:r>
          </w:p>
        </w:tc>
        <w:tc>
          <w:tcPr>
            <w:tcW w:w="16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Land and</w:t>
            </w:r>
          </w:p>
        </w:tc>
        <w:tc>
          <w:tcPr>
            <w:tcW w:w="260" w:type="dxa"/>
            <w:vAlign w:val="bottom"/>
          </w:tcPr>
          <w:p>
            <w:pPr>
              <w:spacing w:after="0"/>
              <w:rPr>
                <w:sz w:val="14"/>
                <w:szCs w:val="14"/>
                <w:color w:val="auto"/>
              </w:rPr>
            </w:pPr>
          </w:p>
        </w:tc>
        <w:tc>
          <w:tcPr>
            <w:tcW w:w="96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4"/>
                <w:szCs w:val="14"/>
                <w:color w:val="auto"/>
              </w:rPr>
            </w:pPr>
          </w:p>
        </w:tc>
        <w:tc>
          <w:tcPr>
            <w:tcW w:w="1280" w:type="dxa"/>
            <w:vAlign w:val="bottom"/>
          </w:tcPr>
          <w:p>
            <w:pPr>
              <w:ind w:left="4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3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0"/>
              </w:rPr>
              <w:t>Finance</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Properties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3"/>
              </w:rPr>
              <w:t>Development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 and Development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1,036,855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1,036,855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Office / Industrial</w:t>
            </w:r>
          </w:p>
        </w:tc>
        <w:tc>
          <w:tcPr>
            <w:tcW w:w="1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168,213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771,541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122,484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1,062,238</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Hotel</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333,114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136,080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107,534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576,728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Entertainment / Leisure</w:t>
            </w:r>
          </w:p>
        </w:tc>
        <w:tc>
          <w:tcPr>
            <w:tcW w:w="1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490,200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490,200</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Condominium</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380,851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82,487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463,338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Mixed Use / Mixed Collateral</w:t>
            </w:r>
          </w:p>
        </w:tc>
        <w:tc>
          <w:tcPr>
            <w:tcW w:w="1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291,526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171,045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462,571</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Property Types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236,862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23,039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259,901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Retail</w:t>
            </w:r>
          </w:p>
        </w:tc>
        <w:tc>
          <w:tcPr>
            <w:tcW w:w="1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63,173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57,348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124,850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245,371</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Strategic Investments</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33,350</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57"/>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1,473,739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1,478,208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608,400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1,036,855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4,630,552</w:t>
            </w: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0" w:type="dxa"/>
            <w:vAlign w:val="bottom"/>
            <w:gridSpan w:val="6"/>
          </w:tcPr>
          <w:p>
            <w:pPr>
              <w:spacing w:after="0"/>
              <w:rPr>
                <w:sz w:val="20"/>
                <w:szCs w:val="20"/>
                <w:color w:val="auto"/>
              </w:rPr>
            </w:pPr>
            <w:r>
              <w:rPr>
                <w:rFonts w:ascii="Arial" w:cs="Arial" w:eastAsia="Arial" w:hAnsi="Arial"/>
                <w:sz w:val="18"/>
                <w:szCs w:val="18"/>
                <w:b w:val="1"/>
                <w:bCs w:val="1"/>
                <w:color w:val="auto"/>
              </w:rPr>
              <w:t>Geography</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3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Geographic Region</w:t>
            </w:r>
          </w:p>
        </w:tc>
        <w:tc>
          <w:tcPr>
            <w:tcW w:w="12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Real Estate</w:t>
            </w:r>
          </w:p>
        </w:tc>
        <w:tc>
          <w:tcPr>
            <w:tcW w:w="200" w:type="dxa"/>
            <w:vAlign w:val="bottom"/>
          </w:tcPr>
          <w:p>
            <w:pPr>
              <w:spacing w:after="0"/>
              <w:rPr>
                <w:sz w:val="24"/>
                <w:szCs w:val="24"/>
                <w:color w:val="auto"/>
              </w:rPr>
            </w:pPr>
          </w:p>
        </w:tc>
        <w:tc>
          <w:tcPr>
            <w:tcW w:w="1020" w:type="dxa"/>
            <w:vAlign w:val="bottom"/>
            <w:gridSpan w:val="2"/>
            <w:vMerge w:val="restart"/>
          </w:tcPr>
          <w:p>
            <w:pPr>
              <w:jc w:val="right"/>
              <w:ind w:right="230"/>
              <w:spacing w:after="0"/>
              <w:rPr>
                <w:sz w:val="20"/>
                <w:szCs w:val="20"/>
                <w:color w:val="auto"/>
              </w:rPr>
            </w:pPr>
            <w:r>
              <w:rPr>
                <w:rFonts w:ascii="Arial" w:cs="Arial" w:eastAsia="Arial" w:hAnsi="Arial"/>
                <w:sz w:val="14"/>
                <w:szCs w:val="14"/>
                <w:b w:val="1"/>
                <w:bCs w:val="1"/>
                <w:color w:val="auto"/>
              </w:rPr>
              <w:t>Net Lease</w:t>
            </w:r>
          </w:p>
        </w:tc>
        <w:tc>
          <w:tcPr>
            <w:tcW w:w="10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3"/>
          </w:tcPr>
          <w:p>
            <w:pPr>
              <w:ind w:left="100"/>
              <w:spacing w:after="0"/>
              <w:rPr>
                <w:sz w:val="20"/>
                <w:szCs w:val="20"/>
                <w:color w:val="auto"/>
              </w:rPr>
            </w:pPr>
            <w:r>
              <w:rPr>
                <w:rFonts w:ascii="Arial" w:cs="Arial" w:eastAsia="Arial" w:hAnsi="Arial"/>
                <w:sz w:val="14"/>
                <w:szCs w:val="14"/>
                <w:b w:val="1"/>
                <w:bCs w:val="1"/>
                <w:color w:val="auto"/>
              </w:rPr>
              <w:t>Operating</w:t>
            </w:r>
          </w:p>
        </w:tc>
        <w:tc>
          <w:tcPr>
            <w:tcW w:w="16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Land and</w:t>
            </w:r>
          </w:p>
        </w:tc>
        <w:tc>
          <w:tcPr>
            <w:tcW w:w="260" w:type="dxa"/>
            <w:vAlign w:val="bottom"/>
          </w:tcPr>
          <w:p>
            <w:pPr>
              <w:spacing w:after="0"/>
              <w:rPr>
                <w:sz w:val="24"/>
                <w:szCs w:val="24"/>
                <w:color w:val="auto"/>
              </w:rPr>
            </w:pPr>
          </w:p>
        </w:tc>
        <w:tc>
          <w:tcPr>
            <w:tcW w:w="96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24"/>
                <w:szCs w:val="24"/>
                <w:color w:val="auto"/>
              </w:rPr>
            </w:pPr>
          </w:p>
        </w:tc>
        <w:tc>
          <w:tcPr>
            <w:tcW w:w="1280" w:type="dxa"/>
            <w:vAlign w:val="bottom"/>
          </w:tcPr>
          <w:p>
            <w:pPr>
              <w:ind w:left="4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3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0"/>
              </w:rPr>
              <w:t>Finance</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Properties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3"/>
              </w:rPr>
              <w:t>Development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Northeast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790,113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379,731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47,322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233,672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1,450,838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West</w:t>
            </w:r>
          </w:p>
        </w:tc>
        <w:tc>
          <w:tcPr>
            <w:tcW w:w="1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87,037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304,854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37,518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362,578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791,987</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3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Southeast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126,814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235,490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150,066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156,326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668,696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Mid-Atlantic</w:t>
            </w:r>
          </w:p>
        </w:tc>
        <w:tc>
          <w:tcPr>
            <w:tcW w:w="1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168,213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153,084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53,774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218,982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594,053</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3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Southwest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77,378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183,920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239,297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28,393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528,988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Central</w:t>
            </w:r>
          </w:p>
        </w:tc>
        <w:tc>
          <w:tcPr>
            <w:tcW w:w="1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150,829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79,411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65,869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31,500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327,609</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3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Various</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73,355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141,718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14,554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5,404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235,031</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0"/>
        </w:trPr>
        <w:tc>
          <w:tcPr>
            <w:tcW w:w="31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Strategic Investments</w:t>
            </w:r>
            <w:r>
              <w:rPr>
                <w:rFonts w:ascii="Arial" w:cs="Arial" w:eastAsia="Arial" w:hAnsi="Arial"/>
                <w:sz w:val="25"/>
                <w:szCs w:val="25"/>
                <w:color w:val="auto"/>
                <w:vertAlign w:val="superscript"/>
              </w:rPr>
              <w:t>(2)</w:t>
            </w:r>
          </w:p>
        </w:tc>
        <w:tc>
          <w:tcPr>
            <w:tcW w:w="18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33,350</w:t>
            </w: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57"/>
        </w:trPr>
        <w:tc>
          <w:tcPr>
            <w:tcW w:w="31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1,473,739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1,478,208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608,400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1,036,855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4,630,552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3"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Based on the carrying value of our total investment portfolio gross of accumulated depreciation and general loan loss reserves.</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Combined, strategic investments and the various category include $18.3 million of international assets.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Segments</w:t>
      </w:r>
    </w:p>
    <w:p>
      <w:pPr>
        <w:spacing w:after="0" w:line="14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Company has four business segments: Real Estate Finance, Net Lease, Operating Properties and Land and Development. The following describes the Company's reportable segments as of December 31, 2016 ($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Real Estate</w:t>
            </w:r>
          </w:p>
        </w:tc>
        <w:tc>
          <w:tcPr>
            <w:tcW w:w="220" w:type="dxa"/>
            <w:vAlign w:val="bottom"/>
          </w:tcPr>
          <w:p>
            <w:pPr>
              <w:spacing w:after="0"/>
              <w:rPr>
                <w:sz w:val="14"/>
                <w:szCs w:val="14"/>
                <w:color w:val="auto"/>
              </w:rPr>
            </w:pPr>
          </w:p>
        </w:tc>
        <w:tc>
          <w:tcPr>
            <w:tcW w:w="104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Net Lease</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Operating</w:t>
            </w:r>
          </w:p>
        </w:tc>
        <w:tc>
          <w:tcPr>
            <w:tcW w:w="160" w:type="dxa"/>
            <w:vAlign w:val="bottom"/>
          </w:tcPr>
          <w:p>
            <w:pPr>
              <w:spacing w:after="0"/>
              <w:rPr>
                <w:sz w:val="14"/>
                <w:szCs w:val="14"/>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Land and</w:t>
            </w:r>
          </w:p>
        </w:tc>
        <w:tc>
          <w:tcPr>
            <w:tcW w:w="20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Corporate /</w:t>
            </w:r>
          </w:p>
        </w:tc>
        <w:tc>
          <w:tcPr>
            <w:tcW w:w="280" w:type="dxa"/>
            <w:vAlign w:val="bottom"/>
          </w:tcPr>
          <w:p>
            <w:pPr>
              <w:spacing w:after="0"/>
              <w:rPr>
                <w:sz w:val="14"/>
                <w:szCs w:val="14"/>
                <w:color w:val="auto"/>
              </w:rPr>
            </w:pPr>
          </w:p>
        </w:tc>
        <w:tc>
          <w:tcPr>
            <w:tcW w:w="98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Finance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Properties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5"/>
              </w:rPr>
              <w:t>Development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Other</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at cost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1,384,255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522,337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1,906,592</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(368,665)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(46,175)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(414,840)</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net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1,015,590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476,162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1,491,752</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Real estate available and held for sale</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82,480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83,764</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1,016,874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558,642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1,575,516</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Land and development, net</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945,565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945,565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Loans receivable and other lending</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net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1,450,439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1,450,439</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92,669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3,583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84,804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33,350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214,406</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portfolio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1,450,439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1,109,543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562,225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1,030,369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33,350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4,185,926</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3" w:lineRule="exact"/>
        <w:rPr>
          <w:sz w:val="20"/>
          <w:szCs w:val="20"/>
          <w:color w:val="auto"/>
        </w:rPr>
      </w:pPr>
    </w:p>
    <w:p>
      <w:pPr>
        <w:ind w:left="660" w:hanging="652"/>
        <w:spacing w:after="0" w:line="255"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Corporate/Other includes certain joint venture and strategic investments that are not included in the other reportable segments. See Item 8—"Financial Statements and Supplemental Data —Note 7" for further detail on these investments.</w:t>
      </w:r>
    </w:p>
    <w:p>
      <w:pPr>
        <w:spacing w:after="0" w:line="13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Additional information regarding segment revenue and profit information as well as prior period information is presented in Item 8—"Financial Statements and Supplemental Data—Note 17" and a discussion of operating results is presented in Item 7—"Management's Discussion and Analysis of Financial Condition and Results of Operations."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Finance</w:t>
      </w:r>
    </w:p>
    <w:p>
      <w:pPr>
        <w:spacing w:after="0" w:line="14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Company's real estate finance business targets sophisticated investors by providing one-stop capabilities that encompass financing alternatives ranging from full envelope senior loans to mezzanine and preferred equity capital positions. The Company's real estate finance portfolio consists of senior mortgage loans that are secured by commercial real estate assets where the Company is the first lien holder, subordinated mortgage loans that are secured by second lien or junior interests in commercial and residential real estate assets, and corporate/partnership loans, which represent mezzanine or subordinated loans to entities for which the Company does not have a lien on the underlying asset, but may have a pledge of underlying equity ownership of such assets. The Company's real estate finance portfolio includes loans on stabilized and transitional properties and ground-up construction projects. In addition, the Company has preferred equity investments and debt securities classified as other lending investments.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real estate finance portfolio included the following ($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2016</w:t>
            </w:r>
          </w:p>
        </w:tc>
        <w:tc>
          <w:tcPr>
            <w:tcW w:w="12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2015</w:t>
            </w:r>
          </w:p>
        </w:tc>
        <w:tc>
          <w:tcPr>
            <w:tcW w:w="12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0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20" w:type="dxa"/>
            <w:vAlign w:val="bottom"/>
            <w:gridSpan w:val="3"/>
          </w:tcPr>
          <w:p>
            <w:pPr>
              <w:jc w:val="right"/>
              <w:ind w:right="940"/>
              <w:spacing w:after="0"/>
              <w:rPr>
                <w:sz w:val="20"/>
                <w:szCs w:val="20"/>
                <w:color w:val="auto"/>
              </w:rPr>
            </w:pPr>
            <w:r>
              <w:rPr>
                <w:rFonts w:ascii="Arial" w:cs="Arial" w:eastAsia="Arial" w:hAnsi="Arial"/>
                <w:sz w:val="14"/>
                <w:szCs w:val="14"/>
                <w:b w:val="1"/>
                <w:bCs w:val="1"/>
                <w:color w:val="auto"/>
              </w:rPr>
              <w:t>Total</w:t>
            </w: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 of Total</w:t>
            </w:r>
          </w:p>
        </w:tc>
        <w:tc>
          <w:tcPr>
            <w:tcW w:w="600" w:type="dxa"/>
            <w:vAlign w:val="bottom"/>
          </w:tcPr>
          <w:p>
            <w:pPr>
              <w:spacing w:after="0"/>
              <w:rPr>
                <w:sz w:val="22"/>
                <w:szCs w:val="22"/>
                <w:color w:val="auto"/>
              </w:rPr>
            </w:pPr>
          </w:p>
        </w:tc>
        <w:tc>
          <w:tcPr>
            <w:tcW w:w="1320" w:type="dxa"/>
            <w:vAlign w:val="bottom"/>
            <w:gridSpan w:val="3"/>
          </w:tcPr>
          <w:p>
            <w:pPr>
              <w:jc w:val="right"/>
              <w:ind w:right="960"/>
              <w:spacing w:after="0"/>
              <w:rPr>
                <w:sz w:val="20"/>
                <w:szCs w:val="20"/>
                <w:color w:val="auto"/>
              </w:rPr>
            </w:pPr>
            <w:r>
              <w:rPr>
                <w:rFonts w:ascii="Arial" w:cs="Arial" w:eastAsia="Arial" w:hAnsi="Arial"/>
                <w:sz w:val="14"/>
                <w:szCs w:val="14"/>
                <w:b w:val="1"/>
                <w:bCs w:val="1"/>
                <w:color w:val="auto"/>
              </w:rPr>
              <w:t>Total</w:t>
            </w:r>
          </w:p>
        </w:tc>
        <w:tc>
          <w:tcPr>
            <w:tcW w:w="1220" w:type="dxa"/>
            <w:vAlign w:val="bottom"/>
          </w:tcPr>
          <w:p>
            <w:pPr>
              <w:jc w:val="right"/>
              <w:ind w:right="311"/>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250"/>
        </w:trPr>
        <w:tc>
          <w:tcPr>
            <w:tcW w:w="5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Performing loans:</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Senior mortgages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854,805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849,161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Corporate/partnership loans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333,244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637,532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Subordinate mortgages</w:t>
            </w: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14,078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28,676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1,202,127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1,515,369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70"/>
        </w:trPr>
        <w:tc>
          <w:tcPr>
            <w:tcW w:w="5060" w:type="dxa"/>
            <w:vAlign w:val="bottom"/>
          </w:tcPr>
          <w:p>
            <w:pPr>
              <w:ind w:left="40"/>
              <w:spacing w:after="0" w:line="270" w:lineRule="exact"/>
              <w:rPr>
                <w:sz w:val="20"/>
                <w:szCs w:val="20"/>
                <w:color w:val="auto"/>
              </w:rPr>
            </w:pPr>
            <w:r>
              <w:rPr>
                <w:rFonts w:ascii="Arial" w:cs="Arial" w:eastAsia="Arial" w:hAnsi="Arial"/>
                <w:sz w:val="18"/>
                <w:szCs w:val="18"/>
                <w:color w:val="auto"/>
              </w:rPr>
              <w:t>Non-performing loans</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Senior mortgages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36,159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57,127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Corporate/partnership loans</w:t>
            </w: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144,674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3,200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Subordinate mortgages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10,863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060" w:type="dxa"/>
            <w:vAlign w:val="bottom"/>
          </w:tcPr>
          <w:p>
            <w:pPr>
              <w:ind w:left="18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191,696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60,327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carrying value of loans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1,393,823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1,575,696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Other lending investments—securities</w:t>
            </w: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79,916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62,289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carrying value</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1,473,739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1,637,985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060" w:type="dxa"/>
            <w:vAlign w:val="bottom"/>
            <w:vMerge w:val="restart"/>
          </w:tcPr>
          <w:p>
            <w:pPr>
              <w:ind w:left="40"/>
              <w:spacing w:after="0"/>
              <w:rPr>
                <w:sz w:val="20"/>
                <w:szCs w:val="20"/>
                <w:color w:val="auto"/>
              </w:rPr>
            </w:pPr>
            <w:r>
              <w:rPr>
                <w:rFonts w:ascii="Arial" w:cs="Arial" w:eastAsia="Arial" w:hAnsi="Arial"/>
                <w:sz w:val="18"/>
                <w:szCs w:val="18"/>
                <w:color w:val="auto"/>
              </w:rPr>
              <w:t>General reserve for loan losses</w:t>
            </w:r>
          </w:p>
        </w:tc>
        <w:tc>
          <w:tcPr>
            <w:tcW w:w="380" w:type="dxa"/>
            <w:vAlign w:val="bottom"/>
          </w:tcPr>
          <w:p>
            <w:pPr>
              <w:spacing w:after="0" w:line="20" w:lineRule="exact"/>
              <w:rPr>
                <w:sz w:val="1"/>
                <w:szCs w:val="1"/>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(23,300)</w:t>
            </w: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(36,000)</w:t>
            </w: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6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loans receivable and other lending investments, net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1,450,439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1,601,985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5262245</wp:posOffset>
            </wp:positionH>
            <wp:positionV relativeFrom="paragraph">
              <wp:posOffset>-98425</wp:posOffset>
            </wp:positionV>
            <wp:extent cx="10121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12190" cy="8890"/>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-98425</wp:posOffset>
            </wp:positionV>
            <wp:extent cx="10121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ind w:left="660" w:hanging="652"/>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Non-performing loans are presented net of asset-specific loan loss reserves of $62.2 million and $72.2 million, respectively, as of December 31, 2016 and 2015.</w:t>
      </w:r>
    </w:p>
    <w:p>
      <w:pPr>
        <w:spacing w:after="0" w:line="21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Summary of Portfolio Characteristics</w:t>
      </w:r>
      <w:r>
        <w:rPr>
          <w:rFonts w:ascii="Arial" w:cs="Arial" w:eastAsia="Arial" w:hAnsi="Arial"/>
          <w:sz w:val="18"/>
          <w:szCs w:val="18"/>
          <w:color w:val="auto"/>
        </w:rPr>
        <w:t>—As of December 31, 2016, the Company's performing loans and other lending investments had a weighted</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loan to value ratio of 64%. Additionally, the Company's performing loans were comprised of 22% fixed-rate loans and 78% variable-rate loans that had a weighted average yield of 8.9% and a weighted average remaining term of 2.1 years.</w:t>
      </w:r>
    </w:p>
    <w:p>
      <w:pPr>
        <w:spacing w:after="0" w:line="39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i w:val="1"/>
          <w:iCs w:val="1"/>
          <w:color w:val="auto"/>
        </w:rPr>
        <w:t>Portfolio Activity</w:t>
      </w:r>
      <w:r>
        <w:rPr>
          <w:rFonts w:ascii="Arial" w:cs="Arial" w:eastAsia="Arial" w:hAnsi="Arial"/>
          <w:sz w:val="17"/>
          <w:szCs w:val="17"/>
          <w:color w:val="auto"/>
        </w:rPr>
        <w:t>—During the year ended December 31, 2016, the Company invested $474.0 million (including capitalized deferred interest) in its real</w:t>
      </w:r>
      <w:r>
        <w:rPr>
          <w:rFonts w:ascii="Arial" w:cs="Arial" w:eastAsia="Arial" w:hAnsi="Arial"/>
          <w:sz w:val="17"/>
          <w:szCs w:val="17"/>
          <w:i w:val="1"/>
          <w:iCs w:val="1"/>
          <w:color w:val="auto"/>
        </w:rPr>
        <w:t xml:space="preserve"> </w:t>
      </w:r>
      <w:r>
        <w:rPr>
          <w:rFonts w:ascii="Arial" w:cs="Arial" w:eastAsia="Arial" w:hAnsi="Arial"/>
          <w:sz w:val="17"/>
          <w:szCs w:val="17"/>
          <w:color w:val="auto"/>
        </w:rPr>
        <w:t>estate finance portfolio and received repayments of $614.2 million (including the receipt of previously capitalized deferred interest).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i w:val="1"/>
          <w:iCs w:val="1"/>
          <w:color w:val="auto"/>
        </w:rPr>
        <w:t>Summary of Interest Rate Characteristics</w:t>
      </w:r>
      <w:r>
        <w:rPr>
          <w:rFonts w:ascii="Arial" w:cs="Arial" w:eastAsia="Arial" w:hAnsi="Arial"/>
          <w:sz w:val="18"/>
          <w:szCs w:val="18"/>
          <w:color w:val="auto"/>
        </w:rPr>
        <w:t>—The Company's loans receivable and other lending investments had the following interest rate characteristics</w:t>
      </w:r>
      <w:r>
        <w:rPr>
          <w:rFonts w:ascii="Arial" w:cs="Arial" w:eastAsia="Arial" w:hAnsi="Arial"/>
          <w:sz w:val="18"/>
          <w:szCs w:val="18"/>
          <w:i w:val="1"/>
          <w:iCs w:val="1"/>
          <w:color w:val="auto"/>
        </w:rPr>
        <w:t xml:space="preserve"> </w:t>
      </w:r>
      <w:r>
        <w:rPr>
          <w:rFonts w:ascii="Arial" w:cs="Arial" w:eastAsia="Arial" w:hAnsi="Arial"/>
          <w:sz w:val="18"/>
          <w:szCs w:val="18"/>
          <w:color w:val="auto"/>
        </w:rPr>
        <w:t>($ in thousands):</w:t>
      </w: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b w:val="1"/>
                <w:bCs w:val="1"/>
                <w:color w:val="auto"/>
              </w:rPr>
              <w:t>As of December 31,</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Carrying</w:t>
            </w:r>
          </w:p>
        </w:tc>
        <w:tc>
          <w:tcPr>
            <w:tcW w:w="960" w:type="dxa"/>
            <w:vAlign w:val="bottom"/>
            <w:gridSpan w:val="2"/>
            <w:vMerge w:val="restart"/>
          </w:tcPr>
          <w:p>
            <w:pPr>
              <w:jc w:val="right"/>
              <w:ind w:right="27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2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3"/>
                <w:szCs w:val="13"/>
                <w:color w:val="auto"/>
              </w:rPr>
            </w:pPr>
          </w:p>
        </w:tc>
        <w:tc>
          <w:tcPr>
            <w:tcW w:w="9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Carrying</w:t>
            </w:r>
          </w:p>
        </w:tc>
        <w:tc>
          <w:tcPr>
            <w:tcW w:w="980" w:type="dxa"/>
            <w:vAlign w:val="bottom"/>
            <w:gridSpan w:val="2"/>
            <w:vMerge w:val="restart"/>
          </w:tcPr>
          <w:p>
            <w:pPr>
              <w:jc w:val="right"/>
              <w:ind w:right="27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2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44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of Total</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Accrual Rate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of Total</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Accrual Rate</w:t>
            </w: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Fixed-rate loans and other lending investments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282,810</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487,514</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0"/>
        </w:trPr>
        <w:tc>
          <w:tcPr>
            <w:tcW w:w="4440" w:type="dxa"/>
            <w:vAlign w:val="bottom"/>
          </w:tcPr>
          <w:p>
            <w:pPr>
              <w:ind w:left="20"/>
              <w:spacing w:after="0" w:line="270" w:lineRule="exact"/>
              <w:rPr>
                <w:sz w:val="20"/>
                <w:szCs w:val="20"/>
                <w:color w:val="auto"/>
              </w:rPr>
            </w:pPr>
            <w:r>
              <w:rPr>
                <w:rFonts w:ascii="Arial" w:cs="Arial" w:eastAsia="Arial" w:hAnsi="Arial"/>
                <w:sz w:val="18"/>
                <w:szCs w:val="18"/>
                <w:color w:val="auto"/>
              </w:rPr>
              <w:t>Variable-rate loans</w:t>
            </w:r>
            <w:r>
              <w:rPr>
                <w:rFonts w:ascii="Arial" w:cs="Arial" w:eastAsia="Arial" w:hAnsi="Arial"/>
                <w:sz w:val="25"/>
                <w:szCs w:val="25"/>
                <w:color w:val="auto"/>
                <w:vertAlign w:val="superscript"/>
              </w:rPr>
              <w:t>(1)</w:t>
            </w:r>
          </w:p>
        </w:tc>
        <w:tc>
          <w:tcPr>
            <w:tcW w:w="200" w:type="dxa"/>
            <w:vAlign w:val="bottom"/>
          </w:tcPr>
          <w:p>
            <w:pPr>
              <w:spacing w:after="0"/>
              <w:rPr>
                <w:sz w:val="23"/>
                <w:szCs w:val="23"/>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999,233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67.8%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1,090,144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66.5%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0"/>
        </w:trPr>
        <w:tc>
          <w:tcPr>
            <w:tcW w:w="44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Non-performing loans</w:t>
            </w:r>
            <w:r>
              <w:rPr>
                <w:rFonts w:ascii="Arial" w:cs="Arial" w:eastAsia="Arial" w:hAnsi="Arial"/>
                <w:sz w:val="25"/>
                <w:szCs w:val="25"/>
                <w:color w:val="auto"/>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191,696</w:t>
            </w:r>
          </w:p>
        </w:tc>
        <w:tc>
          <w:tcPr>
            <w:tcW w:w="100" w:type="dxa"/>
            <w:vAlign w:val="bottom"/>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N/A</w:t>
            </w: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60,327</w:t>
            </w:r>
          </w:p>
        </w:tc>
        <w:tc>
          <w:tcPr>
            <w:tcW w:w="120" w:type="dxa"/>
            <w:vAlign w:val="bottom"/>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2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4440" w:type="dxa"/>
            <w:vAlign w:val="bottom"/>
          </w:tcPr>
          <w:p>
            <w:pPr>
              <w:ind w:left="20"/>
              <w:spacing w:after="0"/>
              <w:rPr>
                <w:sz w:val="20"/>
                <w:szCs w:val="20"/>
                <w:color w:val="auto"/>
              </w:rPr>
            </w:pPr>
            <w:r>
              <w:rPr>
                <w:rFonts w:ascii="Arial" w:cs="Arial" w:eastAsia="Arial" w:hAnsi="Arial"/>
                <w:sz w:val="18"/>
                <w:szCs w:val="18"/>
                <w:color w:val="auto"/>
              </w:rPr>
              <w:t>Total carrying value</w:t>
            </w:r>
          </w:p>
        </w:tc>
        <w:tc>
          <w:tcPr>
            <w:tcW w:w="200" w:type="dxa"/>
            <w:vAlign w:val="bottom"/>
          </w:tcPr>
          <w:p>
            <w:pPr>
              <w:spacing w:after="0"/>
              <w:rPr>
                <w:sz w:val="24"/>
                <w:szCs w:val="24"/>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w w:val="99"/>
              </w:rPr>
              <w:t>1,473,739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1,637,985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reserve for loan losses</w:t>
            </w: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9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(23,300)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18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9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0" w:type="dxa"/>
            <w:vAlign w:val="bottom"/>
            <w:tcBorders>
              <w:top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40" w:type="dxa"/>
            <w:vAlign w:val="bottom"/>
          </w:tcPr>
          <w:p>
            <w:pPr>
              <w:ind w:left="20"/>
              <w:spacing w:after="0"/>
              <w:rPr>
                <w:sz w:val="20"/>
                <w:szCs w:val="20"/>
                <w:color w:val="auto"/>
              </w:rPr>
            </w:pPr>
            <w:r>
              <w:rPr>
                <w:rFonts w:ascii="Arial" w:cs="Arial" w:eastAsia="Arial" w:hAnsi="Arial"/>
                <w:sz w:val="18"/>
                <w:szCs w:val="18"/>
                <w:color w:val="auto"/>
                <w:w w:val="96"/>
              </w:rPr>
              <w:t>Total loans receivable and other lending investments, net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99"/>
              </w:rPr>
              <w:t>1,450,439</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1,601,985</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8890</wp:posOffset>
            </wp:positionV>
            <wp:extent cx="7200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8890</wp:posOffset>
            </wp:positionV>
            <wp:extent cx="7200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-98425</wp:posOffset>
            </wp:positionV>
            <wp:extent cx="7200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-98425</wp:posOffset>
            </wp:positionV>
            <wp:extent cx="7200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ind w:left="660" w:hanging="652"/>
        <w:spacing w:after="0"/>
        <w:tabs>
          <w:tab w:leader="none" w:pos="6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As of December 31, 2016 and 2015, includes $657.9 million and $807.8 million, respectively, of loans with a weighted average interest rate floor of 0.2% and 0.8%, respectively.</w:t>
      </w:r>
    </w:p>
    <w:p>
      <w:pPr>
        <w:spacing w:after="0" w:line="12" w:lineRule="exact"/>
        <w:rPr>
          <w:rFonts w:ascii="Arial" w:cs="Arial" w:eastAsia="Arial" w:hAnsi="Arial"/>
          <w:sz w:val="13"/>
          <w:szCs w:val="13"/>
          <w:color w:val="auto"/>
        </w:rPr>
      </w:pPr>
    </w:p>
    <w:p>
      <w:pPr>
        <w:ind w:left="660" w:hanging="652"/>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Non-performing loans are presented net of asset-specific loan loss reserves of $62.2 million and $72.2 million, respectively, as of December 31, 2016 and 2015.</w:t>
      </w:r>
    </w:p>
    <w:p>
      <w:pPr>
        <w:spacing w:after="0" w:line="12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i w:val="1"/>
          <w:iCs w:val="1"/>
          <w:color w:val="auto"/>
        </w:rPr>
        <w:t>Summary of Maturities</w:t>
      </w:r>
      <w:r>
        <w:rPr>
          <w:rFonts w:ascii="Arial" w:cs="Arial" w:eastAsia="Arial" w:hAnsi="Arial"/>
          <w:sz w:val="18"/>
          <w:szCs w:val="18"/>
          <w:color w:val="auto"/>
        </w:rPr>
        <w:t>—As of December 31, 2016 the Company's loans receivable and other lending investments had the following maturities ($ in</w:t>
      </w:r>
      <w:r>
        <w:rPr>
          <w:rFonts w:ascii="Arial" w:cs="Arial" w:eastAsia="Arial" w:hAnsi="Arial"/>
          <w:sz w:val="18"/>
          <w:szCs w:val="18"/>
          <w:i w:val="1"/>
          <w:iCs w:val="1"/>
          <w:color w:val="auto"/>
        </w:rPr>
        <w:t xml:space="preserve"> </w:t>
      </w:r>
      <w:r>
        <w:rPr>
          <w:rFonts w:ascii="Arial" w:cs="Arial" w:eastAsia="Arial" w:hAnsi="Arial"/>
          <w:sz w:val="18"/>
          <w:szCs w:val="18"/>
          <w:color w:val="auto"/>
        </w:rPr>
        <w:t>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left="248"/>
              <w:spacing w:after="0"/>
              <w:rPr>
                <w:sz w:val="20"/>
                <w:szCs w:val="20"/>
                <w:color w:val="auto"/>
              </w:rPr>
            </w:pPr>
            <w:r>
              <w:rPr>
                <w:rFonts w:ascii="Arial" w:cs="Arial" w:eastAsia="Arial" w:hAnsi="Arial"/>
                <w:sz w:val="14"/>
                <w:szCs w:val="14"/>
                <w:b w:val="1"/>
                <w:bCs w:val="1"/>
                <w:color w:val="auto"/>
                <w:w w:val="97"/>
              </w:rPr>
              <w:t>Number of</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Carrying</w:t>
            </w:r>
          </w:p>
        </w:tc>
        <w:tc>
          <w:tcPr>
            <w:tcW w:w="1660" w:type="dxa"/>
            <w:vAlign w:val="bottom"/>
            <w:gridSpan w:val="2"/>
            <w:vMerge w:val="restart"/>
          </w:tcPr>
          <w:p>
            <w:pPr>
              <w:jc w:val="right"/>
              <w:ind w:right="61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66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Year of Maturity</w:t>
            </w:r>
          </w:p>
        </w:tc>
        <w:tc>
          <w:tcPr>
            <w:tcW w:w="100" w:type="dxa"/>
            <w:vAlign w:val="bottom"/>
            <w:vMerge w:val="restart"/>
          </w:tcPr>
          <w:p>
            <w:pPr>
              <w:spacing w:after="0"/>
              <w:rPr>
                <w:sz w:val="12"/>
                <w:szCs w:val="12"/>
                <w:color w:val="auto"/>
              </w:rPr>
            </w:pPr>
          </w:p>
        </w:tc>
        <w:tc>
          <w:tcPr>
            <w:tcW w:w="104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87"/>
              </w:rPr>
              <w:t>Loans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rPr>
              <w:t>Maturing</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of Total</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450,100</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43"/>
        </w:trPr>
        <w:tc>
          <w:tcPr>
            <w:tcW w:w="6600" w:type="dxa"/>
            <w:vAlign w:val="bottom"/>
          </w:tcPr>
          <w:p>
            <w:pPr>
              <w:ind w:left="4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9"/>
              </w:rPr>
              <w:t>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693,695</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27,615</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6600" w:type="dxa"/>
            <w:vAlign w:val="bottom"/>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44,569</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00" w:type="dxa"/>
            <w:vAlign w:val="bottom"/>
            <w:gridSpan w:val="2"/>
          </w:tcPr>
          <w:p>
            <w:pPr>
              <w:ind w:left="40"/>
              <w:spacing w:after="0"/>
              <w:rPr>
                <w:sz w:val="20"/>
                <w:szCs w:val="20"/>
                <w:color w:val="auto"/>
              </w:rPr>
            </w:pPr>
            <w:r>
              <w:rPr>
                <w:rFonts w:ascii="Arial" w:cs="Arial" w:eastAsia="Arial" w:hAnsi="Arial"/>
                <w:sz w:val="18"/>
                <w:szCs w:val="18"/>
                <w:color w:val="auto"/>
              </w:rPr>
              <w:t>2022 and thereafter</w:t>
            </w:r>
          </w:p>
        </w:tc>
        <w:tc>
          <w:tcPr>
            <w:tcW w:w="104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66,064</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performing loans and other lending investments</w:t>
            </w: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1,282,043</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70"/>
        </w:trPr>
        <w:tc>
          <w:tcPr>
            <w:tcW w:w="670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8"/>
                <w:szCs w:val="18"/>
                <w:color w:val="auto"/>
              </w:rPr>
              <w:t>Non-performing loans</w:t>
            </w:r>
            <w:r>
              <w:rPr>
                <w:rFonts w:ascii="Arial" w:cs="Arial" w:eastAsia="Arial" w:hAnsi="Arial"/>
                <w:sz w:val="25"/>
                <w:szCs w:val="25"/>
                <w:color w:val="auto"/>
                <w:vertAlign w:val="superscript"/>
              </w:rPr>
              <w:t>(1)</w:t>
            </w:r>
          </w:p>
        </w:tc>
        <w:tc>
          <w:tcPr>
            <w:tcW w:w="10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191,696</w:t>
            </w:r>
          </w:p>
        </w:tc>
        <w:tc>
          <w:tcPr>
            <w:tcW w:w="10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57"/>
        </w:trPr>
        <w:tc>
          <w:tcPr>
            <w:tcW w:w="6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carrying value</w:t>
            </w:r>
          </w:p>
        </w:tc>
        <w:tc>
          <w:tcPr>
            <w:tcW w:w="104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9"/>
              </w:rPr>
              <w:t>44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1,473,739</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General reserve for loan losses</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(23,300)</w:t>
            </w: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00" w:type="dxa"/>
            <w:vAlign w:val="bottom"/>
            <w:gridSpan w:val="2"/>
            <w:vMerge w:val="continue"/>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loans receivable and other lending investments, net</w:t>
            </w:r>
          </w:p>
        </w:tc>
        <w:tc>
          <w:tcPr>
            <w:tcW w:w="10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1,450,439</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3"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Non-performing loans are presented net of asset-specific loan loss reserves of $62.2 million.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Lease</w:t>
      </w:r>
    </w:p>
    <w:p>
      <w:pPr>
        <w:spacing w:after="0" w:line="27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Company's net lease business seeks to create stable cash flows through long-term net leases primarily to single tenants on its properties. The Company targets mission-critical facilities leased on a long-term basis to tenants, offering structured solutions that combine its capabilities in underwriting, lease structuring, asset management and build-to-suit construction. Leases typically provide for expenses at the facility to be paid by the tenant on a triple net lease basis. Under a typical net lease agreement, the tenant agrees to pay a base monthly operating lease payment and most or all of the facility operating expenses (including taxes, utilities, maintenance and insurance). The Company generally intends to hold its net lease assets for long-term investment. However, the Company may dispose of assets if it deems the disposition to be in the Company's best interests.</w:t>
      </w:r>
    </w:p>
    <w:p>
      <w:pPr>
        <w:spacing w:after="0" w:line="23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2014, the Company partnered with a sovereign wealth fund to form a venture to acquire and develop net lease assets and gave a right of first refusal to the venture on all new net lease investments that meet specified investment criteria (refer to Note 7 in our consolidated financial statements for more information on our Net Lease Venture). Subsequent to December 31, 2016, the Net Lease Venture's investment period was extended through February 1, 2018. The term of the Net Lease Venture extends through February 13, 2022, subject to two, one-year extension options at the discretion of the Company and its partner.</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net lease portfolio included the following ($ in thousands):</w:t>
      </w:r>
    </w:p>
    <w:p>
      <w:pPr>
        <w:spacing w:after="0" w:line="365" w:lineRule="exact"/>
        <w:rPr>
          <w:sz w:val="20"/>
          <w:szCs w:val="20"/>
          <w:color w:val="auto"/>
        </w:rPr>
      </w:pPr>
    </w:p>
    <w:tbl>
      <w:tblPr>
        <w:tblLayout w:type="fixed"/>
        <w:tblInd w:w="164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40" w:type="dxa"/>
            <w:vAlign w:val="bottom"/>
            <w:tcBorders>
              <w:bottom w:val="single" w:sz="8" w:color="auto"/>
            </w:tcBorders>
          </w:tcPr>
          <w:p>
            <w:pPr>
              <w:spacing w:after="0"/>
              <w:rPr>
                <w:sz w:val="16"/>
                <w:szCs w:val="16"/>
                <w:color w:val="auto"/>
              </w:rPr>
            </w:pPr>
          </w:p>
        </w:tc>
      </w:tr>
      <w:tr>
        <w:trPr>
          <w:trHeight w:val="264"/>
        </w:trPr>
        <w:tc>
          <w:tcPr>
            <w:tcW w:w="47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2015</w:t>
            </w: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at cost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1,384,255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1,489,895</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(368,665)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(377,416)</w:t>
            </w:r>
          </w:p>
        </w:tc>
      </w:tr>
      <w:tr>
        <w:trPr>
          <w:trHeight w:val="27"/>
        </w:trPr>
        <w:tc>
          <w:tcPr>
            <w:tcW w:w="47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net</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1,015,590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1,112,479</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Real estate available and held for sale</w:t>
            </w:r>
          </w:p>
        </w:tc>
        <w:tc>
          <w:tcPr>
            <w:tcW w:w="40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investments</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92,669</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69,096</w:t>
            </w:r>
          </w:p>
        </w:tc>
      </w:tr>
      <w:tr>
        <w:trPr>
          <w:trHeight w:val="257"/>
        </w:trPr>
        <w:tc>
          <w:tcPr>
            <w:tcW w:w="4720" w:type="dxa"/>
            <w:vAlign w:val="bottom"/>
          </w:tcPr>
          <w:p>
            <w:pPr>
              <w:ind w:left="2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1,109,543</w:t>
            </w:r>
          </w:p>
        </w:tc>
        <w:tc>
          <w:tcPr>
            <w:tcW w:w="10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1,181,575</w:t>
            </w:r>
          </w:p>
        </w:tc>
      </w:tr>
      <w:tr>
        <w:trPr>
          <w:trHeight w:val="20"/>
        </w:trPr>
        <w:tc>
          <w:tcPr>
            <w:tcW w:w="4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Summary of Portfolio Characteristics</w:t>
      </w:r>
      <w:r>
        <w:rPr>
          <w:rFonts w:ascii="Arial" w:cs="Arial" w:eastAsia="Arial" w:hAnsi="Arial"/>
          <w:sz w:val="18"/>
          <w:szCs w:val="18"/>
          <w:color w:val="auto"/>
        </w:rPr>
        <w:t>—As of December 31, 2016, the Company owned or had interests in 282 facilities, encompassing 17.2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square feet located in 33 states. The Company's net lease assets were 98% leased with a weighted average remaining lease term of approximately 14.7 years. The annual average effective base rent per square foot, net of any tenant concessions, was $8.59 per square foot.</w:t>
      </w:r>
    </w:p>
    <w:p>
      <w:pPr>
        <w:spacing w:after="0" w:line="10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Portfolio Activity</w:t>
      </w:r>
      <w:r>
        <w:rPr>
          <w:rFonts w:ascii="Arial" w:cs="Arial" w:eastAsia="Arial" w:hAnsi="Arial"/>
          <w:sz w:val="18"/>
          <w:szCs w:val="18"/>
          <w:color w:val="auto"/>
        </w:rPr>
        <w:t>—During the year ended December 31, 2016, the Company acquired two net lease assets for $36.6 million and invested an aggregate</w:t>
      </w:r>
      <w:r>
        <w:rPr>
          <w:rFonts w:ascii="Arial" w:cs="Arial" w:eastAsia="Arial" w:hAnsi="Arial"/>
          <w:sz w:val="18"/>
          <w:szCs w:val="18"/>
          <w:i w:val="1"/>
          <w:iCs w:val="1"/>
          <w:color w:val="auto"/>
        </w:rPr>
        <w:t xml:space="preserve"> </w:t>
      </w:r>
      <w:r>
        <w:rPr>
          <w:rFonts w:ascii="Arial" w:cs="Arial" w:eastAsia="Arial" w:hAnsi="Arial"/>
          <w:sz w:val="18"/>
          <w:szCs w:val="18"/>
          <w:color w:val="auto"/>
        </w:rPr>
        <w:t>$7.9 million of tenant improvements and capital expenditures on its existing net lease assets. In addition, during the year ended December 31, 2016, the Net Lease Venture acquired two office properties and the Company made contributions to the Net Lease Venture of $37.7 million. During the year ended December 31, 2016, the Company received proceeds of $123.4 million from its net lease portfolio (refer to Note 4 in the Company's consolidated financial statements for further details on consolidated net lease asset activities).</w:t>
      </w:r>
    </w:p>
    <w:p>
      <w:pPr>
        <w:spacing w:after="0" w:line="10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Summary of Lease Expirations</w:t>
      </w:r>
      <w:r>
        <w:rPr>
          <w:rFonts w:ascii="Arial" w:cs="Arial" w:eastAsia="Arial" w:hAnsi="Arial"/>
          <w:sz w:val="18"/>
          <w:szCs w:val="18"/>
          <w:color w:val="auto"/>
        </w:rPr>
        <w:t>—As of December 31, 2016, lease expirations on the Company's net lease assets, excluding other investments, are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 ($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left="368"/>
              <w:spacing w:after="0"/>
              <w:rPr>
                <w:sz w:val="20"/>
                <w:szCs w:val="20"/>
                <w:color w:val="auto"/>
              </w:rPr>
            </w:pPr>
            <w:r>
              <w:rPr>
                <w:rFonts w:ascii="Arial" w:cs="Arial" w:eastAsia="Arial" w:hAnsi="Arial"/>
                <w:sz w:val="14"/>
                <w:szCs w:val="14"/>
                <w:b w:val="1"/>
                <w:bCs w:val="1"/>
                <w:color w:val="auto"/>
                <w:w w:val="94"/>
              </w:rPr>
              <w:t>Number of</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Annualized In-Place</w:t>
            </w:r>
          </w:p>
        </w:tc>
        <w:tc>
          <w:tcPr>
            <w:tcW w:w="1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 of In-Place</w:t>
            </w:r>
          </w:p>
        </w:tc>
        <w:tc>
          <w:tcPr>
            <w:tcW w:w="166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 of Total</w:t>
            </w:r>
          </w:p>
        </w:tc>
        <w:tc>
          <w:tcPr>
            <w:tcW w:w="100" w:type="dxa"/>
            <w:vAlign w:val="bottom"/>
          </w:tcPr>
          <w:p>
            <w:pPr>
              <w:spacing w:after="0"/>
              <w:rPr>
                <w:sz w:val="14"/>
                <w:szCs w:val="14"/>
                <w:color w:val="auto"/>
              </w:rPr>
            </w:pPr>
          </w:p>
        </w:tc>
        <w:tc>
          <w:tcPr>
            <w:tcW w:w="15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6"/>
              </w:rPr>
              <w:t>Square Feet of Leases</w:t>
            </w:r>
          </w:p>
        </w:tc>
        <w:tc>
          <w:tcPr>
            <w:tcW w:w="0" w:type="dxa"/>
            <w:vAlign w:val="bottom"/>
          </w:tcPr>
          <w:p>
            <w:pPr>
              <w:spacing w:after="0"/>
              <w:rPr>
                <w:sz w:val="1"/>
                <w:szCs w:val="1"/>
                <w:color w:val="auto"/>
              </w:rPr>
            </w:pPr>
          </w:p>
        </w:tc>
      </w:tr>
      <w:tr>
        <w:trPr>
          <w:trHeight w:val="149"/>
        </w:trPr>
        <w:tc>
          <w:tcPr>
            <w:tcW w:w="2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Year of Lease Expiration</w:t>
            </w:r>
          </w:p>
        </w:tc>
        <w:tc>
          <w:tcPr>
            <w:tcW w:w="100" w:type="dxa"/>
            <w:vAlign w:val="bottom"/>
            <w:vMerge w:val="restart"/>
          </w:tcPr>
          <w:p>
            <w:pPr>
              <w:spacing w:after="0"/>
              <w:rPr>
                <w:sz w:val="12"/>
                <w:szCs w:val="12"/>
                <w:color w:val="auto"/>
              </w:rPr>
            </w:pPr>
          </w:p>
        </w:tc>
        <w:tc>
          <w:tcPr>
            <w:tcW w:w="114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88"/>
              </w:rPr>
              <w:t>Leases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Operating</w:t>
            </w:r>
          </w:p>
        </w:tc>
        <w:tc>
          <w:tcPr>
            <w:tcW w:w="1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Operating</w:t>
            </w:r>
          </w:p>
        </w:tc>
        <w:tc>
          <w:tcPr>
            <w:tcW w:w="1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b w:val="1"/>
                <w:bCs w:val="1"/>
                <w:color w:val="auto"/>
                <w:w w:val="96"/>
              </w:rPr>
              <w:t>Expiring</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0"/>
              </w:rPr>
              <w:t>Lease Income</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Lease Income</w:t>
            </w:r>
          </w:p>
        </w:tc>
        <w:tc>
          <w:tcPr>
            <w:tcW w:w="12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Revenue</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Expiring (in thousands)</w:t>
            </w:r>
          </w:p>
        </w:tc>
        <w:tc>
          <w:tcPr>
            <w:tcW w:w="0" w:type="dxa"/>
            <w:vAlign w:val="bottom"/>
          </w:tcPr>
          <w:p>
            <w:pPr>
              <w:spacing w:after="0"/>
              <w:rPr>
                <w:sz w:val="1"/>
                <w:szCs w:val="1"/>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2,738</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1,589</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0.4%</w:t>
            </w:r>
          </w:p>
        </w:tc>
        <w:tc>
          <w:tcPr>
            <w:tcW w:w="1680" w:type="dxa"/>
            <w:vAlign w:val="bottom"/>
            <w:gridSpan w:val="2"/>
          </w:tcPr>
          <w:p>
            <w:pPr>
              <w:jc w:val="right"/>
              <w:ind w:right="28"/>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1,488</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0.3%</w:t>
            </w:r>
          </w:p>
        </w:tc>
        <w:tc>
          <w:tcPr>
            <w:tcW w:w="1680" w:type="dxa"/>
            <w:vAlign w:val="bottom"/>
            <w:gridSpan w:val="2"/>
          </w:tcPr>
          <w:p>
            <w:pPr>
              <w:jc w:val="right"/>
              <w:ind w:right="28"/>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4,535</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9,709</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2.3%</w:t>
            </w:r>
          </w:p>
        </w:tc>
        <w:tc>
          <w:tcPr>
            <w:tcW w:w="1680" w:type="dxa"/>
            <w:vAlign w:val="bottom"/>
            <w:gridSpan w:val="2"/>
          </w:tcPr>
          <w:p>
            <w:pPr>
              <w:jc w:val="right"/>
              <w:ind w:right="28"/>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11,012</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29,326</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6.9%</w:t>
            </w:r>
          </w:p>
        </w:tc>
        <w:tc>
          <w:tcPr>
            <w:tcW w:w="1680" w:type="dxa"/>
            <w:vAlign w:val="bottom"/>
            <w:gridSpan w:val="2"/>
          </w:tcPr>
          <w:p>
            <w:pPr>
              <w:jc w:val="right"/>
              <w:ind w:right="28"/>
              <w:spacing w:after="0"/>
              <w:rPr>
                <w:sz w:val="20"/>
                <w:szCs w:val="20"/>
                <w:color w:val="auto"/>
              </w:rPr>
            </w:pPr>
            <w:r>
              <w:rPr>
                <w:rFonts w:ascii="Arial" w:cs="Arial" w:eastAsia="Arial" w:hAnsi="Arial"/>
                <w:sz w:val="18"/>
                <w:szCs w:val="18"/>
                <w:color w:val="auto"/>
              </w:rPr>
              <w:t>6,145</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10,924</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10,143</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2.4%</w:t>
            </w:r>
          </w:p>
        </w:tc>
        <w:tc>
          <w:tcPr>
            <w:tcW w:w="1680" w:type="dxa"/>
            <w:vAlign w:val="bottom"/>
            <w:gridSpan w:val="2"/>
          </w:tcPr>
          <w:p>
            <w:pPr>
              <w:jc w:val="right"/>
              <w:ind w:right="28"/>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2027 and thereafter</w:t>
            </w:r>
          </w:p>
        </w:tc>
        <w:tc>
          <w:tcPr>
            <w:tcW w:w="1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45,630</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6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3,610</w:t>
            </w:r>
          </w:p>
        </w:tc>
        <w:tc>
          <w:tcPr>
            <w:tcW w:w="0" w:type="dxa"/>
            <w:vAlign w:val="bottom"/>
          </w:tcPr>
          <w:p>
            <w:pPr>
              <w:spacing w:after="0"/>
              <w:rPr>
                <w:sz w:val="1"/>
                <w:szCs w:val="1"/>
                <w:color w:val="auto"/>
              </w:rPr>
            </w:pPr>
          </w:p>
        </w:tc>
      </w:tr>
      <w:tr>
        <w:trPr>
          <w:trHeight w:val="257"/>
        </w:trPr>
        <w:tc>
          <w:tcPr>
            <w:tcW w:w="29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127,676</w:t>
            </w:r>
          </w:p>
        </w:tc>
        <w:tc>
          <w:tcPr>
            <w:tcW w:w="100" w:type="dxa"/>
            <w:vAlign w:val="bottom"/>
          </w:tcPr>
          <w:p>
            <w:pPr>
              <w:spacing w:after="0"/>
              <w:rPr>
                <w:sz w:val="22"/>
                <w:szCs w:val="22"/>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920" w:type="dxa"/>
            <w:vAlign w:val="bottom"/>
            <w:gridSpan w:val="2"/>
            <w:vMerge w:val="restart"/>
          </w:tcPr>
          <w:p>
            <w:pPr>
              <w:ind w:left="40"/>
              <w:spacing w:after="0"/>
              <w:rPr>
                <w:sz w:val="20"/>
                <w:szCs w:val="20"/>
                <w:color w:val="auto"/>
              </w:rPr>
            </w:pPr>
            <w:r>
              <w:rPr>
                <w:rFonts w:ascii="Arial" w:cs="Arial" w:eastAsia="Arial" w:hAnsi="Arial"/>
                <w:sz w:val="18"/>
                <w:szCs w:val="18"/>
                <w:color w:val="auto"/>
              </w:rPr>
              <w:t>Weighted average remaining lease</w:t>
            </w: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920" w:type="dxa"/>
            <w:vAlign w:val="bottom"/>
            <w:gridSpan w:val="2"/>
            <w:vMerge w:val="continue"/>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ind w:left="40"/>
              <w:spacing w:after="0"/>
              <w:rPr>
                <w:sz w:val="20"/>
                <w:szCs w:val="20"/>
                <w:color w:val="auto"/>
              </w:rPr>
            </w:pPr>
            <w:r>
              <w:rPr>
                <w:rFonts w:ascii="Arial" w:cs="Arial" w:eastAsia="Arial" w:hAnsi="Arial"/>
                <w:sz w:val="18"/>
                <w:szCs w:val="18"/>
                <w:color w:val="auto"/>
              </w:rPr>
              <w:t>term (in years)</w:t>
            </w:r>
          </w:p>
        </w:tc>
        <w:tc>
          <w:tcPr>
            <w:tcW w:w="114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14.8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24662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3"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Reflects the percentage of annualized operating lease income for leases in-place as a percentage of annualized total revenue.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Properties</w:t>
      </w:r>
    </w:p>
    <w:p>
      <w:pPr>
        <w:spacing w:after="0" w:line="144"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operating properties portfolio is comprised of commercial and residential properties which represent a diverse pool of assets across a broad range of geographies and property types. The Company generally seeks to reposition or redevelop its transitional properties with the objective of maximizing their value through the infusion of capital and/or intensive asset management efforts. The commercial properties within this portfolio include office, retail, hotel and other property types. The residential properties within this portfolio are generally luxury condominium projects located in major U.S. cities where the Company's strategy is to sell individual condominium units through retail distribution channels.</w:t>
      </w:r>
    </w:p>
    <w:p>
      <w:pPr>
        <w:spacing w:after="0" w:line="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operating properties portfolio included the following ($ in thousands):</w:t>
      </w:r>
    </w:p>
    <w:p>
      <w:pPr>
        <w:spacing w:after="0" w:line="200" w:lineRule="exact"/>
        <w:rPr>
          <w:sz w:val="20"/>
          <w:szCs w:val="20"/>
          <w:color w:val="auto"/>
        </w:rPr>
      </w:pPr>
    </w:p>
    <w:p>
      <w:pPr>
        <w:spacing w:after="0" w:line="300"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9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Commercial</w:t>
            </w:r>
          </w:p>
        </w:tc>
        <w:tc>
          <w:tcPr>
            <w:tcW w:w="8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Residential</w:t>
            </w:r>
          </w:p>
        </w:tc>
        <w:tc>
          <w:tcPr>
            <w:tcW w:w="860" w:type="dxa"/>
            <w:vAlign w:val="bottom"/>
            <w:tcBorders>
              <w:bottom w:val="single" w:sz="8" w:color="auto"/>
            </w:tcBorders>
          </w:tcPr>
          <w:p>
            <w:pPr>
              <w:spacing w:after="0"/>
              <w:rPr>
                <w:sz w:val="16"/>
                <w:szCs w:val="16"/>
                <w:color w:val="auto"/>
              </w:rPr>
            </w:pPr>
          </w:p>
        </w:tc>
      </w:tr>
      <w:tr>
        <w:trPr>
          <w:trHeight w:val="250"/>
        </w:trPr>
        <w:tc>
          <w:tcPr>
            <w:tcW w:w="39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8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860" w:type="dxa"/>
            <w:vAlign w:val="bottom"/>
            <w:tcBorders>
              <w:bottom w:val="single" w:sz="8" w:color="auto"/>
            </w:tcBorders>
          </w:tcPr>
          <w:p>
            <w:pPr>
              <w:spacing w:after="0"/>
              <w:rPr>
                <w:sz w:val="21"/>
                <w:szCs w:val="21"/>
                <w:color w:val="auto"/>
              </w:rPr>
            </w:pPr>
          </w:p>
        </w:tc>
      </w:tr>
      <w:tr>
        <w:trPr>
          <w:trHeight w:val="264"/>
        </w:trPr>
        <w:tc>
          <w:tcPr>
            <w:tcW w:w="39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89"/>
              </w:rPr>
              <w:t>2015</w:t>
            </w:r>
          </w:p>
        </w:tc>
        <w:tc>
          <w:tcPr>
            <w:tcW w:w="2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83"/>
              </w:rPr>
              <w:t>2015</w:t>
            </w: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at cost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522,337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560,646</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(46,175)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(79,142)</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3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476,162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481,504</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color w:val="auto"/>
              </w:rPr>
              <w:t>Real estate available and held for sale</w:t>
            </w:r>
          </w:p>
        </w:tc>
        <w:tc>
          <w:tcPr>
            <w:tcW w:w="34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82,480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137,274</w:t>
            </w:r>
          </w:p>
        </w:tc>
      </w:tr>
      <w:tr>
        <w:trPr>
          <w:trHeight w:val="27"/>
        </w:trPr>
        <w:tc>
          <w:tcPr>
            <w:tcW w:w="3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investments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3,577</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11,120</w:t>
            </w:r>
          </w:p>
        </w:tc>
        <w:tc>
          <w:tcPr>
            <w:tcW w:w="2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r>
      <w:tr>
        <w:trPr>
          <w:trHeight w:val="257"/>
        </w:trPr>
        <w:tc>
          <w:tcPr>
            <w:tcW w:w="3980" w:type="dxa"/>
            <w:vAlign w:val="bottom"/>
          </w:tcPr>
          <w:p>
            <w:pPr>
              <w:ind w:left="20"/>
              <w:spacing w:after="0"/>
              <w:rPr>
                <w:sz w:val="20"/>
                <w:szCs w:val="20"/>
                <w:color w:val="auto"/>
              </w:rPr>
            </w:pPr>
            <w:r>
              <w:rPr>
                <w:rFonts w:ascii="Arial" w:cs="Arial" w:eastAsia="Arial" w:hAnsi="Arial"/>
                <w:sz w:val="18"/>
                <w:szCs w:val="18"/>
                <w:color w:val="auto"/>
              </w:rPr>
              <w:t>Total portfolio assets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479,739</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492,624</w:t>
            </w:r>
          </w:p>
        </w:tc>
        <w:tc>
          <w:tcPr>
            <w:tcW w:w="2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82,486</w:t>
            </w:r>
          </w:p>
        </w:tc>
        <w:tc>
          <w:tcPr>
            <w:tcW w:w="12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137,278</w:t>
            </w:r>
          </w:p>
        </w:tc>
      </w:tr>
      <w:tr>
        <w:trPr>
          <w:trHeight w:val="20"/>
        </w:trPr>
        <w:tc>
          <w:tcPr>
            <w:tcW w:w="3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Commercial Properties</w:t>
      </w:r>
    </w:p>
    <w:p>
      <w:pPr>
        <w:spacing w:after="0" w:line="279"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i w:val="1"/>
          <w:iCs w:val="1"/>
          <w:color w:val="auto"/>
        </w:rPr>
        <w:t>Summary of Portfolio Characteristics—</w:t>
      </w:r>
      <w:r>
        <w:rPr>
          <w:rFonts w:ascii="Arial" w:cs="Arial" w:eastAsia="Arial" w:hAnsi="Arial"/>
          <w:sz w:val="16"/>
          <w:szCs w:val="16"/>
          <w:color w:val="auto"/>
        </w:rPr>
        <w:t>As of December 31, 2016, commercial properties within the operating properties portfolio included 19 facilities,</w:t>
      </w:r>
      <w:r>
        <w:rPr>
          <w:rFonts w:ascii="Arial" w:cs="Arial" w:eastAsia="Arial" w:hAnsi="Arial"/>
          <w:sz w:val="16"/>
          <w:szCs w:val="16"/>
          <w:i w:val="1"/>
          <w:iCs w:val="1"/>
          <w:color w:val="auto"/>
        </w:rPr>
        <w:t xml:space="preserve"> </w:t>
      </w:r>
      <w:r>
        <w:rPr>
          <w:rFonts w:ascii="Arial" w:cs="Arial" w:eastAsia="Arial" w:hAnsi="Arial"/>
          <w:sz w:val="16"/>
          <w:szCs w:val="16"/>
          <w:color w:val="auto"/>
        </w:rPr>
        <w:t>encompassing 2.9 million square feet located in 8 states. Commercial properties include office, industrial and retail buildings along with hotels and marinas. The Company’s commercial properties were primarily acquired through foreclosure or deed in lieu of foreclosure in connection with the resolution of loans.</w:t>
      </w:r>
    </w:p>
    <w:p>
      <w:pPr>
        <w:spacing w:after="0" w:line="20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 classifies commercial properties as either stabilized or transitional. In determining whether a commercial property is stabilized or transitional, the Company analyzes certain performance metrics, primarily occupancy and yield. Stabilized commercial properties generally have occupancy levels above 80% and/or generate yields resulting in a sufficient return based upon the properties’ risk profiles. Transitional commercial properties are generally those properties that do not meet these criteria. As of December 31, 2016, stabilized commercial properties had a total carrying value of $337.2 million, or 64% of the portfolio, were 86% leased and generated an unleveraged weighted average effective yield of 8.5% on gross carrying value for the three months ended December 31, 2016. As of December 31, 2016, transitional commercial properties had a total carrying value of $189.0 million, or 36% of the portfolio, were 54% leased and generated an unleveraged weighted average effective yield of 1.5% on gross carrying value for the three months ended December 31, 2016.</w:t>
      </w:r>
    </w:p>
    <w:p>
      <w:pPr>
        <w:spacing w:after="0" w:line="24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i w:val="1"/>
          <w:iCs w:val="1"/>
          <w:color w:val="auto"/>
        </w:rPr>
        <w:t>Portfolio Activity</w:t>
      </w:r>
      <w:r>
        <w:rPr>
          <w:rFonts w:ascii="Arial" w:cs="Arial" w:eastAsia="Arial" w:hAnsi="Arial"/>
          <w:sz w:val="17"/>
          <w:szCs w:val="17"/>
          <w:color w:val="auto"/>
        </w:rPr>
        <w:t>—During the year ended December 31, 2016, the Company sold commercial operating properties for net proceeds of $229.1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resulting in gains of $49.3 million (see Item 8 —"Financial Statements and Supplemental Data—Note 4" for further details). In addition, the Company received $51.2 million of distributions from its commercial operating property equity method investments. The Company also invested $39.4 million in its commercial operating properties and made contributions of $2.2 million to its commercial operating property equity method investments.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 of December 31, 2016, lease expirations on commercial properties, excluding hotels, marinas and other investments, within the operating properties portfolio were as follows ($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left="348"/>
              <w:spacing w:after="0"/>
              <w:rPr>
                <w:sz w:val="20"/>
                <w:szCs w:val="20"/>
                <w:color w:val="auto"/>
              </w:rPr>
            </w:pPr>
            <w:r>
              <w:rPr>
                <w:rFonts w:ascii="Arial" w:cs="Arial" w:eastAsia="Arial" w:hAnsi="Arial"/>
                <w:sz w:val="14"/>
                <w:szCs w:val="14"/>
                <w:b w:val="1"/>
                <w:bCs w:val="1"/>
                <w:color w:val="auto"/>
                <w:w w:val="94"/>
              </w:rPr>
              <w:t>Number of</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Annualized In-Place</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 of In-Place</w:t>
            </w:r>
          </w:p>
        </w:tc>
        <w:tc>
          <w:tcPr>
            <w:tcW w:w="162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 of Total</w:t>
            </w:r>
          </w:p>
        </w:tc>
        <w:tc>
          <w:tcPr>
            <w:tcW w:w="100" w:type="dxa"/>
            <w:vAlign w:val="bottom"/>
          </w:tcPr>
          <w:p>
            <w:pPr>
              <w:spacing w:after="0"/>
              <w:rPr>
                <w:sz w:val="14"/>
                <w:szCs w:val="14"/>
                <w:color w:val="auto"/>
              </w:rPr>
            </w:pPr>
          </w:p>
        </w:tc>
        <w:tc>
          <w:tcPr>
            <w:tcW w:w="15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5"/>
              </w:rPr>
              <w:t>Square Feet of Leases</w:t>
            </w:r>
          </w:p>
        </w:tc>
        <w:tc>
          <w:tcPr>
            <w:tcW w:w="0" w:type="dxa"/>
            <w:vAlign w:val="bottom"/>
          </w:tcPr>
          <w:p>
            <w:pPr>
              <w:spacing w:after="0"/>
              <w:rPr>
                <w:sz w:val="1"/>
                <w:szCs w:val="1"/>
                <w:color w:val="auto"/>
              </w:rPr>
            </w:pPr>
          </w:p>
        </w:tc>
      </w:tr>
      <w:tr>
        <w:trPr>
          <w:trHeight w:val="149"/>
        </w:trPr>
        <w:tc>
          <w:tcPr>
            <w:tcW w:w="2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Year of Lease Expiration</w:t>
            </w:r>
          </w:p>
        </w:tc>
        <w:tc>
          <w:tcPr>
            <w:tcW w:w="100" w:type="dxa"/>
            <w:vAlign w:val="bottom"/>
            <w:vMerge w:val="restart"/>
          </w:tcPr>
          <w:p>
            <w:pPr>
              <w:spacing w:after="0"/>
              <w:rPr>
                <w:sz w:val="12"/>
                <w:szCs w:val="12"/>
                <w:color w:val="auto"/>
              </w:rPr>
            </w:pPr>
          </w:p>
        </w:tc>
        <w:tc>
          <w:tcPr>
            <w:tcW w:w="1120" w:type="dxa"/>
            <w:vAlign w:val="bottom"/>
          </w:tcPr>
          <w:p>
            <w:pPr>
              <w:jc w:val="center"/>
              <w:ind w:left="348"/>
              <w:spacing w:after="0" w:line="149" w:lineRule="exact"/>
              <w:rPr>
                <w:sz w:val="20"/>
                <w:szCs w:val="20"/>
                <w:color w:val="auto"/>
              </w:rPr>
            </w:pPr>
            <w:r>
              <w:rPr>
                <w:rFonts w:ascii="Arial" w:cs="Arial" w:eastAsia="Arial" w:hAnsi="Arial"/>
                <w:sz w:val="14"/>
                <w:szCs w:val="14"/>
                <w:b w:val="1"/>
                <w:bCs w:val="1"/>
                <w:color w:val="auto"/>
                <w:w w:val="88"/>
              </w:rPr>
              <w:t>Leases</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Operating</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Operating</w:t>
            </w:r>
          </w:p>
        </w:tc>
        <w:tc>
          <w:tcPr>
            <w:tcW w:w="1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96"/>
              </w:rPr>
              <w:t>Expiring</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0"/>
              </w:rPr>
              <w:t>Lease Income</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Lease Income</w:t>
            </w:r>
          </w:p>
        </w:tc>
        <w:tc>
          <w:tcPr>
            <w:tcW w:w="1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Revenue</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Expiring (in thousands)</w:t>
            </w:r>
          </w:p>
        </w:tc>
        <w:tc>
          <w:tcPr>
            <w:tcW w:w="0" w:type="dxa"/>
            <w:vAlign w:val="bottom"/>
          </w:tcPr>
          <w:p>
            <w:pPr>
              <w:spacing w:after="0"/>
              <w:rPr>
                <w:sz w:val="1"/>
                <w:szCs w:val="1"/>
                <w:color w:val="auto"/>
              </w:rPr>
            </w:pPr>
          </w:p>
        </w:tc>
      </w:tr>
      <w:tr>
        <w:trPr>
          <w:trHeight w:val="270"/>
        </w:trPr>
        <w:tc>
          <w:tcPr>
            <w:tcW w:w="2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2017</w:t>
            </w:r>
            <w:r>
              <w:rPr>
                <w:rFonts w:ascii="Arial" w:cs="Arial" w:eastAsia="Arial" w:hAnsi="Arial"/>
                <w:sz w:val="25"/>
                <w:szCs w:val="25"/>
                <w:color w:val="auto"/>
                <w:vertAlign w:val="superscript"/>
              </w:rPr>
              <w:t>(2)</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147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5,263</w:t>
            </w: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2,735</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0.6%</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2,805</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2,349</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9,685</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1,817</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0.4%</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1,158</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1,523</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0.4%</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1,938</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2,245</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2027 and thereafter</w:t>
            </w:r>
          </w:p>
        </w:tc>
        <w:tc>
          <w:tcPr>
            <w:tcW w:w="1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8,233</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57"/>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379</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39,751</w:t>
            </w:r>
          </w:p>
        </w:tc>
        <w:tc>
          <w:tcPr>
            <w:tcW w:w="12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00" w:type="dxa"/>
            <w:vAlign w:val="bottom"/>
            <w:gridSpan w:val="2"/>
            <w:vMerge w:val="restart"/>
          </w:tcPr>
          <w:p>
            <w:pPr>
              <w:ind w:left="40"/>
              <w:spacing w:after="0"/>
              <w:rPr>
                <w:sz w:val="20"/>
                <w:szCs w:val="20"/>
                <w:color w:val="auto"/>
              </w:rPr>
            </w:pPr>
            <w:r>
              <w:rPr>
                <w:rFonts w:ascii="Arial" w:cs="Arial" w:eastAsia="Arial" w:hAnsi="Arial"/>
                <w:sz w:val="18"/>
                <w:szCs w:val="18"/>
                <w:color w:val="auto"/>
                <w:w w:val="98"/>
              </w:rPr>
              <w:t>Weighted average remaining lease</w:t>
            </w: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800" w:type="dxa"/>
            <w:vAlign w:val="bottom"/>
            <w:gridSpan w:val="2"/>
            <w:vMerge w:val="continue"/>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term (in years)</w:t>
            </w:r>
          </w:p>
        </w:tc>
        <w:tc>
          <w:tcPr>
            <w:tcW w:w="1120" w:type="dxa"/>
            <w:vAlign w:val="bottom"/>
          </w:tcPr>
          <w:p>
            <w:pPr>
              <w:spacing w:after="0"/>
              <w:rPr>
                <w:sz w:val="20"/>
                <w:szCs w:val="20"/>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699770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7700" cy="30861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3"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Reflects the percentage of annualized operating lease income for leases in-place as a percentage of annualized total revenue.</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office leases expiring in commercial properties as well as month-to-month and short term license agreements within our retail properties.</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Residential Properties</w:t>
      </w:r>
    </w:p>
    <w:p>
      <w:pPr>
        <w:spacing w:after="0" w:line="27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Summary of Portfolio Characteristics</w:t>
      </w:r>
      <w:r>
        <w:rPr>
          <w:rFonts w:ascii="Arial" w:cs="Arial" w:eastAsia="Arial" w:hAnsi="Arial"/>
          <w:sz w:val="18"/>
          <w:szCs w:val="18"/>
          <w:color w:val="auto"/>
        </w:rPr>
        <w:t>—As of December 31, 2016, residential properties within the operating properties portfolio included 8 residential</w:t>
      </w:r>
      <w:r>
        <w:rPr>
          <w:rFonts w:ascii="Arial" w:cs="Arial" w:eastAsia="Arial" w:hAnsi="Arial"/>
          <w:sz w:val="18"/>
          <w:szCs w:val="18"/>
          <w:i w:val="1"/>
          <w:iCs w:val="1"/>
          <w:color w:val="auto"/>
        </w:rPr>
        <w:t xml:space="preserve"> </w:t>
      </w:r>
      <w:r>
        <w:rPr>
          <w:rFonts w:ascii="Arial" w:cs="Arial" w:eastAsia="Arial" w:hAnsi="Arial"/>
          <w:sz w:val="18"/>
          <w:szCs w:val="18"/>
          <w:color w:val="auto"/>
        </w:rPr>
        <w:t>projects with 61 units located within luxury condominium projects in major cities throughout the United States.</w:t>
      </w:r>
    </w:p>
    <w:p>
      <w:pPr>
        <w:spacing w:after="0" w:line="22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i w:val="1"/>
          <w:iCs w:val="1"/>
          <w:color w:val="auto"/>
        </w:rPr>
        <w:t>Portfolio Activity</w:t>
      </w:r>
      <w:r>
        <w:rPr>
          <w:rFonts w:ascii="Arial" w:cs="Arial" w:eastAsia="Arial" w:hAnsi="Arial"/>
          <w:sz w:val="17"/>
          <w:szCs w:val="17"/>
          <w:color w:val="auto"/>
        </w:rPr>
        <w:t>—During the year ended December 31, 2016, the Company sold 209 residential condominiums (including fractional units) for net</w:t>
      </w:r>
      <w:r>
        <w:rPr>
          <w:rFonts w:ascii="Arial" w:cs="Arial" w:eastAsia="Arial" w:hAnsi="Arial"/>
          <w:sz w:val="17"/>
          <w:szCs w:val="17"/>
          <w:i w:val="1"/>
          <w:iCs w:val="1"/>
          <w:color w:val="auto"/>
        </w:rPr>
        <w:t xml:space="preserve"> </w:t>
      </w:r>
      <w:r>
        <w:rPr>
          <w:rFonts w:ascii="Arial" w:cs="Arial" w:eastAsia="Arial" w:hAnsi="Arial"/>
          <w:sz w:val="17"/>
          <w:szCs w:val="17"/>
          <w:color w:val="auto"/>
        </w:rPr>
        <w:t>proceeds of $96.9 million resulting in gains of $26.1 million. During the same period, the Company invested $26.5 million of capital expenditures. The Company also acquired two residential condominium units for $1.8 million that are held for sale and had no operations as of December 31, 2016.</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Land and Development</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land and development portfolio included the following ($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184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40" w:type="dxa"/>
            <w:vAlign w:val="bottom"/>
            <w:tcBorders>
              <w:bottom w:val="single" w:sz="8" w:color="auto"/>
            </w:tcBorders>
          </w:tcPr>
          <w:p>
            <w:pPr>
              <w:spacing w:after="0"/>
              <w:rPr>
                <w:sz w:val="16"/>
                <w:szCs w:val="16"/>
                <w:color w:val="auto"/>
              </w:rPr>
            </w:pPr>
          </w:p>
        </w:tc>
      </w:tr>
      <w:tr>
        <w:trPr>
          <w:trHeight w:val="264"/>
        </w:trPr>
        <w:tc>
          <w:tcPr>
            <w:tcW w:w="43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2015</w:t>
            </w: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development, net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945,565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1,001,963</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Other investments</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84,804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100,419</w:t>
            </w:r>
          </w:p>
        </w:tc>
      </w:tr>
      <w:tr>
        <w:trPr>
          <w:trHeight w:val="27"/>
        </w:trPr>
        <w:tc>
          <w:tcPr>
            <w:tcW w:w="43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1,030,369</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1,102,382</w:t>
            </w:r>
          </w:p>
        </w:tc>
      </w:tr>
      <w:tr>
        <w:trPr>
          <w:trHeight w:val="20"/>
        </w:trPr>
        <w:tc>
          <w:tcPr>
            <w:tcW w:w="4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8"/>
          <w:szCs w:val="18"/>
          <w:i w:val="1"/>
          <w:iCs w:val="1"/>
          <w:color w:val="auto"/>
        </w:rPr>
        <w:t>Summary of Portfolio Characteristics</w:t>
      </w:r>
      <w:r>
        <w:rPr>
          <w:rFonts w:ascii="Arial" w:cs="Arial" w:eastAsia="Arial" w:hAnsi="Arial"/>
          <w:sz w:val="18"/>
          <w:szCs w:val="18"/>
          <w:color w:val="auto"/>
        </w:rPr>
        <w:t>—As of December 31, 2016, the Company's land and development portfolio included 31 properties, comprised of</w:t>
      </w:r>
      <w:r>
        <w:rPr>
          <w:rFonts w:ascii="Arial" w:cs="Arial" w:eastAsia="Arial" w:hAnsi="Arial"/>
          <w:sz w:val="18"/>
          <w:szCs w:val="18"/>
          <w:i w:val="1"/>
          <w:iCs w:val="1"/>
          <w:color w:val="auto"/>
        </w:rPr>
        <w:t xml:space="preserve"> </w:t>
      </w:r>
      <w:r>
        <w:rPr>
          <w:rFonts w:ascii="Arial" w:cs="Arial" w:eastAsia="Arial" w:hAnsi="Arial"/>
          <w:sz w:val="18"/>
          <w:szCs w:val="18"/>
          <w:color w:val="auto"/>
        </w:rPr>
        <w:t>10 master planned community ("MPC") projects, 15 infill land parcels and six waterfront land parcels located throughout the United States. MPCs represent large-scale residential projects that the Company has and/or will entitle, plan and/or develop and may sell through retail channels to home builders or in bulk. The remainder of the Company’s land includes infill and waterfront parcels located in and around major cities that the Company will develop, sell to or partner with commercial real estate developers. Waterfront parcels are generally entitled for residential projects and urban infill parcels are generally entitled for mixed-use projects.</w:t>
      </w:r>
    </w:p>
    <w:p>
      <w:pPr>
        <w:spacing w:after="0" w:line="23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Portfolio Activity</w:t>
      </w:r>
      <w:r>
        <w:rPr>
          <w:rFonts w:ascii="Arial" w:cs="Arial" w:eastAsia="Arial" w:hAnsi="Arial"/>
          <w:sz w:val="18"/>
          <w:szCs w:val="18"/>
          <w:color w:val="auto"/>
        </w:rPr>
        <w:t>—Revenue from the Company's land and development portfolio consists primarily of lot and parcel sales from wholly-owned</w:t>
      </w:r>
      <w:r>
        <w:rPr>
          <w:rFonts w:ascii="Arial" w:cs="Arial" w:eastAsia="Arial" w:hAnsi="Arial"/>
          <w:sz w:val="18"/>
          <w:szCs w:val="18"/>
          <w:i w:val="1"/>
          <w:iCs w:val="1"/>
          <w:color w:val="auto"/>
        </w:rPr>
        <w:t xml:space="preserve"> </w:t>
      </w:r>
      <w:r>
        <w:rPr>
          <w:rFonts w:ascii="Arial" w:cs="Arial" w:eastAsia="Arial" w:hAnsi="Arial"/>
          <w:sz w:val="18"/>
          <w:szCs w:val="18"/>
          <w:color w:val="auto"/>
        </w:rPr>
        <w:t>properties, recorded in "Land development revenue," as well as the Company's share of earnings from unconsolidated entities in which the Company holds an interest, which is recorded in "Earnings from equity method investments,"</w:t>
      </w:r>
    </w:p>
    <w:p>
      <w:pPr>
        <w:sectPr>
          <w:pgSz w:w="11900" w:h="16838" w:orient="portrait"/>
          <w:cols w:equalWidth="0" w:num="1">
            <w:col w:w="11420"/>
          </w:cols>
          <w:pgMar w:left="240" w:top="122"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2" w:right="2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both in the Company's consolidated statements of operations. During the year ended December 31, 2016, the Company recognized revenue and cost of sales of $88.3 million and $62.0 million, respectively, from its land and development portfolio. The Company also recognized earnings from equity method investments of $30.0 million during 2016 for unconsolidated land and development investments. In addition, during the year ended December 31, 2016, the Company sold a land and development asset to a newly formed unconsolidated entity in which the Company owns a 50.0% equity interest and recognized a gain of $8.8 million, reflecting the Company's share of the interest sold to a third party, which was recorded as "Income from sales of real estate" in the Company's consolidated statement of operations (refer to Note 5 in the Company's consolidated financial statements for further details). Also, during the year ended December 31, 2016, the Company invested $135.9 million in its land and development portfolio.</w:t>
      </w:r>
    </w:p>
    <w:p>
      <w:pPr>
        <w:spacing w:after="0" w:line="23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December 31, 2016, the Company had eight land and development projects in production, nine in development and 14 in the pre-development phase. The Company's land and development projects that contributed to revenues during the year ended December 31, 2016 are listed below ($ in thousands):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Anticipated</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1"/>
              </w:rPr>
              <w:t>Sales</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Units Sold in</w:t>
            </w: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Cumulative</w:t>
            </w: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Project</w:t>
            </w:r>
          </w:p>
        </w:tc>
        <w:tc>
          <w:tcPr>
            <w:tcW w:w="120" w:type="dxa"/>
            <w:vAlign w:val="bottom"/>
            <w:vMerge w:val="restart"/>
          </w:tcPr>
          <w:p>
            <w:pPr>
              <w:spacing w:after="0"/>
              <w:rPr>
                <w:sz w:val="12"/>
                <w:szCs w:val="12"/>
                <w:color w:val="auto"/>
              </w:rPr>
            </w:pPr>
          </w:p>
        </w:tc>
        <w:tc>
          <w:tcPr>
            <w:tcW w:w="11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Property Type</w:t>
            </w:r>
          </w:p>
        </w:tc>
        <w:tc>
          <w:tcPr>
            <w:tcW w:w="120" w:type="dxa"/>
            <w:vAlign w:val="bottom"/>
            <w:vMerge w:val="restart"/>
          </w:tcPr>
          <w:p>
            <w:pPr>
              <w:spacing w:after="0"/>
              <w:rPr>
                <w:sz w:val="12"/>
                <w:szCs w:val="12"/>
                <w:color w:val="auto"/>
              </w:rPr>
            </w:pPr>
          </w:p>
        </w:tc>
        <w:tc>
          <w:tcPr>
            <w:tcW w:w="12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Location</w:t>
            </w:r>
          </w:p>
        </w:tc>
        <w:tc>
          <w:tcPr>
            <w:tcW w:w="120" w:type="dxa"/>
            <w:vAlign w:val="bottom"/>
            <w:vMerge w:val="restart"/>
          </w:tcPr>
          <w:p>
            <w:pPr>
              <w:spacing w:after="0"/>
              <w:rPr>
                <w:sz w:val="12"/>
                <w:szCs w:val="12"/>
                <w:color w:val="auto"/>
              </w:rPr>
            </w:pP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Completion</w:t>
            </w:r>
          </w:p>
        </w:tc>
        <w:tc>
          <w:tcPr>
            <w:tcW w:w="120" w:type="dxa"/>
            <w:vAlign w:val="bottom"/>
          </w:tcPr>
          <w:p>
            <w:pPr>
              <w:spacing w:after="0"/>
              <w:rPr>
                <w:sz w:val="12"/>
                <w:szCs w:val="12"/>
                <w:color w:val="auto"/>
              </w:rPr>
            </w:pPr>
          </w:p>
        </w:tc>
        <w:tc>
          <w:tcPr>
            <w:tcW w:w="100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w w:val="89"/>
              </w:rPr>
              <w:t>2016 Revenue</w:t>
            </w:r>
          </w:p>
        </w:tc>
        <w:tc>
          <w:tcPr>
            <w:tcW w:w="120" w:type="dxa"/>
            <w:vAlign w:val="bottom"/>
            <w:vMerge w:val="restart"/>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92"/>
        </w:trPr>
        <w:tc>
          <w:tcPr>
            <w:tcW w:w="2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Date</w:t>
            </w:r>
            <w:r>
              <w:rPr>
                <w:rFonts w:ascii="Arial" w:cs="Arial" w:eastAsia="Arial" w:hAnsi="Arial"/>
                <w:sz w:val="8"/>
                <w:szCs w:val="8"/>
                <w:b w:val="1"/>
                <w:bCs w:val="1"/>
                <w:color w:val="auto"/>
                <w:w w:val="94"/>
              </w:rPr>
              <w:t>(1)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2016</w:t>
            </w:r>
            <w:r>
              <w:rPr>
                <w:rFonts w:ascii="Arial" w:cs="Arial" w:eastAsia="Arial" w:hAnsi="Arial"/>
                <w:sz w:val="8"/>
                <w:szCs w:val="8"/>
                <w:b w:val="1"/>
                <w:bCs w:val="1"/>
                <w:color w:val="auto"/>
                <w:w w:val="97"/>
              </w:rPr>
              <w:t>(2)</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Units Sold</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Units</w:t>
            </w:r>
            <w:r>
              <w:rPr>
                <w:rFonts w:ascii="Arial" w:cs="Arial" w:eastAsia="Arial" w:hAnsi="Arial"/>
                <w:sz w:val="8"/>
                <w:szCs w:val="8"/>
                <w:b w:val="1"/>
                <w:bCs w:val="1"/>
                <w:color w:val="auto"/>
                <w:w w:val="98"/>
              </w:rPr>
              <w:t>(2)</w:t>
            </w: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Land and development</w:t>
            </w: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7"/>
                <w:szCs w:val="17"/>
                <w:color w:val="auto"/>
              </w:rPr>
              <w:t>Infill/Mixed</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ind w:left="40"/>
              <w:spacing w:after="0"/>
              <w:rPr>
                <w:sz w:val="20"/>
                <w:szCs w:val="20"/>
                <w:color w:val="auto"/>
              </w:rPr>
            </w:pPr>
            <w:r>
              <w:rPr>
                <w:rFonts w:ascii="Arial" w:cs="Arial" w:eastAsia="Arial" w:hAnsi="Arial"/>
                <w:sz w:val="17"/>
                <w:szCs w:val="17"/>
                <w:color w:val="auto"/>
              </w:rPr>
              <w:t>Great Oaks</w:t>
            </w:r>
          </w:p>
        </w:tc>
        <w:tc>
          <w:tcPr>
            <w:tcW w:w="1240" w:type="dxa"/>
            <w:vAlign w:val="bottom"/>
            <w:gridSpan w:val="2"/>
          </w:tcPr>
          <w:p>
            <w:pPr>
              <w:ind w:left="20"/>
              <w:spacing w:after="0"/>
              <w:rPr>
                <w:sz w:val="20"/>
                <w:szCs w:val="20"/>
                <w:color w:val="auto"/>
              </w:rPr>
            </w:pPr>
            <w:r>
              <w:rPr>
                <w:rFonts w:ascii="Arial" w:cs="Arial" w:eastAsia="Arial" w:hAnsi="Arial"/>
                <w:sz w:val="17"/>
                <w:szCs w:val="17"/>
                <w:color w:val="auto"/>
              </w:rPr>
              <w:t>Use</w:t>
            </w:r>
          </w:p>
        </w:tc>
        <w:tc>
          <w:tcPr>
            <w:tcW w:w="1380" w:type="dxa"/>
            <w:vAlign w:val="bottom"/>
            <w:gridSpan w:val="2"/>
          </w:tcPr>
          <w:p>
            <w:pPr>
              <w:ind w:left="40"/>
              <w:spacing w:after="0"/>
              <w:rPr>
                <w:sz w:val="20"/>
                <w:szCs w:val="20"/>
                <w:color w:val="auto"/>
              </w:rPr>
            </w:pPr>
            <w:r>
              <w:rPr>
                <w:rFonts w:ascii="Arial" w:cs="Arial" w:eastAsia="Arial" w:hAnsi="Arial"/>
                <w:sz w:val="17"/>
                <w:szCs w:val="17"/>
                <w:color w:val="auto"/>
              </w:rPr>
              <w:t>San Jose, CA</w:t>
            </w:r>
          </w:p>
        </w:tc>
        <w:tc>
          <w:tcPr>
            <w:tcW w:w="1020" w:type="dxa"/>
            <w:vAlign w:val="bottom"/>
          </w:tcPr>
          <w:p>
            <w:pPr>
              <w:jc w:val="center"/>
              <w:spacing w:after="0"/>
              <w:rPr>
                <w:sz w:val="20"/>
                <w:szCs w:val="20"/>
                <w:color w:val="auto"/>
              </w:rPr>
            </w:pPr>
            <w:r>
              <w:rPr>
                <w:rFonts w:ascii="Arial" w:cs="Arial" w:eastAsia="Arial" w:hAnsi="Arial"/>
                <w:sz w:val="17"/>
                <w:szCs w:val="17"/>
                <w:color w:val="auto"/>
                <w:w w:val="89"/>
              </w:rPr>
              <w:t>2017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21,545</w:t>
            </w:r>
          </w:p>
        </w:tc>
        <w:tc>
          <w:tcPr>
            <w:tcW w:w="120" w:type="dxa"/>
            <w:vAlign w:val="bottom"/>
          </w:tcPr>
          <w:p>
            <w:pPr>
              <w:spacing w:after="0"/>
              <w:rPr>
                <w:sz w:val="18"/>
                <w:szCs w:val="18"/>
                <w:color w:val="auto"/>
              </w:rPr>
            </w:pPr>
          </w:p>
        </w:tc>
        <w:tc>
          <w:tcPr>
            <w:tcW w:w="1000" w:type="dxa"/>
            <w:vAlign w:val="bottom"/>
            <w:gridSpan w:val="2"/>
          </w:tcPr>
          <w:p>
            <w:pPr>
              <w:ind w:left="320"/>
              <w:spacing w:after="0"/>
              <w:rPr>
                <w:sz w:val="20"/>
                <w:szCs w:val="20"/>
                <w:color w:val="auto"/>
              </w:rPr>
            </w:pPr>
            <w:r>
              <w:rPr>
                <w:rFonts w:ascii="Arial" w:cs="Arial" w:eastAsia="Arial" w:hAnsi="Arial"/>
                <w:sz w:val="17"/>
                <w:szCs w:val="17"/>
                <w:color w:val="auto"/>
              </w:rPr>
              <w:t>N/A</w:t>
            </w:r>
            <w:r>
              <w:rPr>
                <w:rFonts w:ascii="Arial" w:cs="Arial" w:eastAsia="Arial" w:hAnsi="Arial"/>
                <w:sz w:val="14"/>
                <w:szCs w:val="14"/>
                <w:color w:val="auto"/>
              </w:rPr>
              <w:t>(3)</w:t>
            </w:r>
          </w:p>
        </w:tc>
        <w:tc>
          <w:tcPr>
            <w:tcW w:w="1100" w:type="dxa"/>
            <w:vAlign w:val="bottom"/>
            <w:gridSpan w:val="2"/>
          </w:tcPr>
          <w:p>
            <w:pPr>
              <w:ind w:left="420"/>
              <w:spacing w:after="0"/>
              <w:rPr>
                <w:sz w:val="20"/>
                <w:szCs w:val="20"/>
                <w:color w:val="auto"/>
              </w:rPr>
            </w:pPr>
            <w:r>
              <w:rPr>
                <w:rFonts w:ascii="Arial" w:cs="Arial" w:eastAsia="Arial" w:hAnsi="Arial"/>
                <w:sz w:val="17"/>
                <w:szCs w:val="17"/>
                <w:color w:val="auto"/>
              </w:rPr>
              <w:t>N/A</w:t>
            </w:r>
            <w:r>
              <w:rPr>
                <w:rFonts w:ascii="Arial" w:cs="Arial" w:eastAsia="Arial" w:hAnsi="Arial"/>
                <w:sz w:val="14"/>
                <w:szCs w:val="14"/>
                <w:color w:val="auto"/>
              </w:rPr>
              <w:t>(3)</w:t>
            </w:r>
          </w:p>
        </w:tc>
        <w:tc>
          <w:tcPr>
            <w:tcW w:w="1120" w:type="dxa"/>
            <w:vAlign w:val="bottom"/>
          </w:tcPr>
          <w:p>
            <w:pPr>
              <w:jc w:val="right"/>
              <w:ind w:right="19"/>
              <w:spacing w:after="0"/>
              <w:rPr>
                <w:sz w:val="20"/>
                <w:szCs w:val="20"/>
                <w:color w:val="auto"/>
              </w:rPr>
            </w:pPr>
            <w:r>
              <w:rPr>
                <w:rFonts w:ascii="Arial" w:cs="Arial" w:eastAsia="Arial" w:hAnsi="Arial"/>
                <w:sz w:val="17"/>
                <w:szCs w:val="17"/>
                <w:color w:val="auto"/>
              </w:rPr>
              <w:t>720</w:t>
            </w:r>
          </w:p>
        </w:tc>
        <w:tc>
          <w:tcPr>
            <w:tcW w:w="0" w:type="dxa"/>
            <w:vAlign w:val="bottom"/>
          </w:tcPr>
          <w:p>
            <w:pPr>
              <w:spacing w:after="0"/>
              <w:rPr>
                <w:sz w:val="1"/>
                <w:szCs w:val="1"/>
                <w:color w:val="auto"/>
              </w:rPr>
            </w:pPr>
          </w:p>
        </w:tc>
      </w:tr>
      <w:tr>
        <w:trPr>
          <w:trHeight w:val="31"/>
        </w:trPr>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Infill/Mixed</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Sage Scottsdale</w:t>
            </w:r>
          </w:p>
        </w:tc>
        <w:tc>
          <w:tcPr>
            <w:tcW w:w="1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Use</w:t>
            </w:r>
          </w:p>
        </w:tc>
        <w:tc>
          <w:tcPr>
            <w:tcW w:w="1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Scottsdale, AZ</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2017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16,052</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30</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49</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39"/>
        </w:trPr>
        <w:tc>
          <w:tcPr>
            <w:tcW w:w="3080" w:type="dxa"/>
            <w:vAlign w:val="bottom"/>
            <w:gridSpan w:val="2"/>
          </w:tcPr>
          <w:p>
            <w:pPr>
              <w:ind w:left="40"/>
              <w:spacing w:after="0"/>
              <w:rPr>
                <w:sz w:val="20"/>
                <w:szCs w:val="20"/>
                <w:color w:val="auto"/>
              </w:rPr>
            </w:pPr>
            <w:r>
              <w:rPr>
                <w:rFonts w:ascii="Arial" w:cs="Arial" w:eastAsia="Arial" w:hAnsi="Arial"/>
                <w:sz w:val="17"/>
                <w:szCs w:val="17"/>
                <w:color w:val="auto"/>
              </w:rPr>
              <w:t>Magnolia Green</w:t>
            </w:r>
          </w:p>
        </w:tc>
        <w:tc>
          <w:tcPr>
            <w:tcW w:w="1240" w:type="dxa"/>
            <w:vAlign w:val="bottom"/>
            <w:gridSpan w:val="2"/>
          </w:tcPr>
          <w:p>
            <w:pPr>
              <w:ind w:left="20"/>
              <w:spacing w:after="0"/>
              <w:rPr>
                <w:sz w:val="20"/>
                <w:szCs w:val="20"/>
                <w:color w:val="auto"/>
              </w:rPr>
            </w:pPr>
            <w:r>
              <w:rPr>
                <w:rFonts w:ascii="Arial" w:cs="Arial" w:eastAsia="Arial" w:hAnsi="Arial"/>
                <w:sz w:val="17"/>
                <w:szCs w:val="17"/>
                <w:color w:val="auto"/>
              </w:rPr>
              <w:t>MPC</w:t>
            </w:r>
          </w:p>
        </w:tc>
        <w:tc>
          <w:tcPr>
            <w:tcW w:w="1380" w:type="dxa"/>
            <w:vAlign w:val="bottom"/>
            <w:gridSpan w:val="2"/>
          </w:tcPr>
          <w:p>
            <w:pPr>
              <w:ind w:left="40"/>
              <w:spacing w:after="0"/>
              <w:rPr>
                <w:sz w:val="20"/>
                <w:szCs w:val="20"/>
                <w:color w:val="auto"/>
              </w:rPr>
            </w:pPr>
            <w:r>
              <w:rPr>
                <w:rFonts w:ascii="Arial" w:cs="Arial" w:eastAsia="Arial" w:hAnsi="Arial"/>
                <w:sz w:val="17"/>
                <w:szCs w:val="17"/>
                <w:color w:val="auto"/>
              </w:rPr>
              <w:t>Richmond, VA</w:t>
            </w:r>
          </w:p>
        </w:tc>
        <w:tc>
          <w:tcPr>
            <w:tcW w:w="1020" w:type="dxa"/>
            <w:vAlign w:val="bottom"/>
          </w:tcPr>
          <w:p>
            <w:pPr>
              <w:jc w:val="center"/>
              <w:spacing w:after="0"/>
              <w:rPr>
                <w:sz w:val="20"/>
                <w:szCs w:val="20"/>
                <w:color w:val="auto"/>
              </w:rPr>
            </w:pPr>
            <w:r>
              <w:rPr>
                <w:rFonts w:ascii="Arial" w:cs="Arial" w:eastAsia="Arial" w:hAnsi="Arial"/>
                <w:sz w:val="17"/>
                <w:szCs w:val="17"/>
                <w:color w:val="auto"/>
                <w:w w:val="89"/>
              </w:rPr>
              <w:t>2026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12,792</w:t>
            </w:r>
          </w:p>
        </w:tc>
        <w:tc>
          <w:tcPr>
            <w:tcW w:w="120" w:type="dxa"/>
            <w:vAlign w:val="bottom"/>
          </w:tcPr>
          <w:p>
            <w:pPr>
              <w:spacing w:after="0"/>
              <w:rPr>
                <w:sz w:val="20"/>
                <w:szCs w:val="20"/>
                <w:color w:val="auto"/>
              </w:rPr>
            </w:pPr>
          </w:p>
        </w:tc>
        <w:tc>
          <w:tcPr>
            <w:tcW w:w="880" w:type="dxa"/>
            <w:vAlign w:val="bottom"/>
          </w:tcPr>
          <w:p>
            <w:pPr>
              <w:jc w:val="right"/>
              <w:ind w:right="18"/>
              <w:spacing w:after="0"/>
              <w:rPr>
                <w:sz w:val="20"/>
                <w:szCs w:val="20"/>
                <w:color w:val="auto"/>
              </w:rPr>
            </w:pPr>
            <w:r>
              <w:rPr>
                <w:rFonts w:ascii="Arial" w:cs="Arial" w:eastAsia="Arial" w:hAnsi="Arial"/>
                <w:sz w:val="17"/>
                <w:szCs w:val="17"/>
                <w:color w:val="auto"/>
              </w:rPr>
              <w:t>177</w:t>
            </w:r>
          </w:p>
        </w:tc>
        <w:tc>
          <w:tcPr>
            <w:tcW w:w="120" w:type="dxa"/>
            <w:vAlign w:val="bottom"/>
          </w:tcPr>
          <w:p>
            <w:pPr>
              <w:spacing w:after="0"/>
              <w:rPr>
                <w:sz w:val="20"/>
                <w:szCs w:val="20"/>
                <w:color w:val="auto"/>
              </w:rPr>
            </w:pPr>
          </w:p>
        </w:tc>
        <w:tc>
          <w:tcPr>
            <w:tcW w:w="980" w:type="dxa"/>
            <w:vAlign w:val="bottom"/>
          </w:tcPr>
          <w:p>
            <w:pPr>
              <w:jc w:val="right"/>
              <w:ind w:right="18"/>
              <w:spacing w:after="0"/>
              <w:rPr>
                <w:sz w:val="20"/>
                <w:szCs w:val="20"/>
                <w:color w:val="auto"/>
              </w:rPr>
            </w:pPr>
            <w:r>
              <w:rPr>
                <w:rFonts w:ascii="Arial" w:cs="Arial" w:eastAsia="Arial" w:hAnsi="Arial"/>
                <w:sz w:val="17"/>
                <w:szCs w:val="17"/>
                <w:color w:val="auto"/>
              </w:rPr>
              <w:t>789</w:t>
            </w: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7"/>
                <w:szCs w:val="17"/>
                <w:color w:val="auto"/>
              </w:rPr>
              <w:t>2,257</w:t>
            </w:r>
          </w:p>
        </w:tc>
        <w:tc>
          <w:tcPr>
            <w:tcW w:w="0" w:type="dxa"/>
            <w:vAlign w:val="bottom"/>
          </w:tcPr>
          <w:p>
            <w:pPr>
              <w:spacing w:after="0"/>
              <w:rPr>
                <w:sz w:val="1"/>
                <w:szCs w:val="1"/>
                <w:color w:val="auto"/>
              </w:rPr>
            </w:pPr>
          </w:p>
        </w:tc>
      </w:tr>
      <w:tr>
        <w:trPr>
          <w:trHeight w:val="31"/>
        </w:trPr>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Naples Reserve</w:t>
            </w:r>
          </w:p>
        </w:tc>
        <w:tc>
          <w:tcPr>
            <w:tcW w:w="1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MPC</w:t>
            </w:r>
          </w:p>
        </w:tc>
        <w:tc>
          <w:tcPr>
            <w:tcW w:w="1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Naples, FL</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12,260</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949</w:t>
            </w:r>
          </w:p>
        </w:tc>
        <w:tc>
          <w:tcPr>
            <w:tcW w:w="0" w:type="dxa"/>
            <w:vAlign w:val="bottom"/>
          </w:tcPr>
          <w:p>
            <w:pPr>
              <w:spacing w:after="0"/>
              <w:rPr>
                <w:sz w:val="1"/>
                <w:szCs w:val="1"/>
                <w:color w:val="auto"/>
              </w:rPr>
            </w:pPr>
          </w:p>
        </w:tc>
      </w:tr>
      <w:tr>
        <w:trPr>
          <w:trHeight w:val="239"/>
        </w:trPr>
        <w:tc>
          <w:tcPr>
            <w:tcW w:w="3080" w:type="dxa"/>
            <w:vAlign w:val="bottom"/>
            <w:gridSpan w:val="2"/>
          </w:tcPr>
          <w:p>
            <w:pPr>
              <w:ind w:left="40"/>
              <w:spacing w:after="0"/>
              <w:rPr>
                <w:sz w:val="20"/>
                <w:szCs w:val="20"/>
                <w:color w:val="auto"/>
              </w:rPr>
            </w:pPr>
            <w:r>
              <w:rPr>
                <w:rFonts w:ascii="Arial" w:cs="Arial" w:eastAsia="Arial" w:hAnsi="Arial"/>
                <w:sz w:val="17"/>
                <w:szCs w:val="17"/>
                <w:color w:val="auto"/>
              </w:rPr>
              <w:t>Heath at Tetherow</w:t>
            </w:r>
          </w:p>
        </w:tc>
        <w:tc>
          <w:tcPr>
            <w:tcW w:w="1240" w:type="dxa"/>
            <w:vAlign w:val="bottom"/>
            <w:gridSpan w:val="2"/>
          </w:tcPr>
          <w:p>
            <w:pPr>
              <w:ind w:left="20"/>
              <w:spacing w:after="0"/>
              <w:rPr>
                <w:sz w:val="20"/>
                <w:szCs w:val="20"/>
                <w:color w:val="auto"/>
              </w:rPr>
            </w:pPr>
            <w:r>
              <w:rPr>
                <w:rFonts w:ascii="Arial" w:cs="Arial" w:eastAsia="Arial" w:hAnsi="Arial"/>
                <w:sz w:val="17"/>
                <w:szCs w:val="17"/>
                <w:color w:val="auto"/>
              </w:rPr>
              <w:t>MPC</w:t>
            </w:r>
          </w:p>
        </w:tc>
        <w:tc>
          <w:tcPr>
            <w:tcW w:w="1380" w:type="dxa"/>
            <w:vAlign w:val="bottom"/>
            <w:gridSpan w:val="2"/>
          </w:tcPr>
          <w:p>
            <w:pPr>
              <w:ind w:left="40"/>
              <w:spacing w:after="0"/>
              <w:rPr>
                <w:sz w:val="20"/>
                <w:szCs w:val="20"/>
                <w:color w:val="auto"/>
              </w:rPr>
            </w:pPr>
            <w:r>
              <w:rPr>
                <w:rFonts w:ascii="Arial" w:cs="Arial" w:eastAsia="Arial" w:hAnsi="Arial"/>
                <w:sz w:val="17"/>
                <w:szCs w:val="17"/>
                <w:color w:val="auto"/>
              </w:rPr>
              <w:t>Bend, OR</w:t>
            </w:r>
          </w:p>
        </w:tc>
        <w:tc>
          <w:tcPr>
            <w:tcW w:w="1020" w:type="dxa"/>
            <w:vAlign w:val="bottom"/>
          </w:tcPr>
          <w:p>
            <w:pPr>
              <w:jc w:val="center"/>
              <w:spacing w:after="0"/>
              <w:rPr>
                <w:sz w:val="20"/>
                <w:szCs w:val="20"/>
                <w:color w:val="auto"/>
              </w:rPr>
            </w:pPr>
            <w:r>
              <w:rPr>
                <w:rFonts w:ascii="Arial" w:cs="Arial" w:eastAsia="Arial" w:hAnsi="Arial"/>
                <w:sz w:val="17"/>
                <w:szCs w:val="17"/>
                <w:color w:val="auto"/>
                <w:w w:val="89"/>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10,375</w:t>
            </w:r>
          </w:p>
        </w:tc>
        <w:tc>
          <w:tcPr>
            <w:tcW w:w="120" w:type="dxa"/>
            <w:vAlign w:val="bottom"/>
          </w:tcPr>
          <w:p>
            <w:pPr>
              <w:spacing w:after="0"/>
              <w:rPr>
                <w:sz w:val="20"/>
                <w:szCs w:val="20"/>
                <w:color w:val="auto"/>
              </w:rPr>
            </w:pPr>
          </w:p>
        </w:tc>
        <w:tc>
          <w:tcPr>
            <w:tcW w:w="880" w:type="dxa"/>
            <w:vAlign w:val="bottom"/>
          </w:tcPr>
          <w:p>
            <w:pPr>
              <w:jc w:val="right"/>
              <w:ind w:right="18"/>
              <w:spacing w:after="0"/>
              <w:rPr>
                <w:sz w:val="20"/>
                <w:szCs w:val="20"/>
                <w:color w:val="auto"/>
              </w:rPr>
            </w:pPr>
            <w:r>
              <w:rPr>
                <w:rFonts w:ascii="Arial" w:cs="Arial" w:eastAsia="Arial" w:hAnsi="Arial"/>
                <w:sz w:val="17"/>
                <w:szCs w:val="17"/>
                <w:color w:val="auto"/>
              </w:rPr>
              <w:t>53</w:t>
            </w:r>
          </w:p>
        </w:tc>
        <w:tc>
          <w:tcPr>
            <w:tcW w:w="120" w:type="dxa"/>
            <w:vAlign w:val="bottom"/>
          </w:tcPr>
          <w:p>
            <w:pPr>
              <w:spacing w:after="0"/>
              <w:rPr>
                <w:sz w:val="20"/>
                <w:szCs w:val="20"/>
                <w:color w:val="auto"/>
              </w:rPr>
            </w:pPr>
          </w:p>
        </w:tc>
        <w:tc>
          <w:tcPr>
            <w:tcW w:w="980" w:type="dxa"/>
            <w:vAlign w:val="bottom"/>
          </w:tcPr>
          <w:p>
            <w:pPr>
              <w:jc w:val="right"/>
              <w:ind w:right="18"/>
              <w:spacing w:after="0"/>
              <w:rPr>
                <w:sz w:val="20"/>
                <w:szCs w:val="20"/>
                <w:color w:val="auto"/>
              </w:rPr>
            </w:pPr>
            <w:r>
              <w:rPr>
                <w:rFonts w:ascii="Arial" w:cs="Arial" w:eastAsia="Arial" w:hAnsi="Arial"/>
                <w:sz w:val="17"/>
                <w:szCs w:val="17"/>
                <w:color w:val="auto"/>
              </w:rPr>
              <w:t>125</w:t>
            </w: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31"/>
        </w:trPr>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Coney Island</w:t>
            </w: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Waterfront</w:t>
            </w: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Brooklyn, NY</w:t>
            </w:r>
          </w:p>
        </w:tc>
        <w:tc>
          <w:tcPr>
            <w:tcW w:w="10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2021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8,316</w:t>
            </w: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ind w:left="320"/>
              <w:spacing w:after="0" w:line="270" w:lineRule="exact"/>
              <w:rPr>
                <w:sz w:val="20"/>
                <w:szCs w:val="20"/>
                <w:color w:val="auto"/>
              </w:rPr>
            </w:pPr>
            <w:r>
              <w:rPr>
                <w:rFonts w:ascii="Arial" w:cs="Arial" w:eastAsia="Arial" w:hAnsi="Arial"/>
                <w:sz w:val="17"/>
                <w:szCs w:val="17"/>
                <w:color w:val="auto"/>
              </w:rPr>
              <w:t>N/A</w:t>
            </w:r>
            <w:r>
              <w:rPr>
                <w:rFonts w:ascii="Arial" w:cs="Arial" w:eastAsia="Arial" w:hAnsi="Arial"/>
                <w:sz w:val="28"/>
                <w:szCs w:val="28"/>
                <w:color w:val="auto"/>
                <w:vertAlign w:val="superscript"/>
              </w:rPr>
              <w:t>(4)</w:t>
            </w:r>
          </w:p>
        </w:tc>
        <w:tc>
          <w:tcPr>
            <w:tcW w:w="1100" w:type="dxa"/>
            <w:vAlign w:val="bottom"/>
            <w:gridSpan w:val="2"/>
            <w:shd w:val="clear" w:color="auto" w:fill="CCEEFF"/>
          </w:tcPr>
          <w:p>
            <w:pPr>
              <w:ind w:left="420"/>
              <w:spacing w:after="0" w:line="270" w:lineRule="exact"/>
              <w:rPr>
                <w:sz w:val="20"/>
                <w:szCs w:val="20"/>
                <w:color w:val="auto"/>
              </w:rPr>
            </w:pPr>
            <w:r>
              <w:rPr>
                <w:rFonts w:ascii="Arial" w:cs="Arial" w:eastAsia="Arial" w:hAnsi="Arial"/>
                <w:sz w:val="17"/>
                <w:szCs w:val="17"/>
                <w:color w:val="auto"/>
              </w:rPr>
              <w:t>N/A</w:t>
            </w:r>
            <w:r>
              <w:rPr>
                <w:rFonts w:ascii="Arial" w:cs="Arial" w:eastAsia="Arial" w:hAnsi="Arial"/>
                <w:sz w:val="28"/>
                <w:szCs w:val="28"/>
                <w:color w:val="auto"/>
                <w:vertAlign w:val="superscript"/>
              </w:rPr>
              <w:t>(4)</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7"/>
                <w:szCs w:val="17"/>
                <w:color w:val="auto"/>
              </w:rPr>
              <w:t>Infill/</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3080" w:type="dxa"/>
            <w:vAlign w:val="bottom"/>
            <w:gridSpan w:val="2"/>
          </w:tcPr>
          <w:p>
            <w:pPr>
              <w:ind w:left="40"/>
              <w:spacing w:after="0"/>
              <w:rPr>
                <w:sz w:val="20"/>
                <w:szCs w:val="20"/>
                <w:color w:val="auto"/>
              </w:rPr>
            </w:pPr>
            <w:r>
              <w:rPr>
                <w:rFonts w:ascii="Arial" w:cs="Arial" w:eastAsia="Arial" w:hAnsi="Arial"/>
                <w:sz w:val="17"/>
                <w:szCs w:val="17"/>
                <w:color w:val="auto"/>
              </w:rPr>
              <w:t>1210 California Circle</w:t>
            </w:r>
          </w:p>
        </w:tc>
        <w:tc>
          <w:tcPr>
            <w:tcW w:w="1240" w:type="dxa"/>
            <w:vAlign w:val="bottom"/>
            <w:gridSpan w:val="2"/>
          </w:tcPr>
          <w:p>
            <w:pPr>
              <w:ind w:left="20"/>
              <w:spacing w:after="0"/>
              <w:rPr>
                <w:sz w:val="20"/>
                <w:szCs w:val="20"/>
                <w:color w:val="auto"/>
              </w:rPr>
            </w:pPr>
            <w:r>
              <w:rPr>
                <w:rFonts w:ascii="Arial" w:cs="Arial" w:eastAsia="Arial" w:hAnsi="Arial"/>
                <w:sz w:val="17"/>
                <w:szCs w:val="17"/>
                <w:color w:val="auto"/>
              </w:rPr>
              <w:t>Mixed Use</w:t>
            </w:r>
          </w:p>
        </w:tc>
        <w:tc>
          <w:tcPr>
            <w:tcW w:w="1380" w:type="dxa"/>
            <w:vAlign w:val="bottom"/>
            <w:gridSpan w:val="2"/>
          </w:tcPr>
          <w:p>
            <w:pPr>
              <w:ind w:left="40"/>
              <w:spacing w:after="0"/>
              <w:rPr>
                <w:sz w:val="20"/>
                <w:szCs w:val="20"/>
                <w:color w:val="auto"/>
              </w:rPr>
            </w:pPr>
            <w:r>
              <w:rPr>
                <w:rFonts w:ascii="Arial" w:cs="Arial" w:eastAsia="Arial" w:hAnsi="Arial"/>
                <w:sz w:val="17"/>
                <w:szCs w:val="17"/>
                <w:color w:val="auto"/>
              </w:rPr>
              <w:t>Milpitas, CA</w:t>
            </w:r>
          </w:p>
        </w:tc>
        <w:tc>
          <w:tcPr>
            <w:tcW w:w="1140" w:type="dxa"/>
            <w:vAlign w:val="bottom"/>
            <w:gridSpan w:val="2"/>
          </w:tcPr>
          <w:p>
            <w:pPr>
              <w:jc w:val="center"/>
              <w:ind w:right="120"/>
              <w:spacing w:after="0" w:line="247" w:lineRule="exact"/>
              <w:rPr>
                <w:sz w:val="20"/>
                <w:szCs w:val="20"/>
                <w:color w:val="auto"/>
              </w:rPr>
            </w:pPr>
            <w:r>
              <w:rPr>
                <w:rFonts w:ascii="Arial" w:cs="Arial" w:eastAsia="Arial" w:hAnsi="Arial"/>
                <w:sz w:val="17"/>
                <w:szCs w:val="17"/>
                <w:color w:val="auto"/>
                <w:w w:val="89"/>
              </w:rPr>
              <w:t>N/A</w:t>
            </w:r>
            <w:r>
              <w:rPr>
                <w:rFonts w:ascii="Arial" w:cs="Arial" w:eastAsia="Arial" w:hAnsi="Arial"/>
                <w:sz w:val="28"/>
                <w:szCs w:val="28"/>
                <w:color w:val="auto"/>
                <w:w w:val="89"/>
                <w:vertAlign w:val="superscript"/>
              </w:rPr>
              <w:t>(5)</w:t>
            </w:r>
          </w:p>
        </w:tc>
        <w:tc>
          <w:tcPr>
            <w:tcW w:w="12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7,000</w:t>
            </w:r>
          </w:p>
        </w:tc>
        <w:tc>
          <w:tcPr>
            <w:tcW w:w="120" w:type="dxa"/>
            <w:vAlign w:val="bottom"/>
          </w:tcPr>
          <w:p>
            <w:pPr>
              <w:spacing w:after="0"/>
              <w:rPr>
                <w:sz w:val="21"/>
                <w:szCs w:val="21"/>
                <w:color w:val="auto"/>
              </w:rPr>
            </w:pPr>
          </w:p>
        </w:tc>
        <w:tc>
          <w:tcPr>
            <w:tcW w:w="1000" w:type="dxa"/>
            <w:vAlign w:val="bottom"/>
            <w:gridSpan w:val="2"/>
          </w:tcPr>
          <w:p>
            <w:pPr>
              <w:ind w:left="320"/>
              <w:spacing w:after="0" w:line="247" w:lineRule="exact"/>
              <w:rPr>
                <w:sz w:val="20"/>
                <w:szCs w:val="20"/>
                <w:color w:val="auto"/>
              </w:rPr>
            </w:pPr>
            <w:r>
              <w:rPr>
                <w:rFonts w:ascii="Arial" w:cs="Arial" w:eastAsia="Arial" w:hAnsi="Arial"/>
                <w:sz w:val="17"/>
                <w:szCs w:val="17"/>
                <w:color w:val="auto"/>
              </w:rPr>
              <w:t>N/A</w:t>
            </w:r>
            <w:r>
              <w:rPr>
                <w:rFonts w:ascii="Arial" w:cs="Arial" w:eastAsia="Arial" w:hAnsi="Arial"/>
                <w:sz w:val="28"/>
                <w:szCs w:val="28"/>
                <w:color w:val="auto"/>
                <w:vertAlign w:val="superscript"/>
              </w:rPr>
              <w:t>(5)</w:t>
            </w:r>
          </w:p>
        </w:tc>
        <w:tc>
          <w:tcPr>
            <w:tcW w:w="1100" w:type="dxa"/>
            <w:vAlign w:val="bottom"/>
            <w:gridSpan w:val="2"/>
          </w:tcPr>
          <w:p>
            <w:pPr>
              <w:ind w:left="420"/>
              <w:spacing w:after="0" w:line="247" w:lineRule="exact"/>
              <w:rPr>
                <w:sz w:val="20"/>
                <w:szCs w:val="20"/>
                <w:color w:val="auto"/>
              </w:rPr>
            </w:pPr>
            <w:r>
              <w:rPr>
                <w:rFonts w:ascii="Arial" w:cs="Arial" w:eastAsia="Arial" w:hAnsi="Arial"/>
                <w:sz w:val="17"/>
                <w:szCs w:val="17"/>
                <w:color w:val="auto"/>
              </w:rPr>
              <w:t>N/A</w:t>
            </w:r>
            <w:r>
              <w:rPr>
                <w:rFonts w:ascii="Arial" w:cs="Arial" w:eastAsia="Arial" w:hAnsi="Arial"/>
                <w:sz w:val="28"/>
                <w:szCs w:val="28"/>
                <w:color w:val="auto"/>
                <w:vertAlign w:val="superscript"/>
              </w:rPr>
              <w:t>(5)</w:t>
            </w:r>
          </w:p>
        </w:tc>
        <w:tc>
          <w:tcPr>
            <w:tcW w:w="112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0"/>
        </w:trPr>
        <w:tc>
          <w:tcPr>
            <w:tcW w:w="30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Total land and development</w:t>
            </w:r>
          </w:p>
        </w:tc>
        <w:tc>
          <w:tcPr>
            <w:tcW w:w="1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88,340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352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1,123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b w:val="1"/>
                <w:bCs w:val="1"/>
                <w:color w:val="auto"/>
              </w:rPr>
              <w:t>3,983</w:t>
            </w:r>
          </w:p>
        </w:tc>
        <w:tc>
          <w:tcPr>
            <w:tcW w:w="0" w:type="dxa"/>
            <w:vAlign w:val="bottom"/>
          </w:tcPr>
          <w:p>
            <w:pPr>
              <w:spacing w:after="0"/>
              <w:rPr>
                <w:sz w:val="1"/>
                <w:szCs w:val="1"/>
                <w:color w:val="auto"/>
              </w:rPr>
            </w:pPr>
          </w:p>
        </w:tc>
      </w:tr>
      <w:tr>
        <w:trPr>
          <w:trHeight w:val="146"/>
        </w:trPr>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vMerge w:val="restart"/>
          </w:tcPr>
          <w:p>
            <w:pPr>
              <w:jc w:val="right"/>
              <w:ind w:right="197"/>
              <w:spacing w:after="0"/>
              <w:rPr>
                <w:sz w:val="20"/>
                <w:szCs w:val="20"/>
                <w:color w:val="auto"/>
              </w:rPr>
            </w:pPr>
            <w:r>
              <w:rPr>
                <w:rFonts w:ascii="Arial" w:cs="Arial" w:eastAsia="Arial" w:hAnsi="Arial"/>
                <w:sz w:val="14"/>
                <w:szCs w:val="14"/>
                <w:b w:val="1"/>
                <w:bCs w:val="1"/>
                <w:color w:val="auto"/>
              </w:rPr>
              <w:t>Equity in</w:t>
            </w:r>
          </w:p>
        </w:tc>
        <w:tc>
          <w:tcPr>
            <w:tcW w:w="120" w:type="dxa"/>
            <w:vAlign w:val="bottom"/>
            <w:vMerge w:val="restart"/>
          </w:tcPr>
          <w:p>
            <w:pPr>
              <w:spacing w:after="0"/>
              <w:rPr>
                <w:sz w:val="12"/>
                <w:szCs w:val="12"/>
                <w:color w:val="auto"/>
              </w:rPr>
            </w:pPr>
          </w:p>
        </w:tc>
        <w:tc>
          <w:tcPr>
            <w:tcW w:w="8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Units Sold in</w:t>
            </w:r>
          </w:p>
        </w:tc>
        <w:tc>
          <w:tcPr>
            <w:tcW w:w="120" w:type="dxa"/>
            <w:vAlign w:val="bottom"/>
            <w:vMerge w:val="restart"/>
          </w:tcPr>
          <w:p>
            <w:pPr>
              <w:spacing w:after="0"/>
              <w:rPr>
                <w:sz w:val="12"/>
                <w:szCs w:val="12"/>
                <w:color w:val="auto"/>
              </w:rPr>
            </w:pPr>
          </w:p>
        </w:tc>
        <w:tc>
          <w:tcPr>
            <w:tcW w:w="9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Cumulative</w:t>
            </w:r>
          </w:p>
        </w:tc>
        <w:tc>
          <w:tcPr>
            <w:tcW w:w="120" w:type="dxa"/>
            <w:vAlign w:val="bottom"/>
            <w:vMerge w:val="restart"/>
          </w:tcPr>
          <w:p>
            <w:pPr>
              <w:spacing w:after="0"/>
              <w:rPr>
                <w:sz w:val="12"/>
                <w:szCs w:val="12"/>
                <w:color w:val="auto"/>
              </w:rPr>
            </w:pPr>
          </w:p>
        </w:tc>
        <w:tc>
          <w:tcPr>
            <w:tcW w:w="112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4320" w:type="dxa"/>
            <w:vAlign w:val="bottom"/>
            <w:gridSpan w:val="4"/>
            <w:vMerge w:val="restart"/>
          </w:tcPr>
          <w:p>
            <w:pPr>
              <w:ind w:left="40"/>
              <w:spacing w:after="0"/>
              <w:rPr>
                <w:sz w:val="20"/>
                <w:szCs w:val="20"/>
                <w:color w:val="auto"/>
              </w:rPr>
            </w:pPr>
            <w:r>
              <w:rPr>
                <w:rFonts w:ascii="Arial" w:cs="Arial" w:eastAsia="Arial" w:hAnsi="Arial"/>
                <w:sz w:val="17"/>
                <w:szCs w:val="17"/>
                <w:b w:val="1"/>
                <w:bCs w:val="1"/>
                <w:color w:val="auto"/>
              </w:rPr>
              <w:t>Land and development equity method investments</w:t>
            </w: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92"/>
        </w:trPr>
        <w:tc>
          <w:tcPr>
            <w:tcW w:w="4320" w:type="dxa"/>
            <w:vAlign w:val="bottom"/>
            <w:gridSpan w:val="4"/>
            <w:vMerge w:val="continue"/>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Earnings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7"/>
              </w:rPr>
              <w:t>2016</w:t>
            </w:r>
            <w:r>
              <w:rPr>
                <w:rFonts w:ascii="Arial" w:cs="Arial" w:eastAsia="Arial" w:hAnsi="Arial"/>
                <w:sz w:val="8"/>
                <w:szCs w:val="8"/>
                <w:b w:val="1"/>
                <w:bCs w:val="1"/>
                <w:color w:val="auto"/>
                <w:w w:val="97"/>
              </w:rPr>
              <w:t>(2)</w:t>
            </w:r>
          </w:p>
        </w:tc>
        <w:tc>
          <w:tcPr>
            <w:tcW w:w="120" w:type="dxa"/>
            <w:vAlign w:val="bottom"/>
          </w:tcPr>
          <w:p>
            <w:pPr>
              <w:spacing w:after="0"/>
              <w:rPr>
                <w:sz w:val="16"/>
                <w:szCs w:val="16"/>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Units Sold</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8"/>
              </w:rPr>
              <w:t>Units</w:t>
            </w:r>
            <w:r>
              <w:rPr>
                <w:rFonts w:ascii="Arial" w:cs="Arial" w:eastAsia="Arial" w:hAnsi="Arial"/>
                <w:sz w:val="8"/>
                <w:szCs w:val="8"/>
                <w:b w:val="1"/>
                <w:bCs w:val="1"/>
                <w:color w:val="auto"/>
                <w:w w:val="98"/>
              </w:rPr>
              <w:t>(2)</w:t>
            </w:r>
          </w:p>
        </w:tc>
        <w:tc>
          <w:tcPr>
            <w:tcW w:w="0" w:type="dxa"/>
            <w:vAlign w:val="bottom"/>
          </w:tcPr>
          <w:p>
            <w:pPr>
              <w:spacing w:after="0"/>
              <w:rPr>
                <w:sz w:val="1"/>
                <w:szCs w:val="1"/>
                <w:color w:val="auto"/>
              </w:rPr>
            </w:pPr>
          </w:p>
        </w:tc>
      </w:tr>
      <w:tr>
        <w:trPr>
          <w:trHeight w:val="198"/>
        </w:trPr>
        <w:tc>
          <w:tcPr>
            <w:tcW w:w="29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N. Miami Beach,</w:t>
            </w:r>
          </w:p>
        </w:tc>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3080" w:type="dxa"/>
            <w:vAlign w:val="bottom"/>
            <w:gridSpan w:val="2"/>
            <w:shd w:val="clear" w:color="auto" w:fill="CCEEFF"/>
          </w:tcPr>
          <w:p>
            <w:pPr>
              <w:ind w:left="40"/>
              <w:spacing w:after="0" w:line="247" w:lineRule="exact"/>
              <w:rPr>
                <w:sz w:val="20"/>
                <w:szCs w:val="20"/>
                <w:color w:val="auto"/>
              </w:rPr>
            </w:pPr>
            <w:r>
              <w:rPr>
                <w:rFonts w:ascii="Arial" w:cs="Arial" w:eastAsia="Arial" w:hAnsi="Arial"/>
                <w:sz w:val="17"/>
                <w:szCs w:val="17"/>
                <w:color w:val="auto"/>
              </w:rPr>
              <w:t>Marina Palms</w:t>
            </w:r>
            <w:r>
              <w:rPr>
                <w:rFonts w:ascii="Arial" w:cs="Arial" w:eastAsia="Arial" w:hAnsi="Arial"/>
                <w:sz w:val="28"/>
                <w:szCs w:val="28"/>
                <w:color w:val="auto"/>
                <w:vertAlign w:val="superscript"/>
              </w:rPr>
              <w:t>(6)(7)</w:t>
            </w: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Waterfront</w:t>
            </w: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FL</w:t>
            </w:r>
          </w:p>
        </w:tc>
        <w:tc>
          <w:tcPr>
            <w:tcW w:w="10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2017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22,053</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63</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233</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235</w:t>
            </w:r>
          </w:p>
        </w:tc>
        <w:tc>
          <w:tcPr>
            <w:tcW w:w="0" w:type="dxa"/>
            <w:vAlign w:val="bottom"/>
          </w:tcPr>
          <w:p>
            <w:pPr>
              <w:spacing w:after="0"/>
              <w:rPr>
                <w:sz w:val="1"/>
                <w:szCs w:val="1"/>
                <w:color w:val="auto"/>
              </w:rPr>
            </w:pPr>
          </w:p>
        </w:tc>
      </w:tr>
      <w:tr>
        <w:trPr>
          <w:trHeight w:val="270"/>
        </w:trPr>
        <w:tc>
          <w:tcPr>
            <w:tcW w:w="308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7"/>
                <w:szCs w:val="17"/>
                <w:color w:val="auto"/>
              </w:rPr>
              <w:t>Spring Mountain Ranch Phase 1</w:t>
            </w:r>
            <w:r>
              <w:rPr>
                <w:rFonts w:ascii="Arial" w:cs="Arial" w:eastAsia="Arial" w:hAnsi="Arial"/>
                <w:sz w:val="28"/>
                <w:szCs w:val="28"/>
                <w:color w:val="auto"/>
                <w:vertAlign w:val="superscript"/>
              </w:rPr>
              <w:t>(6)</w:t>
            </w:r>
          </w:p>
        </w:tc>
        <w:tc>
          <w:tcPr>
            <w:tcW w:w="12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MPC</w:t>
            </w:r>
          </w:p>
        </w:tc>
        <w:tc>
          <w:tcPr>
            <w:tcW w:w="1380" w:type="dxa"/>
            <w:vAlign w:val="bottom"/>
            <w:tcBorders>
              <w:bottom w:val="single" w:sz="8" w:color="CCEEFF"/>
            </w:tcBorders>
            <w:gridSpan w:val="2"/>
          </w:tcPr>
          <w:p>
            <w:pPr>
              <w:ind w:left="40"/>
              <w:spacing w:after="0"/>
              <w:rPr>
                <w:sz w:val="20"/>
                <w:szCs w:val="20"/>
                <w:color w:val="auto"/>
              </w:rPr>
            </w:pPr>
            <w:r>
              <w:rPr>
                <w:rFonts w:ascii="Arial" w:cs="Arial" w:eastAsia="Arial" w:hAnsi="Arial"/>
                <w:sz w:val="17"/>
                <w:szCs w:val="17"/>
                <w:color w:val="auto"/>
              </w:rPr>
              <w:t>Riverside, CA</w:t>
            </w:r>
          </w:p>
        </w:tc>
        <w:tc>
          <w:tcPr>
            <w:tcW w:w="102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w w:val="89"/>
              </w:rPr>
              <w:t>2017</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(306)</w:t>
            </w:r>
          </w:p>
        </w:tc>
        <w:tc>
          <w:tcPr>
            <w:tcW w:w="120" w:type="dxa"/>
            <w:vAlign w:val="bottom"/>
            <w:tcBorders>
              <w:bottom w:val="single" w:sz="8" w:color="CCEEFF"/>
            </w:tcBorders>
          </w:tcPr>
          <w:p>
            <w:pPr>
              <w:spacing w:after="0"/>
              <w:rPr>
                <w:sz w:val="23"/>
                <w:szCs w:val="23"/>
                <w:color w:val="auto"/>
              </w:rPr>
            </w:pPr>
          </w:p>
        </w:tc>
        <w:tc>
          <w:tcPr>
            <w:tcW w:w="88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183</w:t>
            </w:r>
          </w:p>
        </w:tc>
        <w:tc>
          <w:tcPr>
            <w:tcW w:w="120" w:type="dxa"/>
            <w:vAlign w:val="bottom"/>
            <w:tcBorders>
              <w:bottom w:val="single" w:sz="8" w:color="CCEEFF"/>
            </w:tcBorders>
          </w:tcPr>
          <w:p>
            <w:pPr>
              <w:spacing w:after="0"/>
              <w:rPr>
                <w:sz w:val="23"/>
                <w:szCs w:val="23"/>
                <w:color w:val="auto"/>
              </w:rPr>
            </w:pPr>
          </w:p>
        </w:tc>
        <w:tc>
          <w:tcPr>
            <w:tcW w:w="98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383</w:t>
            </w:r>
          </w:p>
        </w:tc>
        <w:tc>
          <w:tcPr>
            <w:tcW w:w="12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50"/>
        </w:trPr>
        <w:tc>
          <w:tcPr>
            <w:tcW w:w="43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7"/>
                <w:szCs w:val="17"/>
                <w:b w:val="1"/>
                <w:bCs w:val="1"/>
                <w:color w:val="auto"/>
                <w:w w:val="94"/>
              </w:rPr>
              <w:t>Total land and development equity method investments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21,747</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616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b w:val="1"/>
                <w:bCs w:val="1"/>
                <w:color w:val="auto"/>
              </w:rPr>
              <w:t>287</w:t>
            </w:r>
          </w:p>
        </w:tc>
        <w:tc>
          <w:tcPr>
            <w:tcW w:w="0" w:type="dxa"/>
            <w:vAlign w:val="bottom"/>
          </w:tcPr>
          <w:p>
            <w:pPr>
              <w:spacing w:after="0"/>
              <w:rPr>
                <w:sz w:val="1"/>
                <w:szCs w:val="1"/>
                <w:color w:val="auto"/>
              </w:rPr>
            </w:pPr>
          </w:p>
        </w:tc>
      </w:tr>
      <w:tr>
        <w:trPr>
          <w:trHeight w:val="244"/>
        </w:trPr>
        <w:tc>
          <w:tcPr>
            <w:tcW w:w="5700" w:type="dxa"/>
            <w:vAlign w:val="bottom"/>
            <w:gridSpan w:val="6"/>
          </w:tcPr>
          <w:p>
            <w:pPr>
              <w:ind w:left="40"/>
              <w:spacing w:after="0"/>
              <w:rPr>
                <w:sz w:val="20"/>
                <w:szCs w:val="20"/>
                <w:color w:val="auto"/>
              </w:rPr>
            </w:pPr>
            <w:r>
              <w:rPr>
                <w:rFonts w:ascii="Arial" w:cs="Arial" w:eastAsia="Arial" w:hAnsi="Arial"/>
                <w:sz w:val="17"/>
                <w:szCs w:val="17"/>
                <w:b w:val="1"/>
                <w:bCs w:val="1"/>
                <w:color w:val="auto"/>
              </w:rPr>
              <w:t>Total Land and Development Projects Contributing to Earnings</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b w:val="1"/>
                <w:bCs w:val="1"/>
                <w:color w:val="auto"/>
              </w:rPr>
              <w:t>110,087</w:t>
            </w:r>
          </w:p>
        </w:tc>
        <w:tc>
          <w:tcPr>
            <w:tcW w:w="120" w:type="dxa"/>
            <w:vAlign w:val="bottom"/>
          </w:tcPr>
          <w:p>
            <w:pPr>
              <w:spacing w:after="0"/>
              <w:rPr>
                <w:sz w:val="21"/>
                <w:szCs w:val="21"/>
                <w:color w:val="auto"/>
              </w:rPr>
            </w:pPr>
          </w:p>
        </w:tc>
        <w:tc>
          <w:tcPr>
            <w:tcW w:w="8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7"/>
                <w:szCs w:val="17"/>
                <w:b w:val="1"/>
                <w:bCs w:val="1"/>
                <w:color w:val="auto"/>
              </w:rPr>
              <w:t>598</w:t>
            </w:r>
          </w:p>
        </w:tc>
        <w:tc>
          <w:tcPr>
            <w:tcW w:w="120" w:type="dxa"/>
            <w:vAlign w:val="bottom"/>
          </w:tcPr>
          <w:p>
            <w:pPr>
              <w:spacing w:after="0"/>
              <w:rPr>
                <w:sz w:val="21"/>
                <w:szCs w:val="21"/>
                <w:color w:val="auto"/>
              </w:rPr>
            </w:pPr>
          </w:p>
        </w:tc>
        <w:tc>
          <w:tcPr>
            <w:tcW w:w="9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7"/>
                <w:szCs w:val="17"/>
                <w:b w:val="1"/>
                <w:bCs w:val="1"/>
                <w:color w:val="auto"/>
              </w:rPr>
              <w:t>1,739</w:t>
            </w:r>
          </w:p>
        </w:tc>
        <w:tc>
          <w:tcPr>
            <w:tcW w:w="12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7"/>
                <w:szCs w:val="17"/>
                <w:b w:val="1"/>
                <w:bCs w:val="1"/>
                <w:color w:val="auto"/>
              </w:rPr>
              <w:t>4,270</w:t>
            </w:r>
          </w:p>
        </w:tc>
        <w:tc>
          <w:tcPr>
            <w:tcW w:w="0" w:type="dxa"/>
            <w:vAlign w:val="bottom"/>
          </w:tcPr>
          <w:p>
            <w:pPr>
              <w:spacing w:after="0"/>
              <w:rPr>
                <w:sz w:val="1"/>
                <w:szCs w:val="1"/>
                <w:color w:val="auto"/>
              </w:rPr>
            </w:pPr>
          </w:p>
        </w:tc>
      </w:tr>
      <w:tr>
        <w:trPr>
          <w:trHeight w:val="20"/>
        </w:trPr>
        <w:tc>
          <w:tcPr>
            <w:tcW w:w="5700" w:type="dxa"/>
            <w:vAlign w:val="bottom"/>
            <w:gridSpan w:val="6"/>
            <w:vMerge w:val="restart"/>
          </w:tcPr>
          <w:p>
            <w:pPr>
              <w:spacing w:after="0"/>
              <w:rPr>
                <w:sz w:val="20"/>
                <w:szCs w:val="20"/>
                <w:color w:val="auto"/>
              </w:rPr>
            </w:pPr>
            <w:r>
              <w:rPr>
                <w:rFonts w:ascii="Arial" w:cs="Arial" w:eastAsia="Arial" w:hAnsi="Arial"/>
                <w:sz w:val="14"/>
                <w:szCs w:val="14"/>
                <w:color w:val="auto"/>
                <w:w w:val="92"/>
              </w:rPr>
              <w:t>_______________________________________________________________________________</w:t>
            </w: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700" w:type="dxa"/>
            <w:vAlign w:val="bottom"/>
            <w:gridSpan w:val="6"/>
            <w:vMerge w:val="continue"/>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500" w:hanging="492"/>
        <w:spacing w:after="0" w:line="250" w:lineRule="auto"/>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Anticipated completion dates are subject to change as a result of factors that may be outside of the Company's control, such as economic conditions, uncertainty with rezoning, obtaining governmental permits and approvals, concerns of community associations and reliance on third party contractors.</w:t>
      </w:r>
    </w:p>
    <w:p>
      <w:pPr>
        <w:ind w:left="500" w:hanging="492"/>
        <w:spacing w:after="0" w:line="241" w:lineRule="auto"/>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Units sold in 2016 excludes land bulk parcel sales. Estimated remaining units may include single-family lots, condos, multifamily rental units and hotel keys, as applicable, for the respective properties and are subject to change.</w:t>
      </w:r>
    </w:p>
    <w:p>
      <w:pPr>
        <w:ind w:left="500" w:hanging="492"/>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 2016, the Company sold two land parcels for land development revenue of $21.5 million.</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 September 2016, the Company sold a land parcel to affordable housing developers and recognized $8.3 million of land development revenue.</w:t>
      </w:r>
    </w:p>
    <w:p>
      <w:pPr>
        <w:spacing w:after="0" w:line="1" w:lineRule="exact"/>
        <w:rPr>
          <w:rFonts w:ascii="Arial" w:cs="Arial" w:eastAsia="Arial" w:hAnsi="Arial"/>
          <w:sz w:val="14"/>
          <w:szCs w:val="14"/>
          <w:color w:val="auto"/>
        </w:rPr>
      </w:pPr>
    </w:p>
    <w:p>
      <w:pPr>
        <w:ind w:left="500" w:right="20" w:hanging="492"/>
        <w:spacing w:after="0" w:line="241" w:lineRule="auto"/>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 2015, the Company sold a 9-acre infill parcel at 1210 California Circle in Milpitas, CA to a national homebuilder. The Company recorded additional land development revenue of $7.0 million in 2016 upon the satisfaction of certain easement agreements.</w:t>
      </w:r>
    </w:p>
    <w:p>
      <w:pPr>
        <w:ind w:left="500" w:hanging="492"/>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These land and development projects are accounted for under the equity method of accounting.</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Sales activity is the result of percentage of completion accounting at the joint venture, 63 closed units and contracts on unsold units as of December 31, 2016.</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Great Oaks</w:t>
      </w:r>
    </w:p>
    <w:p>
      <w:pPr>
        <w:spacing w:after="0" w:line="32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Great Oaks is a mixed-use development site re-entitled to include a mix of 720 residential units, big box retail, and industrial/office uses on approximately 73 acres. The Company sold the 11 acre office/industrial site in May 2016 and the 15 acre retail site in September 2016. The Company recorded $21.5 million of land development revenue during the year ended December 31, 2016. The Company did not recognize any land development revenue during the year ended December 31, 2015.</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Sage Scottsdale</w:t>
      </w:r>
    </w:p>
    <w:p>
      <w:pPr>
        <w:spacing w:after="0" w:line="320"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Sage Scottsdale is an infill development project in Scottsdale, AZ comprised of 72 two- and three-bedroom condominiums. The community is located next to the waterfront canal and Old Town Scottsdale and provides residents with a wide array of luxury amenities such as a resort pool, clubhouse, fitness room and wine cellar / tasting room.</w:t>
      </w:r>
    </w:p>
    <w:p>
      <w:pPr>
        <w:spacing w:after="0" w:line="235"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Sales at Sage Scottsdale commenced in 2015 and the project sold 30 condominiums for $16.1 million of land development revenue during the year ended December 31, 2016 and 19 condominiums for $10.0 million of land development revenue during the year ended December 31, 2015.</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Magnolia Green</w:t>
      </w:r>
    </w:p>
    <w:p>
      <w:pPr>
        <w:spacing w:after="0" w:line="32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Magnolia Green is a 3,500 unit multi-generational master planned community just outside of Richmond, Virginia with distinct phases designed for people in different life stages, from first home buyers to empty nesters. Built on nearly 1,900 acres, Magnolia Green is a community with home designs from the area's top builders. The community’s amenity package features an 18-hole Jack Nicklaus designed golf course and a full-service golf clubhouse, aquatic center and tennis facility which are under construction.</w:t>
      </w:r>
    </w:p>
    <w:p>
      <w:pPr>
        <w:spacing w:after="0" w:line="24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Magnolia Green sold 177 residential lots for $12.8 million of land development revenue during the year ended December 31, 2016 and 146 residential lots for $9.9 million of land development revenue during the year ended December 31, 2015.</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Naples Reserve</w:t>
      </w:r>
    </w:p>
    <w:p>
      <w:pPr>
        <w:spacing w:after="0" w:line="32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Naples Reserve is a water-themed master planned community in Naples, FL built on 688 acres. The project comprises 1,100 lakefront residences across 22 interconnected lakes, including a 125-acre navigable recreation lake and adjacent resort-style amenity center as its centerpiece. The community also includes a neighborhood, Parrot Cay, designated for custom homes constructed by local builders in the Naples Market.</w:t>
      </w:r>
    </w:p>
    <w:p>
      <w:pPr>
        <w:spacing w:after="0" w:line="22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Naples Reserve sold 92 residential lots for $12.3 million of land development revenue during the year ended December 31, 2016 and 68 residential lots for $7.7 million of land development revenue during the year ended December 31, 2015.</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Heath at Tetherow</w:t>
      </w:r>
    </w:p>
    <w:p>
      <w:pPr>
        <w:spacing w:after="0" w:line="32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Tetherow is a 700-acre master planned community located in Bend, OR entitled for 378 residential lots, of which the Company originally acquired 159 lots within the Heath neighborhood. Bend has access to a wide array of recreational activities such as Mount Bachelor and the Cascade Mountains for skiing and hiking, as well as the Deschutes River for kayaking and fishing. In addition, the community’s lodge was named “World’s #1 Resort” on Booking.com and its golf course was ranked among Golf Digest’s “Top 100 Greatest Public Courses.”</w:t>
      </w:r>
    </w:p>
    <w:p>
      <w:pPr>
        <w:spacing w:after="0" w:line="24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Heath at Tetherow sold 53 residential lots for $10.4 million of land development revenue during the year ended December 31, 2016 and 19 residential lots for $4.8 million of land development revenue during the year ended December 31, 2015.</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Coney Island</w:t>
      </w:r>
    </w:p>
    <w:p>
      <w:pPr>
        <w:spacing w:after="0" w:line="32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Coney Island is a waterfront development consisting of a 180,000 square foot land parcel adjoining the Coney Island Riegelmann Boardwalk. The site area was rezoned in 2009 to allow for a mixed-use residential development and the floor area ratio was increased, resulting in approximately one million developable square feet. In September 2016, the Company sold a parcel to affordable housing developers and recognized $8.3 million of land development revenue during the year ended December 31, 2016. The Company did not recognize any land development revenue during the year ended December 31, 2015.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Marina Palms</w:t>
      </w:r>
    </w:p>
    <w:p>
      <w:pPr>
        <w:spacing w:after="0" w:line="32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Marina Palms is a waterfront development in North Miami Beach, FL consisting of 468 residential condominium units within two towers and a 110-slip full-service marina. It is the first luxury condominium and yacht club project in Miami in two decades. Situated on 14 acres and over 750 feet of waterfront, Marina Palms offers views over the Intracoastal Waterway and beyond to the Atlantic Ocean. The Company has partnered with local developers for the development of Marina Palms and contributed its land in return for a 47.5% interest in the venture.</w:t>
      </w:r>
    </w:p>
    <w:p>
      <w:pPr>
        <w:spacing w:after="0" w:line="24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December 31, 2016, the 234 unit north tower has one unit remaining for sale and the 234 unit south tower is 83% pre-sold (based on unit count). During the years ended December 31, 2016 and 2015, the Company recognized $22.1 million and $23.6 million, respectively, of earnings from equity method investments at the project.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Spring Mountain Ranch - Phase 1</w:t>
      </w:r>
    </w:p>
    <w:p>
      <w:pPr>
        <w:spacing w:after="0" w:line="32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Spring Mountain Ranch is a 785-acre master planned community located four miles from Riverside, CA. Spring Mountain Ranch offers convenient freeway access and proximity to local job centers. The community plan includes a total of 1,400 homes across several neighborhoods, designed with an emphasis on outdoor recreation. In late 2013, the Company contributed a portion of its land and entered into a joint venture with a national homebuilder to jointly develop residential lots in the first phase of the project, which is comprised of 435 homes. Homes are marketed towards first time, move up and empty nester purchasers. The Company owns a noncontrolling 75.6% interest in the first phase of Spring Mountain Ranch. The remaining phases of Spring Mountain Ranch are wholly owned by the Company.</w:t>
      </w:r>
    </w:p>
    <w:p>
      <w:pPr>
        <w:spacing w:after="0" w:line="24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first phase of Spring Mountain Ranch sold 183 lots during the year ended December 31, 2016 and 140 lots during the year ended December 31, 2015. During the years ended December 31, 2016 and 2015, the Company recognized $0.3 million and $4.2 million, respectively, of losses from equity method investments at the project. Included in the loss for the year ended December 31, 2015 was an impairment of $4.3 million based on additional costs at the project associated with newly-imposed water regulations implemented by the State of California.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with Respect to Other Activities</w:t>
      </w:r>
    </w:p>
    <w:p>
      <w:pPr>
        <w:spacing w:after="0" w:line="28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Company's investment, financing and corporate governance policies (including conflicts of interests policies) are managed under the ultimate supervision of the Company's Board of Directors. The Company can amend, revise or eliminate these policies at any time without a vote of its shareholders. The Company intends to originate and manage investments in a manner consistent with the requirements of the Internal Revenue Code of 1986, as amended (the "Code") for the Company to qualify as a REIT.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Restrictions or Limitations</w:t>
      </w:r>
    </w:p>
    <w:p>
      <w:pPr>
        <w:spacing w:after="0" w:line="283"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Company does not have any prescribed allocation among investments or product lines. Instead, the Company focuses on corporate and real estate credit underwriting to develop an analysis of the risk/reward trade-offs in determining the pricing and advisability of each particular transaction.</w:t>
      </w:r>
    </w:p>
    <w:p>
      <w:pPr>
        <w:spacing w:after="0" w:line="20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 believes that it is not, and intends to conduct its operations so as not to become, regulated as an investment company under the Investment Company Act. The Investment Company Act generally exempts entities that are "primarily engaged in purchasing or otherwise acquiring mortgages and other liens on and interests in real estate" (collectively, "Qualifying Interests"). The Company intends to rely on current interpretations of the Securities and Exchange Commission in an effort to qualify for this exemption. Based on these interpretations, the Company, among other things, must maintain at least 55% of its assets in Qualifying Interests and at least 25% of its assets in real estate-related assets (subject to reduction to the extent the Company invests more than 55% of its assets in Qualifying Interests). The Company's senior mortgages, real estate assets and certain of its subordinated mortgages generally constitute Qualifying Interests. Subject to the limitations on ownership of certain types of assets and the gross income tests imposed by the Code, the Company also may invest in the securities of other REITs, other entities engaged in real estate activities or other issuers, including for the purpose of exercising control over such entities.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8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operates in a competitive market. See Item 1a—Risk factors—"We compete with a variety of financing and leasing sources for our customers," for a discussion of how we may be affected by competition.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8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operations of the Company are subject, in certain instances, to supervision and regulation by state and federal governmental authorities and may be subject to various laws and judicial and administrative decisions imposing various requirements and restrictions, which, among other things: (1) regulate credit granting activities; (2) establish maximum interest rates, finance charges and other charges; (3) require disclosures to customers; (4) govern secured transactions; (5) set collection, foreclosure, repossession and claims-handling procedures and other trade practices; (6) govern privacy of customer information; and (7) regulate anti-terror and anti-money laundering activities. Although most states do not regulate commercial finance, certain states impose limitations on interest rates and other charges and on certain collection practices and creditor remedies, and require licensing of lenders and financiers and adequate disclosure of certain contract terms. The Company is also required to comply with certain provisions of the Equal Credit Opportunity Act that are applicable to commercial loans.</w:t>
      </w:r>
    </w:p>
    <w:p>
      <w:pPr>
        <w:spacing w:after="0" w:line="24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the judgment of management, existing statutes and regulations have not had a material adverse effect on the business conducted by the Company. It is not possible at this time to forecast the exact nature of any future legislation, regulations, judicial decisions, orders or interpretations, nor their impact upon the future business, financial condition or results of operations or prospects of the Company.</w:t>
      </w:r>
    </w:p>
    <w:p>
      <w:pPr>
        <w:sectPr>
          <w:pgSz w:w="11900" w:h="16838" w:orient="portrait"/>
          <w:cols w:equalWidth="0" w:num="1">
            <w:col w:w="11420"/>
          </w:cols>
          <w:pgMar w:left="240" w:top="122"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2" w:right="23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Company has elected and expects to continue to qualify to be taxed as a REIT under Section 856 through 860 of the Code. As a REIT, the Company must generally distribute at least 90% of its net taxable income, excluding capital gains, to its shareholders each year. In addition, the Company must distribute 100% of its net taxable income (including net capital gains) each year to eliminate corporate federal income taxes payable by the REIT. REITs are also subject to a number of organizational and operational requirements in order to elect and maintain REIT qualification. These requirements include specific share ownership tests and asset and gross income tests. If the Company fails to qualify as a REIT in any taxable year, the Company will be subject to federal income tax (including any applicable alternative minimum tax) on its net taxable income at regular corporate tax rates. Even if the Company qualifies for taxation as a REIT, the Company may be subject to state and local taxes and to federal income tax and excise tax on its undistributed income.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283"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 xml:space="preserve">The Company has adopted a code of conduct that sets forth the principles of conduct and ethics to be followed by our directors, officers and employees (the "Code of Conduct"). The purpose of the Code of Conduct is to promote honest and ethical conduct, compliance with applicable governmental rules and regulations, full, fair, accurate, timely and understandable disclosure in periodic reports, prompt internal reporting of violations of the Code of Conduct and a culture of honesty and accountability. A copy of the Code of Conduct has been provided to each of our directors, officers and employees, who are required to acknowledge that they have received and will comply with the Code of Conduct. A copy of the Company's Code of Conduct has been previously filed with the SEC and is incorporated by reference in this Annual Report on Form 10-K as Exhibit 14.0. The Code of Conduct is also available on the Company's website at </w:t>
      </w:r>
      <w:r>
        <w:rPr>
          <w:rFonts w:ascii="Arial" w:cs="Arial" w:eastAsia="Arial" w:hAnsi="Arial"/>
          <w:sz w:val="16"/>
          <w:szCs w:val="16"/>
          <w:i w:val="1"/>
          <w:iCs w:val="1"/>
          <w:color w:val="auto"/>
        </w:rPr>
        <w:t>www.istar.com</w:t>
      </w:r>
      <w:r>
        <w:rPr>
          <w:rFonts w:ascii="Arial" w:cs="Arial" w:eastAsia="Arial" w:hAnsi="Arial"/>
          <w:sz w:val="16"/>
          <w:szCs w:val="16"/>
          <w:color w:val="auto"/>
        </w:rPr>
        <w:t>. The Company will disclose to shareholders material changes to its Code of Conduct, or any waivers for directors or executive officers, if any, within four business days of any such event. As of December 31, 2016, there have been no amendments to the Code of Conduct and the Company has not granted any waivers from any provision of the Code of Conduct to any directors or executive officers.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8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February 19, 2017, the Company had 193 employees and believes it has good relationships with its employees. The Company's employees are not represented by any collective bargaining agreements.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83"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 xml:space="preserve">In addition to this Annual Report on Form 10-K, the Company files quarterly and special reports, proxy statements and other information with the SEC. Through the Company's corporate website, </w:t>
      </w:r>
      <w:r>
        <w:rPr>
          <w:rFonts w:ascii="Arial" w:cs="Arial" w:eastAsia="Arial" w:hAnsi="Arial"/>
          <w:sz w:val="16"/>
          <w:szCs w:val="16"/>
          <w:i w:val="1"/>
          <w:iCs w:val="1"/>
          <w:color w:val="auto"/>
        </w:rPr>
        <w:t>www.istar.com</w:t>
      </w:r>
      <w:r>
        <w:rPr>
          <w:rFonts w:ascii="Arial" w:cs="Arial" w:eastAsia="Arial" w:hAnsi="Arial"/>
          <w:sz w:val="16"/>
          <w:szCs w:val="16"/>
          <w:color w:val="auto"/>
        </w:rPr>
        <w:t xml:space="preserve">, the Company makes available free of charge its annual proxy statement, annual reports to stockholders, annual reports on Form 10-K, quarterly reports on Form 10-Q, current reports on Form 8-K, and amendments to those reports filed or furnished pursuant to Section 13(a) or 15(d) of the Exchange Act as soon as reasonably practicable after the Company electronically files such material with, or furnishes it to, the SEC. You may also read and copy any document filed at the public reference facilities at 100 F Street, N.E., Washington, D.C. 25049. Please call the SEC at (800) SEC-0330 for further information about the public reference facilities. These documents also may be accessed through the SEC's electronic data gathering, analysis and retrieval system via electronic means, including on the SEC's homepage, which can be found at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2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83"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In addition to the other information in this report, you should consider carefully the following risk factors in evaluating an investment in the Company's securities. Any of these risks or the occurrence of any one or more of the uncertainties described below could have a material adverse effect on the Company's business, financial condition, results of operations, cash flows and market price of the Company's common stock. The risks set forth below speak only as of the date of this report and the Company disclaims any duty to update them except as required by law. For purposes of these risk factors, the terms "our Company," "we," "our" and "us" refer to iStar Inc. and its consolidated subsidiaries, unless the context indicates otherwise.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general economic conditions may adversely affect our business.</w:t>
      </w:r>
    </w:p>
    <w:p>
      <w:pPr>
        <w:spacing w:after="0" w:line="27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Our success is generally dependent upon economic conditions in the United States, and in particular, the geographic areas in which our investments are located. Substantially all businesses, including ours, were negatively affected by the previous economic recession and resulting illiquidity and volatility in the credit and commercial real estate markets. The commercial real estate and credit markets remain volatile and it is not possible for us to predict whether these trends will continue in the future or quantify the impact of these or other trends on our financial results. Deterioration in economic trends could have a material adverse effect on our financial performance, liquidity and our ability to meet our debt obligations.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credit ratings will impact our borrowing costs.</w:t>
      </w:r>
    </w:p>
    <w:p>
      <w:pPr>
        <w:spacing w:after="0" w:line="27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borrowing costs and our access to the debt capital markets depend significantly on our credit ratings. Our unsecured corporate credit ratings from major national credit rating agencies are currently below investment grade. Having below investment grade credit ratings increases our borrowing costs and caused restrictive covenants in our public debt instruments to become operative. These restrictive covenants are described below in "Covenants in our indebtedness could limit our flexibility and adversely affect our financial condition." These factors have adversely impacted our financial performance and will continue to do so unless our credit ratings improve.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in our indebtedness could limit our flexibility and adversely affect our financial condition.</w:t>
      </w:r>
    </w:p>
    <w:p>
      <w:pPr>
        <w:spacing w:after="0" w:line="27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outstanding unsecured debt securities contain corporate level covenants that include a covenant to maintain a ratio of unencumbered assets to unsecured indebtedness of at least 1.2x and a restriction on debt incurrence based upon the effect of the debt incurrence on our fixed charge coverage ratio. If any of our covenants are breached and not cured within applicable cure periods, the breach could result in acceleration of our debt securities unless a waiver or modification is agreed upon with the requisite percentage of the bondholders. Limitations on our ability to incur new indebtedness under the fixed charge coverage ratio may limit the amount of new investments we make.</w:t>
      </w:r>
    </w:p>
    <w:p>
      <w:pPr>
        <w:spacing w:after="0" w:line="242"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In March 2015, we entered into a secured revolving credit facility with a maximum capacity of $250.0 million (our "2015 Secured Revolving Credit Facility"). In June 2016, we entered into a senior secured credit facility with a maximum capacity of $450.0 million and in August 2016 we upsized the facility to $500.0 million (our "2016 Senior Secured Credit Facility"). Our 2015 Secured Revolving Credit Facility and our 2016 Senior Secured Credit Facility contain certain covenants, including covenants relating to collateral coverage, dividend payments, restrictions on fundamental changes, transactions with affiliates, matters relating to the liens granted to the lenders and the delivery of information to the lenders. In particular, our 2016 Senior Secured Credit Facility requires the Company to maintain collateral coverage of at least 1.25x outstanding borrowings on the facility and our 2015 Secured Revolving Credit Facility requires us to maintain both collateral coverage of at least 1.5x outstanding borrowings on the facility and a consolidated ratio of cash flow to fixed charges of at least 1.5x. In addition, for so long as we maintain our qualification as a REIT, our 2016 Senior Secured Credit Facility and 2015 Secured Revolving Credit Facility permit us to distribute 100% of our REIT taxable income on an annual basis (prior to deducting certain cumulative net operating loss carryforwards). We may not pay common dividends if the Company ceases to qualify as a REIT.</w:t>
      </w:r>
    </w:p>
    <w:p>
      <w:pPr>
        <w:spacing w:after="0" w:line="23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Our 2016 Senior Secured Credit Facility and 2015 Secured Revolving Credit Facility contain cross default provisions that would allow the lenders to declare an event of default and accelerate our indebtedness to them if we fail to pay amounts due in respect of our other recourse indebtedness in excess of specified thresholds or if the lenders under such other indebtedness are otherwise permitted to accelerate such indebtedness for any reason. The indentures governing our unsecured public debt securities permit the bondholders to declare an event of default and accelerate our indebtedness to them if our other recourse indebtedness in excess of specified thresholds is not paid at final maturity or if such indebtedness is accelerated. A default by us on our indebtedness would have a material adverse effect on our business, liquidity and the market price of our common stock.</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significant indebtedness and funding commitments and limitations on our liquidity and ability to raise capital may adversely affect us.</w:t>
      </w:r>
    </w:p>
    <w:p>
      <w:pPr>
        <w:spacing w:after="0" w:line="302"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Sufficient liquidity is critical to our ability to grow, the management of our balance sheet and our ability to meet our scheduled debt payments and our funding commitments to borrowers. We have relied on proceeds from the issuance of unsecured debt, secured borrowings, repayments from our loan assets and proceeds from asset sales to fund our operations and meet our debt maturities, and we expect to continue to rely primarily on these sources of liquidity for the foreseeable future. We have $924.7 million of indebtedness maturing in 2017. While we had access to various sources of capital in 2016, our ability to access capital in 2017 and beyond will be subject to a number of factors, many of which are outside of our control, such as general economic conditions, changes in interest rates and conditions prevailing in the credit and real estate markets. There can be no assurance that we will have access to liquidity when needed or on terms that are acceptable to us. We may also encounter difficulty in selling assets or executing capital raising strategies on acceptable terms in a timely manner, which could impact our ability to make scheduled repayments on our outstanding debt. Failure to repay or refinance our borrowings as they come due would be an event of default under the relevant debt instruments, which could result in a cross default and acceleration of our other outstanding debt obligations. Failure to meet funding commitments could cause us to be in default of our financing commitments to borrowers. Any of the foregoing could have a material adverse effect on our business, liquidity and the market price of our common stock.</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utilize derivative instruments to hedge risk, which may adversely affect our borrowing cost and expose us to other risks.</w:t>
      </w:r>
    </w:p>
    <w:p>
      <w:pPr>
        <w:spacing w:after="0" w:line="27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derivative instruments we may use are typically in the form of interest rate swaps, interest rate caps and foreign exchange contracts. Interest rate swaps effectively change variable-rate debt obligations to fixed-rate debt obligations or fixed-rate debt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obligations to variable-rate debt obligations. Interest rate caps limit our exposure to rising interest rates. Foreign exchange contracts limit or offset our exposure to changes in currency rates in respect of certain investments denominated in foreign currencies.</w:t>
      </w:r>
    </w:p>
    <w:p>
      <w:pPr>
        <w:spacing w:after="0" w:line="22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Our use of derivative instruments also involves the risk that a counterparty to a hedging arrangement could default on its obligation and the risk that we may have to pay certain costs, such as transaction fees or breakage costs, if a hedging arrangement is terminated by us. As a matter of policy, we enter into hedging arrangements with counterparties that are large, creditworthy financial institutions typically rated at least "A/A2" by S&amp;P and Moody's, respectively.</w:t>
      </w:r>
    </w:p>
    <w:p>
      <w:pPr>
        <w:spacing w:after="0" w:line="20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Developing an effective strategy for dealing with movements in interest rates and foreign currencies is complex and no strategy can completely insulate us from risks associated with such fluctuations. There can be no assurance that any hedging activities will have the desired beneficial impact on our results of operations or financial condition.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increases in interest rates could have an adverse effect on our operating results.</w:t>
      </w:r>
    </w:p>
    <w:p>
      <w:pPr>
        <w:spacing w:after="0" w:line="279"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Our operating results depend in part on the difference between the interest and related income earned on our assets and the interest expense incurred in connection with our interest bearing liabilities. Changes in the general level of interest rates prevailing in the financial markets will affect the spread between our interest earning assets and interest bearing liabilities subject to the impact of interest rate floors and caps, as well as the amounts of floating rate assets and liabilities. Any significant compression of the spreads between interest earning assets and interest bearing liabilities could have a material adverse effect on us. While interest rates remain low by historical standards, rates have recently risen and are generally expected to rise in the coming years, although there is no certainty as to the amount by which they may rise. In the event of a significant rising interest rate environment, rates could exceed the interest rate floors that exist on certain of our floating rate debt and create a mismatch between our floating rate loans and our floating rate debt that could have a significant adverse effect on our operating results. An increase in interest rates could also, among other things, reduce the value of our fixed-rate interest bearing assets and our ability to realize gains from the sale of such assets. In addition, rising interest rates tend to negatively impact the residential mortgage market, which in turn may adversely affect the value of and demand for our land assets, including our residential development projects. Interest rates are highly sensitive to many factors, including governmental monetary and tax policies, domestic and international economic and political conditions, and other factors beyond our control.</w:t>
      </w:r>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required to make a number of judgments in applying accounting policies, and different estimates and assumptions could result in changes to our financial condition and results of operations.</w:t>
      </w:r>
    </w:p>
    <w:p>
      <w:pPr>
        <w:spacing w:after="0" w:line="22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Material estimates that are particularly susceptible to significant change underlie our determination of the reserve for loan losses, which is based primarily on the estimated fair value of loan collateral, as well as the valuation of real estate assets and deferred tax assets. While we have identified those accounting policies that are considered critical and have procedures in place to facilitate the associated judgments, different assumptions in the application of these policies could have a material adverse effect on our financial performance and results of operations and actual results may differ materially from our estimates.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accounting rules will affect our financial reporting.</w:t>
      </w:r>
    </w:p>
    <w:p>
      <w:pPr>
        <w:spacing w:after="0" w:line="3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Financial Accounting Standards Board ("FASB") has issued new accounting standards that will affect our financial reporting.</w:t>
      </w:r>
    </w:p>
    <w:p>
      <w:pPr>
        <w:spacing w:after="0" w:line="14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June 2016</w:t>
      </w:r>
      <w:r>
        <w:rPr>
          <w:rFonts w:ascii="Arial" w:cs="Arial" w:eastAsia="Arial" w:hAnsi="Arial"/>
          <w:sz w:val="18"/>
          <w:szCs w:val="18"/>
          <w:i w:val="1"/>
          <w:iCs w:val="1"/>
          <w:color w:val="auto"/>
        </w:rPr>
        <w:t>,</w:t>
      </w:r>
      <w:r>
        <w:rPr>
          <w:rFonts w:ascii="Arial" w:cs="Arial" w:eastAsia="Arial" w:hAnsi="Arial"/>
          <w:sz w:val="18"/>
          <w:szCs w:val="18"/>
          <w:color w:val="auto"/>
        </w:rPr>
        <w:t xml:space="preserve"> the FASB issued ASU 2016-13, </w:t>
      </w:r>
      <w:r>
        <w:rPr>
          <w:rFonts w:ascii="Arial" w:cs="Arial" w:eastAsia="Arial" w:hAnsi="Arial"/>
          <w:sz w:val="18"/>
          <w:szCs w:val="18"/>
          <w:i w:val="1"/>
          <w:iCs w:val="1"/>
          <w:color w:val="auto"/>
        </w:rPr>
        <w:t>Financial Instruments—Credit Losses: Measurement of Credit Losses on Financial Instruments</w:t>
      </w:r>
      <w:r>
        <w:rPr>
          <w:rFonts w:ascii="Arial" w:cs="Arial" w:eastAsia="Arial" w:hAnsi="Arial"/>
          <w:sz w:val="18"/>
          <w:szCs w:val="18"/>
          <w:color w:val="auto"/>
        </w:rPr>
        <w:t xml:space="preserve"> ("ASU 2016-13") which was issued to provide financial statement users with more decision-useful information about the expected credit losses on financial instruments held by a reporting entity. This amendment replaces the incurred loss impairment methodology in current GAAP with a methodology that reflects expected credit losses and requires consideration of a broader range of reasonable and supportable information to inform credit loss estimates. ASU 2016-13 is effective for interim and annual reporting periods beginning after December 15, 2019. Early adoption is permitted for interim and annual reporting periods beginning after December 15, 2018. Management does not believe the guidance will have a material impact on the Company's consolidated financial statements.</w:t>
      </w:r>
    </w:p>
    <w:p>
      <w:pPr>
        <w:spacing w:after="0" w:line="14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which requires the recognition of lease assets and lease liabilities by lessees for those leases classified as operating leases. For operating leases, a lessee will be required to do the following: (i) recognize a right-of-use asset and a lease liability, initially measured at the present value of the lease payments, in the statement of financial position; (ii) recognize a single lease cost, calculated so that the cost of the lease is allocated over the lease term on a generally straight-line basis and (iii) classify all cash payments within operating activities in the statement of cash flows. For operating lease arrangements for which the Company is the lessee, primarily the lease of office space, the Company expects the impact of ASU 2016-02 to be the recognition of a right-of-use asset and lease liability on its consolidated balance sheets. The accounting applied by the Company as a lessor will be largely unchanged from that applied under previous GAAP. However, in certain instances, a new long-term lease of land subsequent to adoption could be classified as a sales-type lease, which</w:t>
      </w:r>
    </w:p>
    <w:p>
      <w:pPr>
        <w:sectPr>
          <w:pgSz w:w="11900" w:h="16838" w:orient="portrait"/>
          <w:cols w:equalWidth="0" w:num="1">
            <w:col w:w="11420"/>
          </w:cols>
          <w:pgMar w:left="240" w:top="122" w:right="23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2" w:right="23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could result in the Company derecognizing the underlying asset from its books and recording a profit or loss on sale and the net investment in the lease. ASU 2016-02 is effective for interim and annual reporting periods beginning after December 15, 2018. Early adoption is permitted. Management is evaluating the impact of the guidance on the Company's consolidated financial statements.</w:t>
      </w:r>
    </w:p>
    <w:p>
      <w:pPr>
        <w:spacing w:after="0" w:line="14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("ASU 2014-09") which supersedes existing industry-specific guidance, including ASC 360-20, </w:t>
      </w:r>
      <w:r>
        <w:rPr>
          <w:rFonts w:ascii="Arial" w:cs="Arial" w:eastAsia="Arial" w:hAnsi="Arial"/>
          <w:sz w:val="17"/>
          <w:szCs w:val="17"/>
          <w:i w:val="1"/>
          <w:iCs w:val="1"/>
          <w:color w:val="auto"/>
        </w:rPr>
        <w:t>Real Estate Sales</w:t>
      </w:r>
      <w:r>
        <w:rPr>
          <w:rFonts w:ascii="Arial" w:cs="Arial" w:eastAsia="Arial" w:hAnsi="Arial"/>
          <w:sz w:val="17"/>
          <w:szCs w:val="17"/>
          <w:color w:val="auto"/>
        </w:rPr>
        <w:t xml:space="preserve">. The new standard is principles-based and requires more estimates and judgment than current guidance. Certain contracts with customers, including lease contracts and financial instruments and other contractual rights, are not within the scope of the new guidance. Although most of the Company's revenue is operating lease income generated from lease contracts and interest income generated from financial instruments, certain other of the Company's revenue streams will be impacted by the new guidance. In August 2015, the FASB issued ASU 2015-14,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w:t>
      </w:r>
      <w:r>
        <w:rPr>
          <w:rFonts w:ascii="Arial" w:cs="Arial" w:eastAsia="Arial" w:hAnsi="Arial"/>
          <w:sz w:val="17"/>
          <w:szCs w:val="17"/>
          <w:i w:val="1"/>
          <w:iCs w:val="1"/>
          <w:color w:val="auto"/>
        </w:rPr>
        <w:t>from Contracts with Customers - Deferral of the Effective Date</w:t>
      </w:r>
      <w:r>
        <w:rPr>
          <w:rFonts w:ascii="Arial" w:cs="Arial" w:eastAsia="Arial" w:hAnsi="Arial"/>
          <w:sz w:val="17"/>
          <w:szCs w:val="17"/>
          <w:color w:val="auto"/>
        </w:rPr>
        <w:t>, to defer the effective date of ASU 2014-09 by one year. ASU 2014-09 is now effective for</w:t>
      </w:r>
      <w:r>
        <w:rPr>
          <w:rFonts w:ascii="Arial" w:cs="Arial" w:eastAsia="Arial" w:hAnsi="Arial"/>
          <w:sz w:val="17"/>
          <w:szCs w:val="17"/>
          <w:i w:val="1"/>
          <w:iCs w:val="1"/>
          <w:color w:val="auto"/>
        </w:rPr>
        <w:t xml:space="preserve"> </w:t>
      </w:r>
      <w:r>
        <w:rPr>
          <w:rFonts w:ascii="Arial" w:cs="Arial" w:eastAsia="Arial" w:hAnsi="Arial"/>
          <w:sz w:val="17"/>
          <w:szCs w:val="17"/>
          <w:color w:val="auto"/>
        </w:rPr>
        <w:t>interim and annual reporting periods beginning after December 15, 2017. Early adoption is permitted beginning January 1, 2017. Management is evaluating the impact of the guidance on the Company's consolidated financial statements.</w:t>
      </w:r>
    </w:p>
    <w:p>
      <w:pPr>
        <w:spacing w:after="0" w:line="27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Changes in accounting standards could affect the comparability of our reported results with prior periods and our ability to comply with financial covenants under our debt instruments. We may also need to change our accounting systems and processes to enable us to comply with the new standards, which may be costly.</w:t>
      </w:r>
    </w:p>
    <w:p>
      <w:pPr>
        <w:spacing w:after="0" w:line="23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additional information regarding new accounting standards, refer to Note 3 to our consolidated financial statements under the heading "New accounting pronouncements."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reserves for loan losses may prove inadequate, which could have a material adverse effect on our financial results.</w:t>
      </w:r>
    </w:p>
    <w:p>
      <w:pPr>
        <w:spacing w:after="0" w:line="279"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We maintain loan loss reserves to offset potential future losses. Our general loan loss reserve reflects management's then-current estimation of the probability and severity of losses within our portfolio. In addition, our determination of asset-specific loan loss reserves relies on material estimates regarding the fair value of loan collateral. Estimation of ultimate loan losses, provision expenses and loss reserves is a complex and subjective process. As such, there can be no assurance that management's judgment will prove to be correct and that reserves will be adequate over time to protect against potential future losses. Such losses could be caused by factors including, but not limited to, unanticipated adverse changes in the economy or events adversely affecting specific assets, borrowers, industries in which our borrowers operate or markets in which our borrowers or their properties are located. In particular, during the previous financial crisis, the weak economy and disruption of the credit markets adversely impacted the ability and willingness of many of our borrowers to service their debt and refinance our loans to them at maturity. If our reserves for credit losses prove inadequate we may suffer additional losses which would have a material adverse effect on our financial performance, liquidity and the market price of our common stock.</w:t>
      </w: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suffered losses when a borrower defaults on a loan and the underlying collateral value is not sufficient, and we may suffer additional losses in the future.</w:t>
      </w:r>
    </w:p>
    <w:p>
      <w:pPr>
        <w:spacing w:after="0" w:line="22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have suffered losses arising from borrower defaults on our loan assets and we may suffer additional losses in the future. In the event of a default by a borrower on a non-recourse loan, we will only have recourse to the real estate-related assets collateralizing the loan. If the underlying collateral value is less than the loan amount, we will suffer a loss. Conversely, we sometimes make loans that are unsecured or are secured only by equity interests in the borrowing entities. These loans are subject to the risk that other lenders may be directly secured by the real estate assets of the borrower. In the event of a default, those collateralized lenders would have priority over us with respect to the proceeds of a sale of the underlying real estate. In cases described above, we may lack control over the underlying asset collateralizing our loan or the underlying assets of the borrower prior to a default, and as a result the value of the collateral may be reduced by acts or omissions by owners or managers of the assets.</w:t>
      </w:r>
    </w:p>
    <w:p>
      <w:pPr>
        <w:spacing w:after="0" w:line="232"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sometimes obtain individual or corporate guarantees from borrowers or their affiliates. In cases where guarantees are not fully or partially secured, we typically rely on financial covenants from borrowers and guarantors which are designed to require the borrower or guarantor to maintain certain levels of creditworthiness. Where we do not have recourse to specific collateral pledged to satisfy such guarantees or recourse loans, or where the value of the collateral proves insufficient, we will only have recourse as an unsecured creditor to the general assets of the borrower or guarantor, some or all of which may be pledged to satisfy other lenders. There can be no assurance that a borrower or guarantor will comply with its financial covenants, or that sufficient assets will be available to pay amounts owed to us under our loans and guarantees. As a result of these factors, we may suffer additional losses which could have a material adverse effect on our financial performance, liquidity and the market price of our common stock.</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In the event of a borrower bankruptcy, we may not have full recourse to the assets of the borrower in order to satisfy our loan. In addition, certain of our loans are subordinate to other debts of the borrower. If a borrower defaults on our loan or on debt senior to our loan, or in the event of a borrower bankruptcy, our loan will be satisfied only after the senior debt receives payment. Where debt senior to our loan exists, the presence of intercreditor arrangements may limit our ability to amend our loan documents, assign our loans, accept prepayments, exercise our remedies (through "standstill" periods) and control decisions made in bankruptcy proceedings relating to borrowers. Bankruptcy and borrower litigation can significantly increase collection costs and losses and the time necessary to acquire title to the underlying collateral, during which time the collateral may decline in value, causing us to suffer additional losses.</w:t>
      </w:r>
    </w:p>
    <w:p>
      <w:pPr>
        <w:spacing w:after="0" w:line="21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If the value of collateral underlying our loan declines or interest rates increase during the term of our loan, a borrower may not be able to obtain the necessary funds to repay our loan at maturity through refinancing. Decreasing collateral value and/or increasing interest rates may hinder a borrower's ability to refinance our loan because the underlying property cannot satisfy the debt service coverage requirements necessary to obtain new financing. If a borrower is unable to repay our loan at maturity, we could suffer additional loss which may adversely impact our financial performance.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additional risks associated with loan participations.</w:t>
      </w:r>
    </w:p>
    <w:p>
      <w:pPr>
        <w:spacing w:after="0" w:line="27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Some of our loans are participation interests or co-lender arrangements in which we share the rights, obligations and benefits of the loan with other lenders. We may need the consent of these parties to exercise our rights under such loans, including rights with respect to amendment of loan documentation, enforcement proceedings in the event of default and the institution of, and control over, foreclosure proceedings. Similarly, a majority of the participants may be able to take actions to which we object but to which we will be bound if our participation interest represents a minority interest. We may be adversely affected by this lack of full control.</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additional risk associated with owning and developing real estate.</w:t>
      </w:r>
    </w:p>
    <w:p>
      <w:pPr>
        <w:spacing w:after="0" w:line="27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own a number of assets that previously served as collateral on defaulted loans. These assets are predominantly land and development assets and operating properties. These assets expose us to additional risks, including, without limitation:</w:t>
      </w:r>
    </w:p>
    <w:p>
      <w:pPr>
        <w:spacing w:after="0" w:line="89" w:lineRule="exact"/>
        <w:rPr>
          <w:sz w:val="20"/>
          <w:szCs w:val="20"/>
          <w:color w:val="auto"/>
        </w:rPr>
      </w:pPr>
    </w:p>
    <w:p>
      <w:pPr>
        <w:ind w:left="660" w:hanging="328"/>
        <w:spacing w:after="0" w:line="291"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must incur costs to carry these assets and in some cases make repairs to defects in construction, make improvements to, or complete the assets, which requires additional liquidity and results in additional expenses that could exceed our original estimates and impact our operating results.</w:t>
      </w:r>
    </w:p>
    <w:p>
      <w:pPr>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Real estate projects are not liquid and, to the extent we need to raise liquidity through asset sales, we may be limited in our ability to sell these assets in a short-time frame.</w:t>
      </w:r>
    </w:p>
    <w:p>
      <w:pPr>
        <w:jc w:val="both"/>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Uncertainty associated with economic conditions, rezoning, obtaining governmental permits and approvals, concerns of community associations, reliance on third party contractors, increasing commodity costs and threatened or pending litigation may materially delay our completion of rehabilitation and development activities and materially increase their cost to us.</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values of our real estate investments are subject to a number of factors outside of our control, including changes in the general economic climate, changes in interest rates and the availability of attractive financing, over-building or decreasing demand in the markets where we own assets, and changes in law and governmental regulations.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residential market has experienced significant downturns that could recur and adversely affect us.</w:t>
      </w:r>
    </w:p>
    <w:p>
      <w:pPr>
        <w:spacing w:after="0" w:line="18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As of December 31, 2016, we owned land and residential condominiums with a net carrying value of $1.1 billion. The housing market in the United States has previously been affected by weakness in the economy, high unemployment levels and low consumer confidence. It is possible another downturn could occur again in the near future and adversely impact our portfolio, and accordingly our financial performance. In addition, rising interest rates tend to negatively impact the residential mortgage market, which in turn may adversely affect the value of and demand for our land assets including our residential development projects.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losses if the creditworthiness of our tenants deteriorates and they are unable to meet their lease obligations.</w:t>
      </w:r>
    </w:p>
    <w:p>
      <w:pPr>
        <w:spacing w:after="0" w:line="18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own properties leased to tenants of our real estate assets and receive rents from tenants during the contracted term of such leases. A tenant's ability to pay rent is determined by its creditworthiness, among other factors. If a tenant's credit deteriorates, the tenant may default on its obligations under our lease and may also become bankrupt. The bankruptcy or insolvency of our tenants or other failure to pay is likely to adversely affect the income produced by our real estate assets. If a tenant defaults, we may experience delays and incur substantial costs in enforcing our rights as landlord. If a tenant files for bankruptcy, we may not be able to evict the tenant solely because of such bankruptcy or failure to pay. A court, however, may authorize a tenant to reject and terminate its lease with us. In such a case, our claim against the tenant for unpaid, future rent would be subject to a statutory cap that might be substantially less than the remaining rent owed under the lease. In addition, certain amounts paid to us within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90 days prior to the tenant's bankruptcy filing could be required to be returned to the tenant's bankruptcy estate. In any event, it is highly unlikely that a bankrupt or insolvent tenant would pay in full amounts it owes us under a lease that it intends to reject. In other circumstances, where a tenant's financial condition has become impaired, we may agree to partially or wholly terminate the lease in advance of the termination date in consideration for a lease termination fee that is likely less than the total contractual rental amount. Without regard to the manner in which the lease termination occurs, we are likely to incur additional costs in the form of tenant improvements and leasing commissions in our efforts to lease the space to a new tenant. In any of the foregoing circumstances, our financial performance could be materially adversely affected.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relating to our asset concentration.</w:t>
      </w:r>
    </w:p>
    <w:p>
      <w:pPr>
        <w:spacing w:after="0" w:line="18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Our portfolio consists primarily of real estate and commercial real estate loans which are generally diversified by asset type, obligor, property type and geographic location. As of December 31, 2016, approximately 22% of the gross carrying value of our assets related to land and development properties, 23% related to office properties, 12% related to hotel properties and 11% related to entertainment/leisure collateral properties. All of these property types were adversely affected by the previous economic recession. In addition, as of December 31, 2016, approximately 31% of the carrying value of our assets related to properties located in the northeastern United States (including 19% in New York), 17% related to properties located in the western United States (including 13% in California), 14% related to properties located in the southeastern United States, 13% related to properties located in the mid-Atlantic United States and 11% related to properties located in the southwestern United States. These regions include areas that were particularly hard hit by the prior downturn in the residential real estate markets. In addition, we have $18 million of international assets, which are subject to increased risks due to the economic uncertainty abroad. We may suffer additional losses on our assets due to these concentrations.</w:t>
      </w:r>
    </w:p>
    <w:p>
      <w:pPr>
        <w:spacing w:after="0" w:line="14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underwrite the credit of prospective borrowers and tenants and often require them to provide some form of credit support such as corporate guarantees, letters of credit and/or cash security deposits. Although our loans and real estate assets are geographically diverse and the borrowers and tenants operate in a variety of industries, to the extent we have a significant concentration of interest or operating lease revenues from any single borrower or customer, the inability of that borrower or tenant to make its payment could have a material adverse effect on us. As of December 31, 2016, our five largest borrowers or tenants of net lease assets collectively accounted for approximately 18.4% of our 2016 revenues, of which no single customer accounts for more than 5.9%.</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expirations, lease defaults and lease terminations may adversely affect our revenue.</w:t>
      </w:r>
    </w:p>
    <w:p>
      <w:pPr>
        <w:spacing w:after="0" w:line="18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Lease expirations and lease terminations may result in reduced revenues if the lease payments received from replacement tenants are less than the lease payments received from the expiring or terminating corporate tenants. In addition, lease defaults or lease terminations by one or more significant tenants or the failure of tenants under expiring leases to elect to renew their leases could cause us to experience long periods of vacancy with no revenue from a facility and to incur substantial capital expenditures and/or lease concessions in order to obtain replacement tenants. Leases representing approximately 22.4% of our in-place operating lease income are scheduled to expire during the next five years.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compete with a variety of financing and leasing sources for our customers.</w:t>
      </w:r>
    </w:p>
    <w:p>
      <w:pPr>
        <w:spacing w:after="0" w:line="18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financial services industry and commercial real estate markets are highly competitive. Our competitors include finance companies, other REITs, commercial banks and thrift institutions, investment banks and hedge funds. Our competitors seek to compete aggressively on the basis of a number of factors including transaction pricing, terms and structure. We may have difficulty competing to the extent we are unwilling to match our competitors' deal terms in order to maintain our interest margins and/or credit standards. To the extent that we match competitors' pricing, terms or structure, we may experience decreased interest margins and/or increased risk of credit losses, which could have a material adverse effect on our financial performance, liquidity and the market price of our common stock.</w:t>
      </w:r>
    </w:p>
    <w:p>
      <w:pPr>
        <w:spacing w:after="0" w:line="15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face significant competition within our net leasing business from other owners, operators and developers of properties, many of which own properties similar to ours in markets where we operate. Such competition may affect our ability to attract and retain tenants and reduce the rents we are able to charge. These competing properties may have vacancy rates higher than our properties, which may result in their owners offering lower rental rates than we would or providing greater tenant improvement allowances or other leasing concessions. This combination of circumstances could adversely affect our revenues and financial performance.</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certain risks associated with investing in real estate, including potential liabilities under environmental laws and risks of loss from weather conditions, man-made or natural disasters, climate change and terrorism.</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Under various U.S. federal, state and local environmental laws, ordinances and regulations, a current or previous owner of real estate (including, in certain circumstances, a secured lender that succeeds to ownership or control of a property) may become liable for the costs of removal or remediation of certain hazardous or toxic substances at, on, under or in its property. Those laws typically impose cleanup responsibility and liability without regard to whether the owner or control party knew of or was responsible for the release or presence of such hazardous or toxic substances. The costs of investigation, remediation or removal of those substances may be substantial. The owner or control party of a site may be subject to common law claims by third parties based on damages and costs resulting from environmental contamination emanating from a site. Certain environmental laws also impose liability in connection with the handling of or exposure to asbestos-containing materials, pursuant to which third parties may seek recovery from owners of real properties for personal injuries associated with asbestos-containing materials. While a secured lender is not likely to be subject to these forms of environmental liability, when we foreclose on real property, we become an owner and are subject to the risks of environmental liability. Additionally, our net lease assets require our tenants to undertake the obligation for environmental compliance and indemnify us from liability with respect thereto. There can be no assurance that our tenants will have sufficient resources to satisfy their obligations to us.</w:t>
      </w:r>
    </w:p>
    <w:p>
      <w:pPr>
        <w:spacing w:after="0" w:line="142"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7"/>
          <w:szCs w:val="17"/>
          <w:color w:val="auto"/>
        </w:rPr>
        <w:t>Weather conditions and man-made or natural disasters such as hurricanes, tornadoes, earthquakes, floods, droughts, fires and other environmental conditions can damage properties we own. As of December 31, 2016, approximately 20% of the carrying value of our assets was located in the western and northwestern United States, geographic areas at higher risk for earthquakes. Additionally, we own properties located near the coastline and the value of our properties will potentially be subject to the risks associated with long-term effects of climate change. A significant number of our properties are located in major urban areas which, in recent years, have been high risk geographical areas for terrorism and threats of terrorism. Certain forms of terrorism including, but not limited to, nuclear, biological and chemical terrorism, political risks, environmental hazards and/or Acts of God may be deemed to fall completely outside the general coverage limits of our insurance policies or may be uninsurable or cost prohibitive to justify insuring against. Furthermore, if the U.S. Terrorism Risk Insurance Program Reauthorization Act is repealed or not extended or renewed upon its expiration, the cost for terrorism insurance coverage may increase and/or the terms, conditions, exclusions, retentions, limits and sublimits of such insurance may be materially amended, and may effectively decrease the scope and availability of such insurance to the point where it is effectively unavailable. Future weather conditions, man-made or natural disasters, effects of climate change or acts of terrorism could adversely impact the demand for, and value of, our assets and could also directly impact the value of our assets through damage, destruction or loss, and could thereafter materially impact the availability or cost of insurance to protect against these events. Although we believe our owned real estate and the properties collateralizing our loan assets are adequately covered by insurance, we cannot predict at this time if we or our borrowers will be able to obtain appropriate coverage at a reasonable cost in the future, or if we will be able to continue to pass along all of the costs of insurance to our tenants. Any weather conditions, man-made or natural disasters, terrorist attack or effect of climate change, whether or not insured, could have a material adverse effect on our financial performance, liquidity and the market price of our common stock. In addition, there is a risk that one or more of our property insurers may not be able to fulfill their obligations with respect to claims payments due to a deterioration in its financial condition.</w:t>
      </w:r>
    </w:p>
    <w:p>
      <w:pPr>
        <w:spacing w:after="0" w:line="1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From time to time we make investments in companies over which we do not have sole control. Some of these companies operate in industries that differ from our current operations, with different risks than investing in real estate.</w:t>
      </w:r>
    </w:p>
    <w:p>
      <w:pPr>
        <w:spacing w:after="0" w:line="13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From time to time we make debt or equity investments in other companies that we may not control or over which we may not have sole control. Although these businesses generally have a significant real estate component, some of them may operate in businesses that are different from our primary business segments. Consequently, investments in these businesses, among other risks, subject us to the operating and financial risks of industries other than real estate and to the risk that we do not have sole control over the operations of these businesses.</w:t>
      </w:r>
    </w:p>
    <w:p>
      <w:pPr>
        <w:spacing w:after="0" w:line="14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From time to time we may make additional investments in or acquire other entities that may subject us to similar risks. Investments in entities over which we do not have sole control, including joint ventures, present additional risks such as having differing objectives than our partners or the entities in which we invest, or becoming involved in disputes, or competing with those persons. In addition, we rely on the internal controls and financial reporting controls of these entities and their failure to maintain effectiveness or comply with applicable standards may adversely affect us.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Declines in the market values of our equity investments may adversely affect periodic reported results.</w:t>
      </w:r>
    </w:p>
    <w:p>
      <w:pPr>
        <w:spacing w:after="0" w:line="18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Most of our equity investments are in funds or companies that are not publicly traded and their fair value may not be readily determinable. We may periodically estimate the fair value of these investments, based upon available information and management's judgment. Because such valuations are inherently uncertain, they may fluctuate over short periods of time. In addition, our determinations regarding the fair value of these investments may be materially higher than the values that we ultimately realize upon their disposal, which could result in losses that have a material adverse effect on our financial performance, the market price of our common stock and our ability to pay dividends.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results may fluctuate and may not be indicative of future quarterly performance.</w:t>
      </w:r>
    </w:p>
    <w:p>
      <w:pPr>
        <w:spacing w:after="0" w:line="18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Our quarterly operating results could fluctuate; therefore, reliance should not be placed on past quarterly results as indicative of our performance in future quarters. Factors that could cause quarterly operating results to fluctuate include, among others, variations in loan and real estate portfolio performance, levels of non-performing assets and related provisions, market values of investments, costs associated with debt, general economic conditions, the state of the real estate and financial markets and the degree to which we encounter competition in our markets.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retain and attract key personnel is critical to our success.</w:t>
      </w:r>
    </w:p>
    <w:p>
      <w:pPr>
        <w:spacing w:after="0" w:line="18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success depends on our ability to retain our senior management and the other key members of our management team and recruit additional qualified personnel. We rely in part on equity compensation to retain and incentivize our personnel. In addition, if members of our management join competitors or form competing companies, the competition could have a material adverse effect on our business. Efforts to retain or attract professionals may result in additional compensation expense, which could affect our financial performance.</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Security breaches and other disruptions could compromise our information and expose us to liability, which would cause our business and reputation to suffer.</w:t>
      </w:r>
    </w:p>
    <w:p>
      <w:pPr>
        <w:spacing w:after="0" w:line="130"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In the ordinary course of our business, we collect and store sensitive data, including intellectual property, our proprietary business information and that of our customers, and personally identifiable information of our customers and employees, in our data centers and on our networks. The secure processing, maintenance and transmission of this information is critical to our operations and business strategy. Despite our security measures, our information technology and infrastructure may be vulnerable to attacks by hackers or breached due to employee error, malfeasance or other disruptions.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disrupt our operations and the services we provide to customers, and damage our reputation, which could have a material adverse effect on our business.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change certain of our policies without stockholder approval.</w:t>
      </w:r>
    </w:p>
    <w:p>
      <w:pPr>
        <w:spacing w:after="0" w:line="18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charter does not set forth specific percentages of the types of investments we may make. We can amend, revise or eliminate our investment financing and conflict of interest policies at any time at our discretion without a vote of our shareholders. A change in these policies could have a material adverse effect on our financial performance, liquidity and the market price of our common stock.</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provisions in our charter may inhibit a change in control.</w:t>
      </w:r>
    </w:p>
    <w:p>
      <w:pPr>
        <w:spacing w:after="0" w:line="185" w:lineRule="exact"/>
        <w:rPr>
          <w:sz w:val="20"/>
          <w:szCs w:val="20"/>
          <w:color w:val="auto"/>
        </w:rPr>
      </w:pPr>
    </w:p>
    <w:p>
      <w:pPr>
        <w:jc w:val="both"/>
        <w:ind w:right="20" w:firstLine="432"/>
        <w:spacing w:after="0" w:line="257" w:lineRule="auto"/>
        <w:rPr>
          <w:sz w:val="20"/>
          <w:szCs w:val="20"/>
          <w:color w:val="auto"/>
        </w:rPr>
      </w:pPr>
      <w:r>
        <w:rPr>
          <w:rFonts w:ascii="Arial" w:cs="Arial" w:eastAsia="Arial" w:hAnsi="Arial"/>
          <w:sz w:val="18"/>
          <w:szCs w:val="18"/>
          <w:color w:val="auto"/>
        </w:rPr>
        <w:t>Generally, to maintain our qualification as a REIT under the Code, not more than 50% in value of our outstanding shares of stock may be owned, directly or indirectly, by five or fewer individuals at any time during the last half of our taxable year. The Code defines "individuals" for purposes of the requirement described in the preceding sentence to include some types of entities. Under our charter, no person may own more than 9.8% of our outstanding shares of stock, with some exceptions. The restrictions on transferability and ownership may delay, deter or prevent a change in control or other transaction that might involve a premium price or otherwise be in the best interest of the security holders.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would be subject to adverse consequences if we fail to qualify as a REIT.</w:t>
      </w:r>
    </w:p>
    <w:p>
      <w:pPr>
        <w:spacing w:after="0" w:line="18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believe that we have been organized and operated in a manner so as to qualify for taxation as a REIT for U.S. federal income tax purposes commencing with our taxable year ended December 31, 1998. Our qualification as a REIT, however, has depended and will continue to depend on our ability to meet various requirements concerning, among other things, the ownership of our outstanding stock, the nature of our assets, the sources of our income and the amount of our distributions to our shareholders.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If we were to fail to qualify as a REIT for any taxable year, we would not be allowed a deduction for distributions to our shareholders in computing our net taxable income and would be subject to U.S. federal income tax, including any applicable alternative minimum tax on our net taxable income at regular corporate rates and applicable state and local taxes. We would also be disqualified from treatment as a REIT for the four subsequent taxable years following the year during which our REIT qualification was lost unless we were entitled to relief under certain Code provisions and obtained a ruling from the IRS. If disqualified and unable to obtain relief, we may need to borrow money or sell assets to pay taxes. As a result, cash available for distribution would be reduced for each of the years involved. Furthermore, it is possible that future economic, market, legal, tax or other considerations may cause our REIT qualification to be revoked. This could have a material adverse effect on our business and the market price of our common stock.</w:t>
      </w:r>
    </w:p>
    <w:p>
      <w:pPr>
        <w:spacing w:after="0" w:line="13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2016 Senior Secured Credit Facility and 2015 Secured Revolving Credit Facility (see Item 8—"Financial Statements and Supplemental Data— Note 10") prohibit us from paying dividends on our common stock if we no longer qualify as a REIT.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 qualify as a REIT, we may be forced to borrow funds, sell assets or take other actions during unfavorable market conditions.</w:t>
      </w:r>
    </w:p>
    <w:p>
      <w:pPr>
        <w:spacing w:after="0" w:line="185"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To qualify as a REIT, we generally must distribute to our shareholders at least 90% of our net taxable income, excluding net capital gains each year, and we will be subject to U.S. federal income tax, as well as applicable state and local taxes, to the extent that we distribute less than 100% of our net taxable income each year. In addition, we will be subject to a 4% nondeductible excise tax on the amount, if any, by which distributions paid by us in any calendar year are less than the sum of 85% of our ordinary income, 95% of our capital gain net income and 100% of our undistributed income from prior years.</w:t>
      </w:r>
    </w:p>
    <w:p>
      <w:pPr>
        <w:spacing w:after="0" w:line="11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the event that principal, premium or interest payments with respect to a particular debt instrument that we hold are not made when due, we may nonetheless be required to continue to recognize the unpaid amounts as taxable income. In addition, we may be allocated taxable income in excess of cash flow received from some of our partnership investments. From these and other potential timing differences between income recognition or expense deduction and cash receipts or disbursements, there is a significant risk that we may have substantial taxable income in excess of cash available for distribution. In order to qualify as a REIT and avoid the payment of income and excise taxes, we may need to borrow funds or take other actions to meet our REIT distribution requirements for the taxable year in which the phantom income is recognized.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Complying with the REIT requirements may cause us to forego and/or liquidate otherwise attractive investments.</w:t>
      </w:r>
    </w:p>
    <w:p>
      <w:pPr>
        <w:spacing w:after="0" w:line="18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order to meet the income, asset and distribution tests under the REIT rules, we may be required to take or forego certain actions. For instance, we may not be able to make certain investments and we may have to liquidate other investments. In addition, we may be required to make distributions to shareholders at disadvantageous times or when we do not have funds readily available for distribution. These actions could have the effect of reducing our income and amounts available for distribution to our shareholders.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Certain of our business activities may potentially be subject to the prohibited transaction tax, which could reduce the return on your investment.</w:t>
      </w:r>
    </w:p>
    <w:p>
      <w:pPr>
        <w:spacing w:after="0" w:line="208"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For so long as we qualify as a REIT, our ability to dispose of certain properties may be restricted under the REIT rules, which generally impose a 100% penalty tax on any gain recognized on "prohibited transactions," which refers to the disposition of property that is deemed to be inventory or held primarily for sale to customers in the ordinary course of our business, subject to certain exceptions. Whether property is inventory or otherwise held primarily for sale depends on the particular facts and circumstances. The Internal Revenue Code provides a safe harbor that, if met, allows a REIT to avoid being treated as engaged in a prohibited transaction. No assurance can be given that any property that we sell will not be treated as property held for sale to customers, or that we can comply with the safe harbor. The 100% tax does not apply to gains from the sale of foreclosure property or to property that is held through a taxable REIT subsidiary ("TRS") or other taxable corporation, although such income will be subject to tax in the hands of the corporation at regular corporate rates. We intend to structure our activities to avoid prohibited transaction characterization.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of our activities, including our use of taxable REIT subsidiaries, are subject to taxes that could reduce our cash flows.</w:t>
      </w:r>
    </w:p>
    <w:p>
      <w:pPr>
        <w:spacing w:after="0" w:line="18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Even if we qualify as a REIT for U.S. federal income tax purposes, we will be required to pay some U.S. federal, state, local and non-U.S. taxes on our income and property, including taxes on any undistributed income, taxes on income from certain activities conducted as a result of foreclosures, and property and transfer taxes. We would be required to pay taxes on net taxable income that we fail to distribute to our shareholders. In addition, we may be required to limit certain activities that generate non-qualifying REIT income, such as land development and sales of condominiums, and/or we may be required to conduct such activities through TRS. We hold a significant amount of assets in our TRS, including assets that we have acquired through foreclosure, assets that may be treated as dealer property and other assets that could adversely affect our ability to qualify as a REIT if held at the REIT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level. As a result, we will be required to pay income taxes on the taxable income generated by these assets. There are also limitations on the ability of TRS to make interest payments to affiliated REITs. Furthermore, we will be subject to a 100% penalty tax to the extent our economic arrangements with our TRS are not comparable to similar arrangements among unrelated parties. We will also be subject to a 100% tax to the extent we derive income from the sale of assets to customers in the ordinary course of business other than through our TRS. To the extent we or our TRS are required to pay U.S. federal, state, local or non-U.S. taxes, we will have less cash available for distribution to our shareholders.</w:t>
      </w:r>
    </w:p>
    <w:p>
      <w:pPr>
        <w:spacing w:after="0" w:line="14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have substantial net operating and net capital loss carry forwards which we use to offset our tax and distribution requirements. In the event that we experience an "ownership change" for purposes of Section 382 of the Internal Revenue Code of 1986, as amended, or the Internal Revenue Code, our ability to use these losses will be limited. An "ownership change" is determined through a set of complex rules which track the changes in ownership that occur in our common stock for a trailing three year period. We have experienced volatility and significant trading in our common stock in recent years. The occurrence of an ownership change is generally beyond our control and, if triggered, may increase our tax and distribution obligations for which we may not have sufficient cash flow.</w:t>
      </w:r>
    </w:p>
    <w:p>
      <w:pPr>
        <w:spacing w:after="0" w:line="1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failure to comply with the limits on our ownership of and relationship with our TRS would jeopardize our REIT qualification and may result in the application of a 100% excise tax.</w:t>
      </w:r>
    </w:p>
    <w:p>
      <w:pPr>
        <w:spacing w:after="0" w:line="130"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No more than 25% (20% for taxable years beginning after December 31, 2017) of the value of a REIT's total assets may consist of stock or securities of one or more TRS. This requirement limits the extent to which we can conduct activities through TRS or expand the activities that we conduct through TRS. The values of some of our assets, including assets that we hold through TRSs may not be subject to precise determination, and values are subject to change in the future. In addition, we hold certain mortgage and mezzanine loans within one or more of our TRS that are secured by real property. We treat these loans as qualifying assets for purposes of the REIT asset tests to the extent that such mortgage loans are secured by real property and such mezzanine loans are secured by an interest in a limited liability company that holds real property. We received from the IRS a private letter ruling which holds we may exclude such loans from the limitation that securities from TRS must constitute no more than 25% (20% for taxable years beginning after December 31, 2017) of our total assets. We are entitled to rely upon this private letter ruling only to the extent that we did not misstate or omit a material fact in the ruling request and that we continue to operate in accordance with the material facts described in such request, and no assurance can be given that we will always be able to do so. To the extent that any loan is recharacterized as equity, it would increase the amount of non-real estate securities that we have in our TRS and could adversely affect our ability to meet the limitation described above. If we were not able to exclude such loans to our TRS from the limitation described above, our ability to meet the REIT asset tests and other REIT requirements could be adversely affected. Accordingly, there can be no assurance that we have met or will be able to continue to comply with the TRS limitation.</w:t>
      </w:r>
    </w:p>
    <w:p>
      <w:pPr>
        <w:spacing w:after="0" w:line="14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addition, we may from time to time need to make distributions from a TRS in order to keep the value of our TRS below the TRS limitation. TRS dividends, however, generally will not constitute qualifying income for purposes of the 75% REIT gross income test. While we will monitor our compliance with both this income test and the limitation on the percentage of our total assets represented by TRS securities, and intend to conduct our affairs so as to comply with both, the two may at times be in conflict with one another. For example, it is possible that we may wish to distribute a dividend from a TRS in order to reduce the value of our TRS to comply with limitation, but we may be unable to do so without simultaneously violating the 75% REIT gross income test.</w:t>
      </w:r>
    </w:p>
    <w:p>
      <w:pPr>
        <w:spacing w:after="0" w:line="15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Although there are other measures we can take in such circumstances to remain in compliance with the requirements for REIT qualification, there can be no assurance that we will be able to comply with both of these tests in all market conditions.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Dividends payable by REITs do not qualify for the reduced tax rates on dividend income from regular corporations, which could adversely affect the value of our common stock.</w:t>
      </w:r>
    </w:p>
    <w:p>
      <w:pPr>
        <w:spacing w:after="0" w:line="13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maximum U.S. federal income tax rate for certain qualified dividends payable to U.S. shareholders that are individuals, trusts and estates is 20%. Dividends payable by REITs, however, are generally not eligible for the reduced rates, and therefore may be subject to a 39.6% maximum U.S. federal income tax rate on ordinary income when paid to such shareholders. Although the reduced U.S. federal income tax rate applicable to dividend income from regular corporate dividends does not adversely affect the taxation of REITs or dividends paid by REITs, the more favorable rates applicable to regular corporate dividends could cause investors who are individuals, trusts and estates to perceive investments in REITs to be relatively less attractive than investments in the stocks of non-REIT corporations that pay dividends, which could adversely affect the value of the shares of REITs, including our common stock.</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changes to the U.S. tax laws could adversely affect our business operations, financial condition and earnings.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Trump administration has included as part of its agenda a potential reform of U.S. tax laws. The details of the potential reform have not yet emerged, but during his presidential campaign, President Trump outlined several changes to business taxes. In addition, House Republicans and Congress have drafted an initial tax reform (“Tax Reform Blueprint”) to significantly amend the current income tax code. The convergence of the President’s plan and the Tax Reform Blueprint’s potential reforms has not yet taken place, however, key changes within the proposals include:</w:t>
      </w:r>
    </w:p>
    <w:p>
      <w:pPr>
        <w:spacing w:after="0" w:line="131" w:lineRule="exact"/>
        <w:rPr>
          <w:sz w:val="20"/>
          <w:szCs w:val="20"/>
          <w:color w:val="auto"/>
        </w:rPr>
      </w:pPr>
    </w:p>
    <w:p>
      <w:pPr>
        <w:ind w:left="660" w:hanging="328"/>
        <w:spacing w:after="0" w:line="25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Elective replacement of current depreciation deductions with a cost recovery system for capital asset investments (excluding land investments) in which buildings and equipment are immediately expensed;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Elimination of the deductibility of corporate net interest expense, if a cost recovery system is elected;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 or elimination of benefits of like-kind exchanges that defer capital gains for tax purposes;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Elimination of the corporate alternative minimum tax;</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Implementation of a one-time deemed repatriation tax rate of 10 percent on corporate profits held offshore;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Elimination of most corporate tax expenditures except for the Research and Development credit;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Limitation on net operating loss deductions to 90 percent of taxable income with an unlimited carryover period.</w:t>
      </w:r>
    </w:p>
    <w:p>
      <w:pPr>
        <w:spacing w:after="0" w:line="21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It is not yet known if the potential reform of the U.S. tax laws will include further changes that may impact existing REIT rules under the current Internal Revenue Code. If tax reform is enacted with some or all of the changes outlined above, our taxable income may increase. As a REIT, we are required to distribute at least 90 percent of our taxable income to our shareholders annually.</w:t>
      </w:r>
    </w:p>
    <w:p>
      <w:pPr>
        <w:spacing w:after="0" w:line="14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cannot predict whether, when or to what extent new U.S. federal tax laws, regulations, interpretations or rulings will be issued; nor is the long-term impact of proposed tax reforms (including future reforms that may be part of any enacted tax reform) on the real estate industry clear. Furthermore, the proposed tax reform above may negatively impact our tenants and borrowers' operating results, financial condition and future business plans.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Legislative or regulatory tax changes related to REITs could materially and adversely affect our business.</w:t>
      </w:r>
    </w:p>
    <w:p>
      <w:pPr>
        <w:spacing w:after="0" w:line="18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At any time, the U.S. federal income tax laws or regulations governing REITs or the administrative interpretations of those laws or regulations may be changed, possibly with retroactive effect. We cannot predict if or when any new U.S. federal income tax law, regulation or administrative interpretation, or any amendment to any existing U.S. federal income tax law, regulation or administrative interpretation, will be adopted, promulgated or become effective or whether any such law, regulation or interpretation may take effect retroactively. We and our shareholders could be adversely affected by any such change in, or any new, U.S. federal income tax law, regulation or administrative interpretation.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 Company Act exemption limits our investment discretion and loss of the exemption would adversely affect us.</w:t>
      </w:r>
    </w:p>
    <w:p>
      <w:pPr>
        <w:spacing w:after="0" w:line="18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believe that we currently are not, and we intend to operate our company so that we will not be, regulated as an investment company under the Investment Company Act because we are "primarily engaged in the business of purchasing or otherwise acquiring mortgages and other liens on and interests in real estate." Specifically, we are required to invest at least 55% of our assets in "qualifying real estate assets" (that is, real estate, mortgage loans and other qualifying interests in real estate), and at least an additional 25% of our assets in other "real estate-related assets," such as mezzanine loans and unsecured investments in real estate entities, or additional qualifying real estate assets.</w:t>
      </w:r>
    </w:p>
    <w:p>
      <w:pPr>
        <w:spacing w:after="0" w:line="1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will need to monitor our assets to ensure that we continue to satisfy the percentage tests. Maintaining our exemption from regulation as an investment company under the Investment Company Act limits our ability to invest in assets that otherwise would meet our investment strategies. If we fail to qualify for this exemption, we could not operate our business efficiently under the regulatory scheme imposed on investment companies under the Investment Company Act, and we could be required to restructure our activities. This would have a material adverse effect on our financial performance and the market price of our securities.</w:t>
      </w:r>
    </w:p>
    <w:p>
      <w:pPr>
        <w:spacing w:after="0" w:line="148"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Actions of the U.S. government, including the U.S. Congress, Federal Reserve, U.S. Treasury and other governmental and regulatory bodies, to stabilize or reform the financial markets, or market responses to those actions, may not achieve the intended effect and may adversely affect our business.</w:t>
      </w:r>
    </w:p>
    <w:p>
      <w:pPr>
        <w:spacing w:after="0" w:line="6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U.S government, including the U.S. Congress, the Federal Reserve, the U.S Treasury and other governmental and regulatory bodies have increased their focus on the regulation of the financial industry in recent years. A changing presidential administration is likely to effect its own regulatory changes. New or modified regulations and related regulatory guidance may have unforeseen or unintended adverse effects on the financial industry. Laws, regulations or policies, including tax laws and accounting standards and interpretations, currently affecting us may change at any time. Regulatory authorities may also change their interpretation of these statutes and regulations. Therefore, our business may also be adversely affected by future changes in laws, regulations, policies or interpretations or regulatory approaches to compliance and enforcement.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Various legislative bodies have also considered altering the existing framework governing creditors' rights and mortgage products including legislation that would result in or allow loan modifications of various sorts. Such legislation may change the operating environment in substantial and unpredictable ways. We cannot predict whether new legislation will be enacted, and if enacted, the effect that it or any regulations would have on our activities, financial condition, or results of operations.</w:t>
      </w:r>
    </w:p>
    <w:p>
      <w:pPr>
        <w:spacing w:after="0" w:line="27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8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The Company's principal executive and administrative offices are located at 1114 Avenue of the Americas, New York, NY 10036. Its telephone number and web address are (212) 930-9400 and </w:t>
      </w:r>
      <w:r>
        <w:rPr>
          <w:rFonts w:ascii="Arial" w:cs="Arial" w:eastAsia="Arial" w:hAnsi="Arial"/>
          <w:sz w:val="18"/>
          <w:szCs w:val="18"/>
          <w:i w:val="1"/>
          <w:iCs w:val="1"/>
          <w:color w:val="auto"/>
        </w:rPr>
        <w:t>www.istar.com</w:t>
      </w:r>
      <w:r>
        <w:rPr>
          <w:rFonts w:ascii="Arial" w:cs="Arial" w:eastAsia="Arial" w:hAnsi="Arial"/>
          <w:sz w:val="18"/>
          <w:szCs w:val="18"/>
          <w:color w:val="auto"/>
        </w:rPr>
        <w:t>, respectively. The lease for the Company's principal executive and administrative offices expires in February 2021. The Company's principal regional offices are located in the Atlanta, Georgia; Dallas, Texas; Hartford, Connecticut; San Francisco, California and Los Angeles, California metropolitan areas.</w:t>
      </w:r>
    </w:p>
    <w:p>
      <w:pPr>
        <w:spacing w:after="0" w:line="24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See Item 1—"Net Lease," and "Operating Properties" for a discussion of properties held by the Company for investment purposes and Item 8 —"Financial Statements and Supplemental Data—Schedule III," for a detailed listing of such facilities.</w:t>
      </w:r>
    </w:p>
    <w:p>
      <w:pPr>
        <w:spacing w:after="0" w:line="8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8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and/or one or more of its subsidiaries is party to various pending litigation matters that are considered ordinary routine litigation incidental to its real estate and real estate related business activities, including loan foreclosure and foreclosure-related proceedings. In addition to such matters, the Company is a party to the following legal proceedings: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Action</w:t>
      </w:r>
    </w:p>
    <w:p>
      <w:pPr>
        <w:spacing w:after="0" w:line="185"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On March 7, 2014, a shareholder action purporting to assert derivative, class and individual claims was filed in the Circuit Court for Baltimore City, Maryland naming the Company, a number of our current and former senior executives (including our chief executive officer) and current and former directors as defendants. The complaint sought unspecified damages and other relief and alleged breach of fiduciary duty, breach of contract and other causes of action arising out of shares of our common stock issued by the Company to our senior executives pursuant to restricted stock unit awards granted in December 2008 and modified in July 2011. On October 30, 2014, the Circuit Court granted the Company’s motion to dismiss all of plaintiffs' claims in this action. Plaintiffs appealed the dismissal of their claims and, on January 28, 2016, the Maryland Court of Special Appeals affirmed the order of the Circuit Court. Plaintiffs filed a petition for certiorari with the Maryland Court of Appeals, which agreed to hear the appeal. On January 20, 2017, the Maryland Court of Appeals (Maryland’s highest court) issued its opinion affirming the dismissal of all of plaintiffs’ claims against the Company and the other defendants.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Home Corporation ("Lennar") v. Settlers Crossing, LLC, et al. (Civil Action No. DKC 08-1863)</w:t>
      </w:r>
    </w:p>
    <w:p>
      <w:pPr>
        <w:spacing w:after="0" w:line="185"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On January 22, 2015, the United States District Court for the District of Maryland (the "Court") entered a judgment in favor of the Company in the matter of U.S. Home Corporation ("Lennar") v. Settlers Crossing, LLC, et al. (Civil Action No. DKC 08-1863). The litigation involved a dispute over the purchase and sale of approximately 1,250 acres of land in Prince George’s County, Maryland. The Court found that the Company is entitled to specific performance and awarded damages to it in the aggregate amount of: (i) the remaining purchase price to be paid by Lennar of $114.0 million; plus (ii) interest on the unpaid amount at a rate of 12% per annum, calculated on a per diem basis, from May 27, 2008, until Lennar proceeds to settlement on the land; plus</w:t>
      </w:r>
    </w:p>
    <w:p>
      <w:pPr>
        <w:spacing w:after="0" w:line="2" w:lineRule="exact"/>
        <w:rPr>
          <w:sz w:val="20"/>
          <w:szCs w:val="20"/>
          <w:color w:val="auto"/>
        </w:rPr>
      </w:pPr>
    </w:p>
    <w:p>
      <w:pPr>
        <w:jc w:val="both"/>
        <w:ind w:firstLine="8"/>
        <w:spacing w:after="0" w:line="290" w:lineRule="auto"/>
        <w:tabs>
          <w:tab w:leader="none" w:pos="315"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real estate taxes paid by the Company; plus (iv) actual and reasonable attorneys' fees and costs incurred by the Company in connection with the litigation. Lennar appealed the Court's judgment and has posted an appeal bond. The Court granted Lennar's motion to stay the judgment pending appeal and also clarified the judgment that the unpaid amount will accrue simple interest at a rate of 12% annually, including while the appeal is pending. In the pending appeal before the United States Court of Appeals for the Fourth Circuit, oral argument is scheduled to be held on March 23, 2017. There can be no assurance as to the timing or actual receipt by the Company of amounts awarded by the Court or the outcome of the appeal. A third party purchased a participation interest in the Company's original loan and as of December 31, 2016 holds a 4.3% participation interest in all proceeds.</w:t>
      </w:r>
    </w:p>
    <w:p>
      <w:pPr>
        <w:spacing w:after="0" w:line="25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Equity and Related Share Matters</w:t>
      </w:r>
    </w:p>
    <w:p>
      <w:pPr>
        <w:spacing w:after="0" w:line="28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Company's common stock trades on the New York Stock Exchange ("NYSE") under the symbol "STAR." The high and low sales prices per share of common stock are set forth below for the periods indicated.</w:t>
      </w:r>
    </w:p>
    <w:p>
      <w:pPr>
        <w:spacing w:after="0" w:line="176" w:lineRule="exact"/>
        <w:rPr>
          <w:sz w:val="20"/>
          <w:szCs w:val="20"/>
          <w:color w:val="auto"/>
        </w:rPr>
      </w:pPr>
    </w:p>
    <w:tbl>
      <w:tblPr>
        <w:tblLayout w:type="fixed"/>
        <w:tblInd w:w="192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89"/>
              </w:rPr>
              <w:t>2016</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2015</w:t>
            </w:r>
          </w:p>
        </w:tc>
        <w:tc>
          <w:tcPr>
            <w:tcW w:w="920" w:type="dxa"/>
            <w:vAlign w:val="bottom"/>
            <w:tcBorders>
              <w:bottom w:val="single" w:sz="8" w:color="auto"/>
            </w:tcBorders>
          </w:tcPr>
          <w:p>
            <w:pPr>
              <w:spacing w:after="0"/>
              <w:rPr>
                <w:sz w:val="16"/>
                <w:szCs w:val="16"/>
                <w:color w:val="auto"/>
              </w:rPr>
            </w:pPr>
          </w:p>
        </w:tc>
      </w:tr>
      <w:tr>
        <w:trPr>
          <w:trHeight w:val="264"/>
        </w:trPr>
        <w:tc>
          <w:tcPr>
            <w:tcW w:w="2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High</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Low</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Low</w:t>
            </w:r>
          </w:p>
        </w:tc>
      </w:tr>
      <w:tr>
        <w:trPr>
          <w:trHeight w:val="250"/>
        </w:trPr>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r>
      <w:tr>
        <w:trPr>
          <w:trHeight w:val="243"/>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September 30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11.21</w:t>
            </w: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13.85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11.54</w:t>
            </w:r>
          </w:p>
        </w:tc>
      </w:tr>
      <w:tr>
        <w:trPr>
          <w:trHeight w:val="27"/>
        </w:trPr>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30</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12.89</w:t>
            </w:r>
          </w:p>
        </w:tc>
      </w:tr>
      <w:tr>
        <w:trPr>
          <w:trHeight w:val="243"/>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March 31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11.64</w:t>
            </w: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12.40</w:t>
            </w: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February 16, 2017, the closing sale price of the common stock as reported by the NYSE was $11.75. The Company had 1,842 holders of record of common stock as of February 16, 2017.</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8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Company's Board of Directors has not established any minimum distribution level. In order to maintain its qualification as a REIT, the Company intends to pay dividends to its shareholders that, on an annual basis, will represent at least 90% of its taxable income (which may not necessarily equal net income as calculated in accordance with accounting principles generally accepted in the United States ("GAAP")), determined without regard to the deduction for dividends paid and excluding any net capital gains. The Company has recorded net operating losses ("NOLs") and may record NOLs in the future, which may reduce its taxable income in future periods and lower or eliminate entirely the Company's obligation to pay dividends for such periods in order to maintain its REIT qualification.</w:t>
      </w:r>
    </w:p>
    <w:p>
      <w:pPr>
        <w:spacing w:after="0" w:line="247"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Holders of common stock, certain unvested restricted stock awards and common share equivalents will be entitled to receive distributions if, as and when the Company's Board of Directors authorizes and declares distributions. However, rights to distributions may be subordinated to the rights of holders of preferred stock, when preferred stock is issued and outstanding. In addition, the 2016 Senior Secured Credit Facility and 2015 Secured Revolving Credit Facility (see Item 8—"Financial Statements and Supplemental Data—Note 10") permit the Company to distribute 100% of its REIT taxable income on an annual basis for so long as the Company maintains its qualification as a REIT. The 2016 Senior Secured Credit Facility and 2015 Secured Revolving Credit Facility generally restrict the Company from paying any common dividends if it ceases to qualify as a REIT. In any liquidation, dissolution or winding up of the Company, each outstanding share of common stock will entitle its holder to a proportionate share of the assets that remain after the Company pays its liabilities and any preferential distributions owed to preferred shareholders.</w:t>
      </w:r>
    </w:p>
    <w:p>
      <w:pPr>
        <w:spacing w:after="0" w:line="233"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Company did not declare or pay dividends on its common stock for the years ended December 31, 2016 and 2015. The Company declared and paid dividends of $8.0 million, $11.0 million, $7.8 million, $6.1 million, $9.4 million, and $9.0 million on its Series D, E, F, G, I, and J preferred stock, respectively, during each of the years ended December 31, 2016 and 2015. The character of the 2016 dividends are as follows: 47.30% is a capital gain distribution, of which 76.15% represents unrecaptured section 1250 gain and 23.85% long term capital gain, and 52.70% is ordinary income. All 2015 dividends qualified as return of capital for tax reporting purposes. There are no dividend arrearages on any of the preferred shares currently outstanding.</w:t>
      </w:r>
    </w:p>
    <w:p>
      <w:pPr>
        <w:spacing w:after="0" w:line="21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Distributions to shareholders will generally be taxable as ordinary income, although all or a portion of such distributions may be designated by the Company as capital gain or may constitute a tax-free return of capital. The Company annually furnishes to each of its shareholders a statement setting forth the distributions paid during the preceding year and their characterization as ordinary income, capital gain or return of capital.</w:t>
      </w:r>
    </w:p>
    <w:p>
      <w:pPr>
        <w:spacing w:after="0" w:line="22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No assurance can be given as to the amounts or timing of future distributions, as such distributions are subject to the Company's taxable income after giving effect to its NOL carryforwards, financial condition, capital requirements, debt covenants, any change in the Company's intention to maintain its REIT qualification and such other factors as the Company's Board of Directors deems relevant. The Company may elect to satisfy some of its REIT distribution requirements, if any, through qualifying stock dividends.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4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sets forth the information with respect to purchases made by or on behalf of the Company of its common stock during the three months ended December 31, 2016.</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Total Number of Shares</w:t>
            </w:r>
          </w:p>
        </w:tc>
        <w:tc>
          <w:tcPr>
            <w:tcW w:w="180" w:type="dxa"/>
            <w:vAlign w:val="bottom"/>
          </w:tcPr>
          <w:p>
            <w:pPr>
              <w:spacing w:after="0"/>
              <w:rPr>
                <w:sz w:val="18"/>
                <w:szCs w:val="18"/>
                <w:color w:val="auto"/>
              </w:rPr>
            </w:pPr>
          </w:p>
        </w:tc>
        <w:tc>
          <w:tcPr>
            <w:tcW w:w="2080" w:type="dxa"/>
            <w:vAlign w:val="bottom"/>
          </w:tcPr>
          <w:p>
            <w:pPr>
              <w:jc w:val="center"/>
              <w:ind w:right="50"/>
              <w:spacing w:after="0"/>
              <w:rPr>
                <w:sz w:val="20"/>
                <w:szCs w:val="20"/>
                <w:color w:val="auto"/>
              </w:rPr>
            </w:pPr>
            <w:r>
              <w:rPr>
                <w:rFonts w:ascii="Arial" w:cs="Arial" w:eastAsia="Arial" w:hAnsi="Arial"/>
                <w:sz w:val="18"/>
                <w:szCs w:val="18"/>
                <w:color w:val="auto"/>
                <w:w w:val="94"/>
              </w:rPr>
              <w:t>Maximum Dollar Value of</w:t>
            </w:r>
          </w:p>
        </w:tc>
      </w:tr>
      <w:tr>
        <w:trPr>
          <w:trHeight w:val="216"/>
        </w:trPr>
        <w:tc>
          <w:tcPr>
            <w:tcW w:w="334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Total Number of Shares</w:t>
            </w:r>
          </w:p>
        </w:tc>
        <w:tc>
          <w:tcPr>
            <w:tcW w:w="1560" w:type="dxa"/>
            <w:vAlign w:val="bottom"/>
            <w:gridSpan w:val="2"/>
          </w:tcPr>
          <w:p>
            <w:pPr>
              <w:ind w:left="60"/>
              <w:spacing w:after="0"/>
              <w:rPr>
                <w:sz w:val="20"/>
                <w:szCs w:val="20"/>
                <w:color w:val="auto"/>
              </w:rPr>
            </w:pPr>
            <w:r>
              <w:rPr>
                <w:rFonts w:ascii="Arial" w:cs="Arial" w:eastAsia="Arial" w:hAnsi="Arial"/>
                <w:sz w:val="18"/>
                <w:szCs w:val="18"/>
                <w:color w:val="auto"/>
                <w:w w:val="96"/>
              </w:rPr>
              <w:t>Average Price Paid</w:t>
            </w:r>
          </w:p>
        </w:tc>
        <w:tc>
          <w:tcPr>
            <w:tcW w:w="2100" w:type="dxa"/>
            <w:vAlign w:val="bottom"/>
          </w:tcPr>
          <w:p>
            <w:pPr>
              <w:jc w:val="center"/>
              <w:spacing w:after="0"/>
              <w:rPr>
                <w:sz w:val="20"/>
                <w:szCs w:val="20"/>
                <w:color w:val="auto"/>
              </w:rPr>
            </w:pPr>
            <w:r>
              <w:rPr>
                <w:rFonts w:ascii="Arial" w:cs="Arial" w:eastAsia="Arial" w:hAnsi="Arial"/>
                <w:sz w:val="18"/>
                <w:szCs w:val="18"/>
                <w:color w:val="auto"/>
                <w:w w:val="86"/>
              </w:rPr>
              <w:t>Purchased as Part of a</w:t>
            </w:r>
          </w:p>
        </w:tc>
        <w:tc>
          <w:tcPr>
            <w:tcW w:w="180" w:type="dxa"/>
            <w:vAlign w:val="bottom"/>
          </w:tcPr>
          <w:p>
            <w:pPr>
              <w:spacing w:after="0"/>
              <w:rPr>
                <w:sz w:val="18"/>
                <w:szCs w:val="18"/>
                <w:color w:val="auto"/>
              </w:rPr>
            </w:pPr>
          </w:p>
        </w:tc>
        <w:tc>
          <w:tcPr>
            <w:tcW w:w="2080" w:type="dxa"/>
            <w:vAlign w:val="bottom"/>
          </w:tcPr>
          <w:p>
            <w:pPr>
              <w:jc w:val="center"/>
              <w:ind w:right="50"/>
              <w:spacing w:after="0"/>
              <w:rPr>
                <w:sz w:val="20"/>
                <w:szCs w:val="20"/>
                <w:color w:val="auto"/>
              </w:rPr>
            </w:pPr>
            <w:r>
              <w:rPr>
                <w:rFonts w:ascii="Arial" w:cs="Arial" w:eastAsia="Arial" w:hAnsi="Arial"/>
                <w:sz w:val="18"/>
                <w:szCs w:val="18"/>
                <w:color w:val="auto"/>
                <w:w w:val="88"/>
              </w:rPr>
              <w:t>Shares that May Yet be</w:t>
            </w:r>
          </w:p>
        </w:tc>
      </w:tr>
      <w:tr>
        <w:trPr>
          <w:trHeight w:val="257"/>
        </w:trPr>
        <w:tc>
          <w:tcPr>
            <w:tcW w:w="3340" w:type="dxa"/>
            <w:vAlign w:val="bottom"/>
            <w:tcBorders>
              <w:bottom w:val="single" w:sz="8" w:color="CCEEFF"/>
            </w:tcBorders>
          </w:tcPr>
          <w:p>
            <w:pPr>
              <w:spacing w:after="0"/>
              <w:rPr>
                <w:sz w:val="22"/>
                <w:szCs w:val="22"/>
                <w:color w:val="auto"/>
              </w:rPr>
            </w:pPr>
          </w:p>
        </w:tc>
        <w:tc>
          <w:tcPr>
            <w:tcW w:w="186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4"/>
              </w:rPr>
              <w:t>Purchased</w:t>
            </w:r>
            <w:r>
              <w:rPr>
                <w:rFonts w:ascii="Arial" w:cs="Arial" w:eastAsia="Arial" w:hAnsi="Arial"/>
                <w:sz w:val="25"/>
                <w:szCs w:val="25"/>
                <w:color w:val="auto"/>
                <w:w w:val="84"/>
                <w:vertAlign w:val="superscript"/>
              </w:rPr>
              <w:t>(1)</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per Share</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Publicly Announced Plan</w:t>
            </w:r>
          </w:p>
        </w:tc>
        <w:tc>
          <w:tcPr>
            <w:tcW w:w="2260" w:type="dxa"/>
            <w:vAlign w:val="bottom"/>
            <w:tcBorders>
              <w:bottom w:val="single" w:sz="8" w:color="auto"/>
            </w:tcBorders>
            <w:gridSpan w:val="2"/>
          </w:tcPr>
          <w:p>
            <w:pPr>
              <w:jc w:val="center"/>
              <w:spacing w:after="0" w:line="257" w:lineRule="exact"/>
              <w:rPr>
                <w:sz w:val="20"/>
                <w:szCs w:val="20"/>
                <w:color w:val="auto"/>
              </w:rPr>
            </w:pPr>
            <w:r>
              <w:rPr>
                <w:rFonts w:ascii="Arial" w:cs="Arial" w:eastAsia="Arial" w:hAnsi="Arial"/>
                <w:sz w:val="18"/>
                <w:szCs w:val="18"/>
                <w:color w:val="auto"/>
                <w:w w:val="86"/>
              </w:rPr>
              <w:t>Purchased Under the Plans</w:t>
            </w:r>
            <w:r>
              <w:rPr>
                <w:rFonts w:ascii="Arial" w:cs="Arial" w:eastAsia="Arial" w:hAnsi="Arial"/>
                <w:sz w:val="25"/>
                <w:szCs w:val="25"/>
                <w:color w:val="auto"/>
                <w:w w:val="86"/>
                <w:vertAlign w:val="superscript"/>
              </w:rPr>
              <w:t>(1)</w:t>
            </w: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1 to October 31, 2016</w:t>
            </w:r>
          </w:p>
        </w:tc>
        <w:tc>
          <w:tcPr>
            <w:tcW w:w="186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CEEFF"/>
            </w:tcBorders>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50,000,000</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November 1 to November 30, 2016</w:t>
            </w:r>
          </w:p>
        </w:tc>
        <w:tc>
          <w:tcPr>
            <w:tcW w:w="1860" w:type="dxa"/>
            <w:vAlign w:val="bottom"/>
          </w:tcPr>
          <w:p>
            <w:pPr>
              <w:ind w:left="1600"/>
              <w:spacing w:after="0"/>
              <w:rPr>
                <w:sz w:val="20"/>
                <w:szCs w:val="20"/>
                <w:color w:val="auto"/>
              </w:rPr>
            </w:pPr>
            <w:r>
              <w:rPr>
                <w:rFonts w:ascii="Arial" w:cs="Arial" w:eastAsia="Arial" w:hAnsi="Arial"/>
                <w:sz w:val="18"/>
                <w:szCs w:val="18"/>
                <w:color w:val="auto"/>
              </w:rPr>
              <w:t>—</w:t>
            </w:r>
          </w:p>
        </w:tc>
        <w:tc>
          <w:tcPr>
            <w:tcW w:w="280" w:type="dxa"/>
            <w:vAlign w:val="bottom"/>
          </w:tcPr>
          <w:p>
            <w:pPr>
              <w:ind w:left="60"/>
              <w:spacing w:after="0"/>
              <w:rPr>
                <w:sz w:val="20"/>
                <w:szCs w:val="20"/>
                <w:color w:val="auto"/>
              </w:rPr>
            </w:pPr>
            <w:r>
              <w:rPr>
                <w:rFonts w:ascii="Arial" w:cs="Arial" w:eastAsia="Arial" w:hAnsi="Arial"/>
                <w:sz w:val="18"/>
                <w:szCs w:val="18"/>
                <w:color w:val="auto"/>
              </w:rPr>
              <w:t>$</w:t>
            </w:r>
          </w:p>
        </w:tc>
        <w:tc>
          <w:tcPr>
            <w:tcW w:w="1280" w:type="dxa"/>
            <w:vAlign w:val="bottom"/>
          </w:tcPr>
          <w:p>
            <w:pPr>
              <w:ind w:left="920"/>
              <w:spacing w:after="0"/>
              <w:rPr>
                <w:sz w:val="20"/>
                <w:szCs w:val="20"/>
                <w:color w:val="auto"/>
              </w:rPr>
            </w:pPr>
            <w:r>
              <w:rPr>
                <w:rFonts w:ascii="Arial" w:cs="Arial" w:eastAsia="Arial" w:hAnsi="Arial"/>
                <w:sz w:val="18"/>
                <w:szCs w:val="18"/>
                <w:color w:val="auto"/>
              </w:rPr>
              <w:t>—</w:t>
            </w:r>
          </w:p>
        </w:tc>
        <w:tc>
          <w:tcPr>
            <w:tcW w:w="2100" w:type="dxa"/>
            <w:vAlign w:val="bottom"/>
          </w:tcPr>
          <w:p>
            <w:pPr>
              <w:ind w:left="18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50,000,000</w:t>
            </w:r>
          </w:p>
        </w:tc>
      </w:tr>
      <w:tr>
        <w:trPr>
          <w:trHeight w:val="270"/>
        </w:trPr>
        <w:tc>
          <w:tcPr>
            <w:tcW w:w="3340" w:type="dxa"/>
            <w:vAlign w:val="bottom"/>
          </w:tcPr>
          <w:p>
            <w:pPr>
              <w:ind w:left="40"/>
              <w:spacing w:after="0"/>
              <w:rPr>
                <w:sz w:val="20"/>
                <w:szCs w:val="20"/>
                <w:color w:val="auto"/>
              </w:rPr>
            </w:pPr>
            <w:r>
              <w:rPr>
                <w:rFonts w:ascii="Arial" w:cs="Arial" w:eastAsia="Arial" w:hAnsi="Arial"/>
                <w:sz w:val="18"/>
                <w:szCs w:val="18"/>
                <w:color w:val="auto"/>
              </w:rPr>
              <w:t>December 1 to December 31, 2016</w:t>
            </w:r>
          </w:p>
        </w:tc>
        <w:tc>
          <w:tcPr>
            <w:tcW w:w="1860" w:type="dxa"/>
            <w:vAlign w:val="bottom"/>
          </w:tcPr>
          <w:p>
            <w:pPr>
              <w:ind w:left="1600"/>
              <w:spacing w:after="0"/>
              <w:rPr>
                <w:sz w:val="20"/>
                <w:szCs w:val="20"/>
                <w:color w:val="auto"/>
              </w:rPr>
            </w:pPr>
            <w:r>
              <w:rPr>
                <w:rFonts w:ascii="Arial" w:cs="Arial" w:eastAsia="Arial" w:hAnsi="Arial"/>
                <w:sz w:val="18"/>
                <w:szCs w:val="18"/>
                <w:color w:val="auto"/>
              </w:rPr>
              <w:t>—</w:t>
            </w:r>
          </w:p>
        </w:tc>
        <w:tc>
          <w:tcPr>
            <w:tcW w:w="280" w:type="dxa"/>
            <w:vAlign w:val="bottom"/>
          </w:tcPr>
          <w:p>
            <w:pPr>
              <w:ind w:left="60"/>
              <w:spacing w:after="0"/>
              <w:rPr>
                <w:sz w:val="20"/>
                <w:szCs w:val="20"/>
                <w:color w:val="auto"/>
              </w:rPr>
            </w:pPr>
            <w:r>
              <w:rPr>
                <w:rFonts w:ascii="Arial" w:cs="Arial" w:eastAsia="Arial" w:hAnsi="Arial"/>
                <w:sz w:val="18"/>
                <w:szCs w:val="18"/>
                <w:color w:val="auto"/>
              </w:rPr>
              <w:t>$</w:t>
            </w:r>
          </w:p>
        </w:tc>
        <w:tc>
          <w:tcPr>
            <w:tcW w:w="1280" w:type="dxa"/>
            <w:vAlign w:val="bottom"/>
          </w:tcPr>
          <w:p>
            <w:pPr>
              <w:ind w:left="920"/>
              <w:spacing w:after="0"/>
              <w:rPr>
                <w:sz w:val="20"/>
                <w:szCs w:val="20"/>
                <w:color w:val="auto"/>
              </w:rPr>
            </w:pPr>
            <w:r>
              <w:rPr>
                <w:rFonts w:ascii="Arial" w:cs="Arial" w:eastAsia="Arial" w:hAnsi="Arial"/>
                <w:sz w:val="18"/>
                <w:szCs w:val="18"/>
                <w:color w:val="auto"/>
              </w:rPr>
              <w:t>—</w:t>
            </w:r>
          </w:p>
        </w:tc>
        <w:tc>
          <w:tcPr>
            <w:tcW w:w="2100" w:type="dxa"/>
            <w:vAlign w:val="bottom"/>
          </w:tcPr>
          <w:p>
            <w:pPr>
              <w:ind w:left="18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50,000,000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05802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58025" cy="1714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3" w:lineRule="exact"/>
        <w:rPr>
          <w:sz w:val="20"/>
          <w:szCs w:val="20"/>
          <w:color w:val="auto"/>
        </w:rPr>
      </w:pPr>
    </w:p>
    <w:p>
      <w:pPr>
        <w:jc w:val="both"/>
        <w:ind w:left="500" w:hanging="492"/>
        <w:spacing w:after="0" w:line="248" w:lineRule="auto"/>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Company has a publicly announced plan that authorizes the repurchase of common stock from time to time in open market and privately negotiated purchases, including pursuant to one or more trading plans. There is no fixed expiration date to this stock repurchase program. In August 2016, the Company's Board of Directors authorized an increase to $50.0 million in the stock repurchase program.</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Equity Compensation Plan Information</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80" w:type="dxa"/>
            <w:vAlign w:val="bottom"/>
          </w:tcPr>
          <w:p>
            <w:pPr>
              <w:jc w:val="center"/>
              <w:ind w:left="568"/>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3520" w:type="dxa"/>
            <w:vAlign w:val="bottom"/>
            <w:vMerge w:val="restart"/>
          </w:tcPr>
          <w:p>
            <w:pPr>
              <w:jc w:val="center"/>
              <w:ind w:left="788"/>
              <w:spacing w:after="0"/>
              <w:rPr>
                <w:sz w:val="20"/>
                <w:szCs w:val="20"/>
                <w:color w:val="auto"/>
              </w:rPr>
            </w:pPr>
            <w:r>
              <w:rPr>
                <w:rFonts w:ascii="Arial" w:cs="Arial" w:eastAsia="Arial" w:hAnsi="Arial"/>
                <w:sz w:val="14"/>
                <w:szCs w:val="14"/>
                <w:b w:val="1"/>
                <w:bCs w:val="1"/>
                <w:color w:val="auto"/>
              </w:rPr>
              <w:t>(a)</w:t>
            </w:r>
          </w:p>
        </w:tc>
        <w:tc>
          <w:tcPr>
            <w:tcW w:w="25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(b)</w:t>
            </w:r>
          </w:p>
        </w:tc>
        <w:tc>
          <w:tcPr>
            <w:tcW w:w="2280" w:type="dxa"/>
            <w:vAlign w:val="bottom"/>
          </w:tcPr>
          <w:p>
            <w:pPr>
              <w:jc w:val="center"/>
              <w:ind w:left="568"/>
              <w:spacing w:after="0" w:line="149" w:lineRule="exact"/>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3520" w:type="dxa"/>
            <w:vAlign w:val="bottom"/>
            <w:vMerge w:val="continue"/>
          </w:tcPr>
          <w:p>
            <w:pPr>
              <w:spacing w:after="0"/>
              <w:rPr>
                <w:sz w:val="12"/>
                <w:szCs w:val="12"/>
                <w:color w:val="auto"/>
              </w:rPr>
            </w:pPr>
          </w:p>
        </w:tc>
        <w:tc>
          <w:tcPr>
            <w:tcW w:w="2500" w:type="dxa"/>
            <w:vAlign w:val="bottom"/>
            <w:vMerge w:val="continue"/>
          </w:tcPr>
          <w:p>
            <w:pPr>
              <w:spacing w:after="0"/>
              <w:rPr>
                <w:sz w:val="12"/>
                <w:szCs w:val="12"/>
                <w:color w:val="auto"/>
              </w:rPr>
            </w:pPr>
          </w:p>
        </w:tc>
        <w:tc>
          <w:tcPr>
            <w:tcW w:w="2280" w:type="dxa"/>
            <w:vAlign w:val="bottom"/>
          </w:tcPr>
          <w:p>
            <w:pPr>
              <w:jc w:val="center"/>
              <w:ind w:left="568"/>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3520" w:type="dxa"/>
            <w:vAlign w:val="bottom"/>
          </w:tcPr>
          <w:p>
            <w:pPr>
              <w:jc w:val="center"/>
              <w:ind w:left="768"/>
              <w:spacing w:after="0" w:line="149" w:lineRule="exact"/>
              <w:rPr>
                <w:sz w:val="20"/>
                <w:szCs w:val="20"/>
                <w:color w:val="auto"/>
              </w:rPr>
            </w:pPr>
            <w:r>
              <w:rPr>
                <w:rFonts w:ascii="Arial" w:cs="Arial" w:eastAsia="Arial" w:hAnsi="Arial"/>
                <w:sz w:val="14"/>
                <w:szCs w:val="14"/>
                <w:b w:val="1"/>
                <w:bCs w:val="1"/>
                <w:color w:val="auto"/>
                <w:w w:val="92"/>
              </w:rPr>
              <w:t>Number of securities to</w:t>
            </w:r>
          </w:p>
        </w:tc>
        <w:tc>
          <w:tcPr>
            <w:tcW w:w="2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Weighted-average</w:t>
            </w:r>
          </w:p>
        </w:tc>
        <w:tc>
          <w:tcPr>
            <w:tcW w:w="2280" w:type="dxa"/>
            <w:vAlign w:val="bottom"/>
          </w:tcPr>
          <w:p>
            <w:pPr>
              <w:jc w:val="center"/>
              <w:ind w:left="568"/>
              <w:spacing w:after="0" w:line="149" w:lineRule="exact"/>
              <w:rPr>
                <w:sz w:val="20"/>
                <w:szCs w:val="20"/>
                <w:color w:val="auto"/>
              </w:rPr>
            </w:pPr>
            <w:r>
              <w:rPr>
                <w:rFonts w:ascii="Arial" w:cs="Arial" w:eastAsia="Arial" w:hAnsi="Arial"/>
                <w:sz w:val="14"/>
                <w:szCs w:val="14"/>
                <w:b w:val="1"/>
                <w:bCs w:val="1"/>
                <w:color w:val="auto"/>
                <w:w w:val="90"/>
              </w:rPr>
              <w:t>future issuance under</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3520" w:type="dxa"/>
            <w:vAlign w:val="bottom"/>
          </w:tcPr>
          <w:p>
            <w:pPr>
              <w:jc w:val="center"/>
              <w:ind w:left="788"/>
              <w:spacing w:after="0" w:line="149" w:lineRule="exact"/>
              <w:rPr>
                <w:sz w:val="20"/>
                <w:szCs w:val="20"/>
                <w:color w:val="auto"/>
              </w:rPr>
            </w:pPr>
            <w:r>
              <w:rPr>
                <w:rFonts w:ascii="Arial" w:cs="Arial" w:eastAsia="Arial" w:hAnsi="Arial"/>
                <w:sz w:val="14"/>
                <w:szCs w:val="14"/>
                <w:b w:val="1"/>
                <w:bCs w:val="1"/>
                <w:color w:val="auto"/>
                <w:w w:val="87"/>
              </w:rPr>
              <w:t>be issued upon exercise</w:t>
            </w:r>
          </w:p>
        </w:tc>
        <w:tc>
          <w:tcPr>
            <w:tcW w:w="2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2280" w:type="dxa"/>
            <w:vAlign w:val="bottom"/>
          </w:tcPr>
          <w:p>
            <w:pPr>
              <w:jc w:val="center"/>
              <w:ind w:left="568"/>
              <w:spacing w:after="0" w:line="149" w:lineRule="exact"/>
              <w:rPr>
                <w:sz w:val="20"/>
                <w:szCs w:val="20"/>
                <w:color w:val="auto"/>
              </w:rPr>
            </w:pPr>
            <w:r>
              <w:rPr>
                <w:rFonts w:ascii="Arial" w:cs="Arial" w:eastAsia="Arial" w:hAnsi="Arial"/>
                <w:sz w:val="14"/>
                <w:szCs w:val="14"/>
                <w:b w:val="1"/>
                <w:bCs w:val="1"/>
                <w:color w:val="auto"/>
                <w:w w:val="90"/>
              </w:rPr>
              <w:t>equity compensation plans</w:t>
            </w:r>
          </w:p>
        </w:tc>
        <w:tc>
          <w:tcPr>
            <w:tcW w:w="0" w:type="dxa"/>
            <w:vAlign w:val="bottom"/>
          </w:tcPr>
          <w:p>
            <w:pPr>
              <w:spacing w:after="0"/>
              <w:rPr>
                <w:sz w:val="1"/>
                <w:szCs w:val="1"/>
                <w:color w:val="auto"/>
              </w:rPr>
            </w:pPr>
          </w:p>
        </w:tc>
      </w:tr>
      <w:tr>
        <w:trPr>
          <w:trHeight w:val="149"/>
        </w:trPr>
        <w:tc>
          <w:tcPr>
            <w:tcW w:w="2420" w:type="dxa"/>
            <w:vAlign w:val="bottom"/>
            <w:vMerge w:val="restart"/>
          </w:tcPr>
          <w:p>
            <w:pPr>
              <w:spacing w:after="0"/>
              <w:rPr>
                <w:sz w:val="20"/>
                <w:szCs w:val="20"/>
                <w:color w:val="auto"/>
              </w:rPr>
            </w:pPr>
            <w:r>
              <w:rPr>
                <w:rFonts w:ascii="Arial" w:cs="Arial" w:eastAsia="Arial" w:hAnsi="Arial"/>
                <w:sz w:val="14"/>
                <w:szCs w:val="14"/>
                <w:b w:val="1"/>
                <w:bCs w:val="1"/>
                <w:color w:val="auto"/>
              </w:rPr>
              <w:t>Plans Category</w:t>
            </w:r>
          </w:p>
        </w:tc>
        <w:tc>
          <w:tcPr>
            <w:tcW w:w="3520" w:type="dxa"/>
            <w:vAlign w:val="bottom"/>
          </w:tcPr>
          <w:p>
            <w:pPr>
              <w:jc w:val="center"/>
              <w:ind w:left="768"/>
              <w:spacing w:after="0" w:line="149" w:lineRule="exact"/>
              <w:rPr>
                <w:sz w:val="20"/>
                <w:szCs w:val="20"/>
                <w:color w:val="auto"/>
              </w:rPr>
            </w:pPr>
            <w:r>
              <w:rPr>
                <w:rFonts w:ascii="Arial" w:cs="Arial" w:eastAsia="Arial" w:hAnsi="Arial"/>
                <w:sz w:val="14"/>
                <w:szCs w:val="14"/>
                <w:b w:val="1"/>
                <w:bCs w:val="1"/>
                <w:color w:val="auto"/>
                <w:w w:val="89"/>
              </w:rPr>
              <w:t>of outstanding options,</w:t>
            </w:r>
          </w:p>
        </w:tc>
        <w:tc>
          <w:tcPr>
            <w:tcW w:w="2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2280" w:type="dxa"/>
            <w:vAlign w:val="bottom"/>
          </w:tcPr>
          <w:p>
            <w:pPr>
              <w:jc w:val="center"/>
              <w:ind w:left="568"/>
              <w:spacing w:after="0" w:line="149" w:lineRule="exact"/>
              <w:rPr>
                <w:sz w:val="20"/>
                <w:szCs w:val="20"/>
                <w:color w:val="auto"/>
              </w:rPr>
            </w:pPr>
            <w:r>
              <w:rPr>
                <w:rFonts w:ascii="Arial" w:cs="Arial" w:eastAsia="Arial" w:hAnsi="Arial"/>
                <w:sz w:val="14"/>
                <w:szCs w:val="14"/>
                <w:b w:val="1"/>
                <w:bCs w:val="1"/>
                <w:color w:val="auto"/>
                <w:w w:val="89"/>
              </w:rPr>
              <w:t>(excluding securities</w:t>
            </w:r>
          </w:p>
        </w:tc>
        <w:tc>
          <w:tcPr>
            <w:tcW w:w="0" w:type="dxa"/>
            <w:vAlign w:val="bottom"/>
          </w:tcPr>
          <w:p>
            <w:pPr>
              <w:spacing w:after="0"/>
              <w:rPr>
                <w:sz w:val="1"/>
                <w:szCs w:val="1"/>
                <w:color w:val="auto"/>
              </w:rPr>
            </w:pPr>
          </w:p>
        </w:tc>
      </w:tr>
      <w:tr>
        <w:trPr>
          <w:trHeight w:val="186"/>
        </w:trPr>
        <w:tc>
          <w:tcPr>
            <w:tcW w:w="2420" w:type="dxa"/>
            <w:vAlign w:val="bottom"/>
            <w:vMerge w:val="continue"/>
          </w:tcPr>
          <w:p>
            <w:pPr>
              <w:spacing w:after="0"/>
              <w:rPr>
                <w:sz w:val="16"/>
                <w:szCs w:val="16"/>
                <w:color w:val="auto"/>
              </w:rPr>
            </w:pPr>
          </w:p>
        </w:tc>
        <w:tc>
          <w:tcPr>
            <w:tcW w:w="3520" w:type="dxa"/>
            <w:vAlign w:val="bottom"/>
          </w:tcPr>
          <w:p>
            <w:pPr>
              <w:jc w:val="center"/>
              <w:ind w:left="788"/>
              <w:spacing w:after="0"/>
              <w:rPr>
                <w:sz w:val="20"/>
                <w:szCs w:val="20"/>
                <w:color w:val="auto"/>
              </w:rPr>
            </w:pPr>
            <w:r>
              <w:rPr>
                <w:rFonts w:ascii="Arial" w:cs="Arial" w:eastAsia="Arial" w:hAnsi="Arial"/>
                <w:sz w:val="14"/>
                <w:szCs w:val="14"/>
                <w:b w:val="1"/>
                <w:bCs w:val="1"/>
                <w:color w:val="auto"/>
                <w:w w:val="93"/>
              </w:rPr>
              <w:t>warrants and rights</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3"/>
              </w:rPr>
              <w:t>warrants and rights</w:t>
            </w:r>
          </w:p>
        </w:tc>
        <w:tc>
          <w:tcPr>
            <w:tcW w:w="2280" w:type="dxa"/>
            <w:vAlign w:val="bottom"/>
          </w:tcPr>
          <w:p>
            <w:pPr>
              <w:jc w:val="center"/>
              <w:ind w:left="568"/>
              <w:spacing w:after="0"/>
              <w:rPr>
                <w:sz w:val="20"/>
                <w:szCs w:val="20"/>
                <w:color w:val="auto"/>
              </w:rPr>
            </w:pPr>
            <w:r>
              <w:rPr>
                <w:rFonts w:ascii="Arial" w:cs="Arial" w:eastAsia="Arial" w:hAnsi="Arial"/>
                <w:sz w:val="14"/>
                <w:szCs w:val="14"/>
                <w:b w:val="1"/>
                <w:bCs w:val="1"/>
                <w:color w:val="auto"/>
                <w:w w:val="93"/>
              </w:rPr>
              <w:t>reflected in column (a))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1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Equity compensation plans approved by</w:t>
            </w:r>
          </w:p>
        </w:tc>
        <w:tc>
          <w:tcPr>
            <w:tcW w:w="27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line="216" w:lineRule="exact"/>
              <w:rPr>
                <w:sz w:val="20"/>
                <w:szCs w:val="20"/>
                <w:color w:val="auto"/>
              </w:rPr>
            </w:pPr>
            <w:r>
              <w:rPr>
                <w:rFonts w:ascii="Arial" w:cs="Arial" w:eastAsia="Arial" w:hAnsi="Arial"/>
                <w:sz w:val="18"/>
                <w:szCs w:val="18"/>
                <w:color w:val="auto"/>
              </w:rPr>
              <w:t>security holders-restricted stock awards</w:t>
            </w:r>
            <w:r>
              <w:rPr>
                <w:rFonts w:ascii="Arial" w:cs="Arial" w:eastAsia="Arial" w:hAnsi="Arial"/>
                <w:sz w:val="25"/>
                <w:szCs w:val="25"/>
                <w:color w:val="auto"/>
                <w:vertAlign w:val="superscript"/>
              </w:rPr>
              <w:t>(1)</w:t>
            </w:r>
          </w:p>
        </w:tc>
        <w:tc>
          <w:tcPr>
            <w:tcW w:w="2780" w:type="dxa"/>
            <w:vAlign w:val="bottom"/>
            <w:vMerge w:val="restart"/>
          </w:tcPr>
          <w:p>
            <w:pPr>
              <w:jc w:val="right"/>
              <w:ind w:right="990"/>
              <w:spacing w:after="0"/>
              <w:rPr>
                <w:sz w:val="20"/>
                <w:szCs w:val="20"/>
                <w:color w:val="auto"/>
              </w:rPr>
            </w:pPr>
            <w:r>
              <w:rPr>
                <w:rFonts w:ascii="Arial" w:cs="Arial" w:eastAsia="Arial" w:hAnsi="Arial"/>
                <w:sz w:val="18"/>
                <w:szCs w:val="18"/>
                <w:color w:val="auto"/>
              </w:rPr>
              <w:t>622,643</w:t>
            </w:r>
          </w:p>
        </w:tc>
        <w:tc>
          <w:tcPr>
            <w:tcW w:w="2540" w:type="dxa"/>
            <w:vAlign w:val="bottom"/>
            <w:vMerge w:val="restart"/>
          </w:tcPr>
          <w:p>
            <w:pPr>
              <w:ind w:left="1100"/>
              <w:spacing w:after="0"/>
              <w:rPr>
                <w:sz w:val="20"/>
                <w:szCs w:val="20"/>
                <w:color w:val="auto"/>
              </w:rPr>
            </w:pPr>
            <w:r>
              <w:rPr>
                <w:rFonts w:ascii="Arial" w:cs="Arial" w:eastAsia="Arial" w:hAnsi="Arial"/>
                <w:sz w:val="18"/>
                <w:szCs w:val="18"/>
                <w:color w:val="auto"/>
              </w:rPr>
              <w:t>N/A</w:t>
            </w:r>
          </w:p>
        </w:tc>
        <w:tc>
          <w:tcPr>
            <w:tcW w:w="1860" w:type="dxa"/>
            <w:vAlign w:val="bottom"/>
            <w:vMerge w:val="restart"/>
          </w:tcPr>
          <w:p>
            <w:pPr>
              <w:jc w:val="right"/>
              <w:spacing w:after="0"/>
              <w:rPr>
                <w:sz w:val="20"/>
                <w:szCs w:val="20"/>
                <w:color w:val="auto"/>
              </w:rPr>
            </w:pPr>
            <w:r>
              <w:rPr>
                <w:rFonts w:ascii="Arial" w:cs="Arial" w:eastAsia="Arial" w:hAnsi="Arial"/>
                <w:sz w:val="18"/>
                <w:szCs w:val="18"/>
                <w:color w:val="auto"/>
              </w:rPr>
              <w:t>3,569,564</w:t>
            </w:r>
          </w:p>
        </w:tc>
        <w:tc>
          <w:tcPr>
            <w:tcW w:w="0" w:type="dxa"/>
            <w:vAlign w:val="bottom"/>
          </w:tcPr>
          <w:p>
            <w:pPr>
              <w:spacing w:after="0"/>
              <w:rPr>
                <w:sz w:val="1"/>
                <w:szCs w:val="1"/>
                <w:color w:val="auto"/>
              </w:rPr>
            </w:pPr>
          </w:p>
        </w:tc>
      </w:tr>
      <w:tr>
        <w:trPr>
          <w:trHeight w:val="163"/>
        </w:trPr>
        <w:tc>
          <w:tcPr>
            <w:tcW w:w="4100" w:type="dxa"/>
            <w:vAlign w:val="bottom"/>
          </w:tcPr>
          <w:p>
            <w:pPr>
              <w:spacing w:after="0"/>
              <w:rPr>
                <w:sz w:val="20"/>
                <w:szCs w:val="20"/>
                <w:color w:val="auto"/>
              </w:rPr>
            </w:pPr>
            <w:r>
              <w:rPr>
                <w:rFonts w:ascii="Arial" w:cs="Arial" w:eastAsia="Arial" w:hAnsi="Arial"/>
                <w:sz w:val="13"/>
                <w:szCs w:val="13"/>
                <w:color w:val="auto"/>
              </w:rPr>
              <w:t>(2)</w:t>
            </w:r>
          </w:p>
        </w:tc>
        <w:tc>
          <w:tcPr>
            <w:tcW w:w="2780" w:type="dxa"/>
            <w:vAlign w:val="bottom"/>
            <w:vMerge w:val="continue"/>
          </w:tcPr>
          <w:p>
            <w:pPr>
              <w:spacing w:after="0"/>
              <w:rPr>
                <w:sz w:val="14"/>
                <w:szCs w:val="14"/>
                <w:color w:val="auto"/>
              </w:rPr>
            </w:pPr>
          </w:p>
        </w:tc>
        <w:tc>
          <w:tcPr>
            <w:tcW w:w="2540" w:type="dxa"/>
            <w:vAlign w:val="bottom"/>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3" w:lineRule="exact"/>
        <w:rPr>
          <w:sz w:val="20"/>
          <w:szCs w:val="20"/>
          <w:color w:val="auto"/>
        </w:rPr>
      </w:pPr>
    </w:p>
    <w:p>
      <w:pPr>
        <w:jc w:val="both"/>
        <w:ind w:left="420" w:hanging="412"/>
        <w:spacing w:after="0" w:line="260" w:lineRule="auto"/>
        <w:tabs>
          <w:tab w:leader="none" w:pos="4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Restricted Stock—The amount shown in column (a) includes 250,188 unvested restricted stock units which may vest in the future based on the employees' continued service to the Company and 39,071 unvested market-based restricted stock units representing the right to receive an equivalent number of shares of the Company's common stock if and when the Units vest. The market-condition is based on the Company's total shareholder return, measured over a performance period ending on the awards cliff vest date. Vesting will range from 0% to 200% of the target, if the employee remains employed by the Company on the vesting date. None of these unvested units are included in the Company's outstanding share balance (see Item 8—"Financial Statements and Supplemental Data—Note 14" for a more detailed description of the Company's restricted stock grants). Substantially all of the restricted stock units included in column</w:t>
      </w:r>
    </w:p>
    <w:p>
      <w:pPr>
        <w:jc w:val="both"/>
        <w:ind w:left="420"/>
        <w:spacing w:after="0" w:line="241" w:lineRule="auto"/>
        <w:rPr>
          <w:rFonts w:ascii="Arial" w:cs="Arial" w:eastAsia="Arial" w:hAnsi="Arial"/>
          <w:sz w:val="13"/>
          <w:szCs w:val="13"/>
          <w:color w:val="auto"/>
        </w:rPr>
      </w:pPr>
      <w:r>
        <w:rPr>
          <w:rFonts w:ascii="Arial" w:cs="Arial" w:eastAsia="Arial" w:hAnsi="Arial"/>
          <w:sz w:val="14"/>
          <w:szCs w:val="14"/>
          <w:color w:val="auto"/>
        </w:rPr>
        <w:t>(a) are required to be settled on a net, after-tax basis (after deducting shares for minimum required statutory withholdings); therefore, the actual number of shares issued will be less than the gross amount of the awards. The amount shown in column (a) also includes 333,384 of common stock equivalents and restricted stock awarded to our non-employee directors in consideration of their service to the Company as directors. Common stock equivalents represent rights to receive shares of common stock at the date the common stock equivalents are settled. Common stock equivalents have dividend equivalent rights beginning on the date of grant. The amount in column (c) represents the aggregate amount of stock options, shares of restricted stock units or other performance awards that could be granted under compensation plans approved by the Company's security holders after giving effect to previously issued awards of stock options, shares of restricted stock units and other performance awards (see Item 8—"Financial Statements and Supplemental Data—Note 14" for a more detailed description of the Company's Long-Term Incentive Plans).</w:t>
      </w:r>
    </w:p>
    <w:p>
      <w:pPr>
        <w:spacing w:after="0" w:line="2" w:lineRule="exact"/>
        <w:rPr>
          <w:rFonts w:ascii="Arial" w:cs="Arial" w:eastAsia="Arial" w:hAnsi="Arial"/>
          <w:sz w:val="13"/>
          <w:szCs w:val="13"/>
          <w:color w:val="auto"/>
        </w:rPr>
      </w:pPr>
    </w:p>
    <w:p>
      <w:pPr>
        <w:jc w:val="both"/>
        <w:ind w:left="420" w:hanging="412"/>
        <w:spacing w:after="0" w:line="248" w:lineRule="auto"/>
        <w:tabs>
          <w:tab w:leader="none" w:pos="4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amount shown in column (a) does not include a currently indeterminable number of shares that may be issued upon the satisfaction of performance and vesting conditions of awards made under the Company's Performance Incentive Plan ("iPIP") approved by shareholders. In no event may the number of shares issued exceed the amount available in column (c) unless shareholders authorize additional shares (see Item 8—"Financial Statements and Supplemental Data—Note 14" for a more detailed description of iPIP.)</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83"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The following table sets forth selected financial data on a consolidated historical basis for the Company. This information should be read in conjunction with the discussions set forth in Item 7—"Management's Discussion and Analysis of Financial Condition and Results of Operations."</w:t>
      </w:r>
    </w:p>
    <w:p>
      <w:pPr>
        <w:spacing w:after="0" w:line="200" w:lineRule="exact"/>
        <w:rPr>
          <w:sz w:val="20"/>
          <w:szCs w:val="20"/>
          <w:color w:val="auto"/>
        </w:rPr>
      </w:pPr>
    </w:p>
    <w:p>
      <w:pPr>
        <w:spacing w:after="0" w:line="222"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b w:val="1"/>
                <w:bCs w:val="1"/>
                <w:color w:val="auto"/>
              </w:rPr>
              <w:t>For the Years Ended December 31,</w:t>
            </w: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6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4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740" w:type="dxa"/>
            <w:vAlign w:val="bottom"/>
            <w:gridSpan w:val="8"/>
          </w:tcPr>
          <w:p>
            <w:pPr>
              <w:ind w:left="180"/>
              <w:spacing w:after="0"/>
              <w:rPr>
                <w:sz w:val="20"/>
                <w:szCs w:val="20"/>
                <w:color w:val="auto"/>
              </w:rPr>
            </w:pPr>
            <w:r>
              <w:rPr>
                <w:rFonts w:ascii="Arial" w:cs="Arial" w:eastAsia="Arial" w:hAnsi="Arial"/>
                <w:sz w:val="14"/>
                <w:szCs w:val="14"/>
                <w:b w:val="1"/>
                <w:bCs w:val="1"/>
                <w:color w:val="auto"/>
              </w:rPr>
              <w:t>(In thousands, except per share data and ratios)</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DATA:</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640" w:type="dxa"/>
            <w:vAlign w:val="bottom"/>
          </w:tcPr>
          <w:p>
            <w:pPr>
              <w:ind w:left="20"/>
              <w:spacing w:after="0"/>
              <w:rPr>
                <w:sz w:val="20"/>
                <w:szCs w:val="20"/>
                <w:color w:val="auto"/>
              </w:rPr>
            </w:pPr>
            <w:r>
              <w:rPr>
                <w:rFonts w:ascii="Arial" w:cs="Arial" w:eastAsia="Arial" w:hAnsi="Arial"/>
                <w:sz w:val="14"/>
                <w:szCs w:val="14"/>
                <w:color w:val="auto"/>
              </w:rPr>
              <w:t>Operating lease income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213,018</w:t>
            </w:r>
          </w:p>
        </w:tc>
        <w:tc>
          <w:tcPr>
            <w:tcW w:w="120" w:type="dxa"/>
            <w:vAlign w:val="bottom"/>
          </w:tcPr>
          <w:p>
            <w:pPr>
              <w:spacing w:after="0"/>
              <w:rPr>
                <w:sz w:val="22"/>
                <w:szCs w:val="22"/>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229,720</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243,100</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234,567</w:t>
            </w:r>
          </w:p>
        </w:tc>
        <w:tc>
          <w:tcPr>
            <w:tcW w:w="120" w:type="dxa"/>
            <w:vAlign w:val="bottom"/>
          </w:tcPr>
          <w:p>
            <w:pPr>
              <w:spacing w:after="0"/>
              <w:rPr>
                <w:sz w:val="22"/>
                <w:szCs w:val="22"/>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216,291</w:t>
            </w:r>
          </w:p>
        </w:tc>
        <w:tc>
          <w:tcPr>
            <w:tcW w:w="0" w:type="dxa"/>
            <w:vAlign w:val="bottom"/>
          </w:tcPr>
          <w:p>
            <w:pPr>
              <w:spacing w:after="0"/>
              <w:rPr>
                <w:sz w:val="1"/>
                <w:szCs w:val="1"/>
                <w:color w:val="auto"/>
              </w:rPr>
            </w:pPr>
          </w:p>
        </w:tc>
      </w:tr>
      <w:tr>
        <w:trPr>
          <w:trHeight w:val="276"/>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129,153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134,687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122,704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108,015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133,410</w:t>
            </w:r>
          </w:p>
        </w:tc>
        <w:tc>
          <w:tcPr>
            <w:tcW w:w="0" w:type="dxa"/>
            <w:vAlign w:val="bottom"/>
          </w:tcPr>
          <w:p>
            <w:pPr>
              <w:spacing w:after="0"/>
              <w:rPr>
                <w:sz w:val="1"/>
                <w:szCs w:val="1"/>
                <w:color w:val="auto"/>
              </w:rPr>
            </w:pPr>
          </w:p>
        </w:tc>
      </w:tr>
      <w:tr>
        <w:trPr>
          <w:trHeight w:val="264"/>
        </w:trPr>
        <w:tc>
          <w:tcPr>
            <w:tcW w:w="4640" w:type="dxa"/>
            <w:vAlign w:val="bottom"/>
          </w:tcPr>
          <w:p>
            <w:pPr>
              <w:ind w:left="20"/>
              <w:spacing w:after="0"/>
              <w:rPr>
                <w:sz w:val="20"/>
                <w:szCs w:val="20"/>
                <w:color w:val="auto"/>
              </w:rPr>
            </w:pPr>
            <w:r>
              <w:rPr>
                <w:rFonts w:ascii="Arial" w:cs="Arial" w:eastAsia="Arial" w:hAnsi="Arial"/>
                <w:sz w:val="14"/>
                <w:szCs w:val="14"/>
                <w:color w:val="auto"/>
              </w:rPr>
              <w:t>Other income</w:t>
            </w:r>
          </w:p>
        </w:tc>
        <w:tc>
          <w:tcPr>
            <w:tcW w:w="28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46,515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49,931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81,033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48,208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47,838</w:t>
            </w:r>
          </w:p>
        </w:tc>
        <w:tc>
          <w:tcPr>
            <w:tcW w:w="0" w:type="dxa"/>
            <w:vAlign w:val="bottom"/>
          </w:tcPr>
          <w:p>
            <w:pPr>
              <w:spacing w:after="0"/>
              <w:rPr>
                <w:sz w:val="1"/>
                <w:szCs w:val="1"/>
                <w:color w:val="auto"/>
              </w:rPr>
            </w:pPr>
          </w:p>
        </w:tc>
      </w:tr>
      <w:tr>
        <w:trPr>
          <w:trHeight w:val="270"/>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Land development revenue</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88,340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100,216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15,191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Total revenue</w:t>
            </w:r>
          </w:p>
        </w:tc>
        <w:tc>
          <w:tcPr>
            <w:tcW w:w="2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477,026</w:t>
            </w:r>
          </w:p>
        </w:tc>
        <w:tc>
          <w:tcPr>
            <w:tcW w:w="1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514,554</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462,028</w:t>
            </w:r>
          </w:p>
        </w:tc>
        <w:tc>
          <w:tcPr>
            <w:tcW w:w="10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390,790</w:t>
            </w:r>
          </w:p>
        </w:tc>
        <w:tc>
          <w:tcPr>
            <w:tcW w:w="1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397,539</w:t>
            </w:r>
          </w:p>
        </w:tc>
        <w:tc>
          <w:tcPr>
            <w:tcW w:w="0" w:type="dxa"/>
            <w:vAlign w:val="bottom"/>
          </w:tcPr>
          <w:p>
            <w:pPr>
              <w:spacing w:after="0"/>
              <w:rPr>
                <w:sz w:val="1"/>
                <w:szCs w:val="1"/>
                <w:color w:val="auto"/>
              </w:rPr>
            </w:pPr>
          </w:p>
        </w:tc>
      </w:tr>
      <w:tr>
        <w:trPr>
          <w:trHeight w:val="256"/>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221,398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224,639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224,483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266,225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355,097</w:t>
            </w:r>
          </w:p>
        </w:tc>
        <w:tc>
          <w:tcPr>
            <w:tcW w:w="0" w:type="dxa"/>
            <w:vAlign w:val="bottom"/>
          </w:tcPr>
          <w:p>
            <w:pPr>
              <w:spacing w:after="0"/>
              <w:rPr>
                <w:sz w:val="1"/>
                <w:szCs w:val="1"/>
                <w:color w:val="auto"/>
              </w:rPr>
            </w:pPr>
          </w:p>
        </w:tc>
      </w:tr>
      <w:tr>
        <w:trPr>
          <w:trHeight w:val="264"/>
        </w:trPr>
        <w:tc>
          <w:tcPr>
            <w:tcW w:w="4640" w:type="dxa"/>
            <w:vAlign w:val="bottom"/>
          </w:tcPr>
          <w:p>
            <w:pPr>
              <w:ind w:left="20"/>
              <w:spacing w:after="0"/>
              <w:rPr>
                <w:sz w:val="20"/>
                <w:szCs w:val="20"/>
                <w:color w:val="auto"/>
              </w:rPr>
            </w:pPr>
            <w:r>
              <w:rPr>
                <w:rFonts w:ascii="Arial" w:cs="Arial" w:eastAsia="Arial" w:hAnsi="Arial"/>
                <w:sz w:val="14"/>
                <w:szCs w:val="14"/>
                <w:color w:val="auto"/>
              </w:rPr>
              <w:t>Real estate expense</w:t>
            </w:r>
          </w:p>
        </w:tc>
        <w:tc>
          <w:tcPr>
            <w:tcW w:w="28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138,422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146,750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163,389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157,441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151,458</w:t>
            </w:r>
          </w:p>
        </w:tc>
        <w:tc>
          <w:tcPr>
            <w:tcW w:w="0" w:type="dxa"/>
            <w:vAlign w:val="bottom"/>
          </w:tcPr>
          <w:p>
            <w:pPr>
              <w:spacing w:after="0"/>
              <w:rPr>
                <w:sz w:val="1"/>
                <w:szCs w:val="1"/>
                <w:color w:val="auto"/>
              </w:rPr>
            </w:pPr>
          </w:p>
        </w:tc>
      </w:tr>
      <w:tr>
        <w:trPr>
          <w:trHeight w:val="276"/>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Land development cost of sales</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62,007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67,382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12,840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64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54,329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65,247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73,571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71,266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68,770</w:t>
            </w:r>
          </w:p>
        </w:tc>
        <w:tc>
          <w:tcPr>
            <w:tcW w:w="0" w:type="dxa"/>
            <w:vAlign w:val="bottom"/>
          </w:tcPr>
          <w:p>
            <w:pPr>
              <w:spacing w:after="0"/>
              <w:rPr>
                <w:sz w:val="1"/>
                <w:szCs w:val="1"/>
                <w:color w:val="auto"/>
              </w:rPr>
            </w:pPr>
          </w:p>
        </w:tc>
      </w:tr>
      <w:tr>
        <w:trPr>
          <w:trHeight w:val="276"/>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84,027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81,277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88,287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92,114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80,856</w:t>
            </w:r>
          </w:p>
        </w:tc>
        <w:tc>
          <w:tcPr>
            <w:tcW w:w="0" w:type="dxa"/>
            <w:vAlign w:val="bottom"/>
          </w:tcPr>
          <w:p>
            <w:pPr>
              <w:spacing w:after="0"/>
              <w:rPr>
                <w:sz w:val="1"/>
                <w:szCs w:val="1"/>
                <w:color w:val="auto"/>
              </w:rPr>
            </w:pPr>
          </w:p>
        </w:tc>
      </w:tr>
      <w:tr>
        <w:trPr>
          <w:trHeight w:val="264"/>
        </w:trPr>
        <w:tc>
          <w:tcPr>
            <w:tcW w:w="4640" w:type="dxa"/>
            <w:vAlign w:val="bottom"/>
          </w:tcPr>
          <w:p>
            <w:pPr>
              <w:ind w:left="20"/>
              <w:spacing w:after="0"/>
              <w:rPr>
                <w:sz w:val="20"/>
                <w:szCs w:val="20"/>
                <w:color w:val="auto"/>
              </w:rPr>
            </w:pPr>
            <w:r>
              <w:rPr>
                <w:rFonts w:ascii="Arial" w:cs="Arial" w:eastAsia="Arial" w:hAnsi="Arial"/>
                <w:sz w:val="14"/>
                <w:szCs w:val="14"/>
                <w:color w:val="auto"/>
              </w:rPr>
              <w:t>Provision for (recovery of) loan losses</w:t>
            </w:r>
          </w:p>
        </w:tc>
        <w:tc>
          <w:tcPr>
            <w:tcW w:w="28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(12,514)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36,567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(1,714)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5,489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81,740</w:t>
            </w:r>
          </w:p>
        </w:tc>
        <w:tc>
          <w:tcPr>
            <w:tcW w:w="0" w:type="dxa"/>
            <w:vAlign w:val="bottom"/>
          </w:tcPr>
          <w:p>
            <w:pPr>
              <w:spacing w:after="0"/>
              <w:rPr>
                <w:sz w:val="1"/>
                <w:szCs w:val="1"/>
                <w:color w:val="auto"/>
              </w:rPr>
            </w:pPr>
          </w:p>
        </w:tc>
      </w:tr>
      <w:tr>
        <w:trPr>
          <w:trHeight w:val="276"/>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Impairment of assets</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14,484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10,524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34,634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12,589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13,778</w:t>
            </w:r>
          </w:p>
        </w:tc>
        <w:tc>
          <w:tcPr>
            <w:tcW w:w="0" w:type="dxa"/>
            <w:vAlign w:val="bottom"/>
          </w:tcPr>
          <w:p>
            <w:pPr>
              <w:spacing w:after="0"/>
              <w:rPr>
                <w:sz w:val="1"/>
                <w:szCs w:val="1"/>
                <w:color w:val="auto"/>
              </w:rPr>
            </w:pPr>
          </w:p>
        </w:tc>
      </w:tr>
      <w:tr>
        <w:trPr>
          <w:trHeight w:val="264"/>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expense</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5,883</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6,374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6,340</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8,050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17,266</w:t>
            </w:r>
          </w:p>
        </w:tc>
        <w:tc>
          <w:tcPr>
            <w:tcW w:w="0" w:type="dxa"/>
            <w:vAlign w:val="bottom"/>
          </w:tcPr>
          <w:p>
            <w:pPr>
              <w:spacing w:after="0"/>
              <w:rPr>
                <w:sz w:val="1"/>
                <w:szCs w:val="1"/>
                <w:color w:val="auto"/>
              </w:rPr>
            </w:pPr>
          </w:p>
        </w:tc>
      </w:tr>
      <w:tr>
        <w:trPr>
          <w:trHeight w:val="256"/>
        </w:trPr>
        <w:tc>
          <w:tcPr>
            <w:tcW w:w="4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Total costs and expenses</w:t>
            </w:r>
          </w:p>
        </w:tc>
        <w:tc>
          <w:tcPr>
            <w:tcW w:w="2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568,036</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638,760</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601,830</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613,174</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768,965</w:t>
            </w:r>
          </w:p>
        </w:tc>
        <w:tc>
          <w:tcPr>
            <w:tcW w:w="0" w:type="dxa"/>
            <w:vAlign w:val="bottom"/>
          </w:tcPr>
          <w:p>
            <w:pPr>
              <w:spacing w:after="0"/>
              <w:rPr>
                <w:sz w:val="1"/>
                <w:szCs w:val="1"/>
                <w:color w:val="auto"/>
              </w:rPr>
            </w:pPr>
          </w:p>
        </w:tc>
      </w:tr>
      <w:tr>
        <w:trPr>
          <w:trHeight w:val="137"/>
        </w:trPr>
        <w:tc>
          <w:tcPr>
            <w:tcW w:w="4640" w:type="dxa"/>
            <w:vAlign w:val="bottom"/>
          </w:tcPr>
          <w:p>
            <w:pPr>
              <w:ind w:left="20"/>
              <w:spacing w:after="0" w:line="137" w:lineRule="exact"/>
              <w:rPr>
                <w:sz w:val="20"/>
                <w:szCs w:val="20"/>
                <w:color w:val="auto"/>
              </w:rPr>
            </w:pPr>
            <w:r>
              <w:rPr>
                <w:rFonts w:ascii="Arial" w:cs="Arial" w:eastAsia="Arial" w:hAnsi="Arial"/>
                <w:sz w:val="14"/>
                <w:szCs w:val="14"/>
                <w:color w:val="auto"/>
              </w:rPr>
              <w:t>Income (loss) before earnings from equity method investments and other</w:t>
            </w: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640" w:type="dxa"/>
            <w:vAlign w:val="bottom"/>
          </w:tcPr>
          <w:p>
            <w:pPr>
              <w:ind w:left="20"/>
              <w:spacing w:after="0"/>
              <w:rPr>
                <w:sz w:val="20"/>
                <w:szCs w:val="20"/>
                <w:color w:val="auto"/>
              </w:rPr>
            </w:pPr>
            <w:r>
              <w:rPr>
                <w:rFonts w:ascii="Arial" w:cs="Arial" w:eastAsia="Arial" w:hAnsi="Arial"/>
                <w:sz w:val="14"/>
                <w:szCs w:val="14"/>
                <w:color w:val="auto"/>
              </w:rPr>
              <w:t>items</w:t>
            </w:r>
          </w:p>
        </w:tc>
        <w:tc>
          <w:tcPr>
            <w:tcW w:w="2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(91,010)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(124,206)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(139,802)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(222,384)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(371,426)</w:t>
            </w:r>
          </w:p>
        </w:tc>
        <w:tc>
          <w:tcPr>
            <w:tcW w:w="0" w:type="dxa"/>
            <w:vAlign w:val="bottom"/>
          </w:tcPr>
          <w:p>
            <w:pPr>
              <w:spacing w:after="0"/>
              <w:rPr>
                <w:sz w:val="1"/>
                <w:szCs w:val="1"/>
                <w:color w:val="auto"/>
              </w:rPr>
            </w:pPr>
          </w:p>
        </w:tc>
      </w:tr>
      <w:tr>
        <w:trPr>
          <w:trHeight w:val="276"/>
        </w:trPr>
        <w:tc>
          <w:tcPr>
            <w:tcW w:w="4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Loss on early extinguishment of debt, net</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(1,619)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(25,369)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(33,190)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(37,816)</w:t>
            </w:r>
          </w:p>
        </w:tc>
        <w:tc>
          <w:tcPr>
            <w:tcW w:w="0" w:type="dxa"/>
            <w:vAlign w:val="bottom"/>
          </w:tcPr>
          <w:p>
            <w:pPr>
              <w:spacing w:after="0"/>
              <w:rPr>
                <w:sz w:val="1"/>
                <w:szCs w:val="1"/>
                <w:color w:val="auto"/>
              </w:rPr>
            </w:pPr>
          </w:p>
        </w:tc>
      </w:tr>
      <w:tr>
        <w:trPr>
          <w:trHeight w:val="264"/>
        </w:trPr>
        <w:tc>
          <w:tcPr>
            <w:tcW w:w="4640" w:type="dxa"/>
            <w:vAlign w:val="bottom"/>
          </w:tcPr>
          <w:p>
            <w:pPr>
              <w:ind w:left="160"/>
              <w:spacing w:after="0"/>
              <w:rPr>
                <w:sz w:val="20"/>
                <w:szCs w:val="20"/>
                <w:color w:val="auto"/>
              </w:rPr>
            </w:pPr>
            <w:r>
              <w:rPr>
                <w:rFonts w:ascii="Arial" w:cs="Arial" w:eastAsia="Arial" w:hAnsi="Arial"/>
                <w:sz w:val="14"/>
                <w:szCs w:val="14"/>
                <w:color w:val="auto"/>
              </w:rPr>
              <w:t>Earnings from equity method investments</w:t>
            </w:r>
          </w:p>
        </w:tc>
        <w:tc>
          <w:tcPr>
            <w:tcW w:w="28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77,349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32,153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94,905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41,520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103,009</w:t>
            </w:r>
          </w:p>
        </w:tc>
        <w:tc>
          <w:tcPr>
            <w:tcW w:w="0" w:type="dxa"/>
            <w:vAlign w:val="bottom"/>
          </w:tcPr>
          <w:p>
            <w:pPr>
              <w:spacing w:after="0"/>
              <w:rPr>
                <w:sz w:val="1"/>
                <w:szCs w:val="1"/>
                <w:color w:val="auto"/>
              </w:rPr>
            </w:pPr>
          </w:p>
        </w:tc>
      </w:tr>
      <w:tr>
        <w:trPr>
          <w:trHeight w:val="270"/>
        </w:trPr>
        <w:tc>
          <w:tcPr>
            <w:tcW w:w="4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Loss on transfer of interest to unconsolidated subsidiary</w:t>
            </w:r>
          </w:p>
        </w:tc>
        <w:tc>
          <w:tcPr>
            <w:tcW w:w="28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4640" w:type="dxa"/>
            <w:vAlign w:val="bottom"/>
          </w:tcPr>
          <w:p>
            <w:pPr>
              <w:ind w:left="20"/>
              <w:spacing w:after="0"/>
              <w:rPr>
                <w:sz w:val="20"/>
                <w:szCs w:val="20"/>
                <w:color w:val="auto"/>
              </w:rPr>
            </w:pPr>
            <w:r>
              <w:rPr>
                <w:rFonts w:ascii="Arial" w:cs="Arial" w:eastAsia="Arial" w:hAnsi="Arial"/>
                <w:sz w:val="14"/>
                <w:szCs w:val="14"/>
                <w:color w:val="auto"/>
              </w:rPr>
              <w:t>Income (loss) from continuing operations before income taxes</w:t>
            </w:r>
          </w:p>
        </w:tc>
        <w:tc>
          <w:tcPr>
            <w:tcW w:w="2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(15,280)</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(92,334)</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(70,266)</w:t>
            </w: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(221,427)</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(306,233)</w:t>
            </w:r>
          </w:p>
        </w:tc>
        <w:tc>
          <w:tcPr>
            <w:tcW w:w="0" w:type="dxa"/>
            <w:vAlign w:val="bottom"/>
          </w:tcPr>
          <w:p>
            <w:pPr>
              <w:spacing w:after="0"/>
              <w:rPr>
                <w:sz w:val="1"/>
                <w:szCs w:val="1"/>
                <w:color w:val="auto"/>
              </w:rPr>
            </w:pPr>
          </w:p>
        </w:tc>
      </w:tr>
      <w:tr>
        <w:trPr>
          <w:trHeight w:val="270"/>
        </w:trPr>
        <w:tc>
          <w:tcPr>
            <w:tcW w:w="4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Income tax benefit (expense)</w:t>
            </w: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10,166</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(7,639)</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(3,912)</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659</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(8,445)</w:t>
            </w:r>
          </w:p>
        </w:tc>
        <w:tc>
          <w:tcPr>
            <w:tcW w:w="0" w:type="dxa"/>
            <w:vAlign w:val="bottom"/>
          </w:tcPr>
          <w:p>
            <w:pPr>
              <w:spacing w:after="0"/>
              <w:rPr>
                <w:sz w:val="1"/>
                <w:szCs w:val="1"/>
                <w:color w:val="auto"/>
              </w:rPr>
            </w:pPr>
          </w:p>
        </w:tc>
      </w:tr>
      <w:tr>
        <w:trPr>
          <w:trHeight w:val="250"/>
        </w:trPr>
        <w:tc>
          <w:tcPr>
            <w:tcW w:w="4640" w:type="dxa"/>
            <w:vAlign w:val="bottom"/>
          </w:tcPr>
          <w:p>
            <w:pPr>
              <w:ind w:left="20"/>
              <w:spacing w:after="0"/>
              <w:rPr>
                <w:sz w:val="20"/>
                <w:szCs w:val="20"/>
                <w:color w:val="auto"/>
              </w:rPr>
            </w:pPr>
            <w:r>
              <w:rPr>
                <w:rFonts w:ascii="Arial" w:cs="Arial" w:eastAsia="Arial" w:hAnsi="Arial"/>
                <w:sz w:val="14"/>
                <w:szCs w:val="14"/>
                <w:color w:val="auto"/>
              </w:rPr>
              <w:t>Income (loss) from continuing operations</w:t>
            </w:r>
          </w:p>
        </w:tc>
        <w:tc>
          <w:tcPr>
            <w:tcW w:w="280" w:type="dxa"/>
            <w:vAlign w:val="bottom"/>
          </w:tcPr>
          <w:p>
            <w:pPr>
              <w:spacing w:after="0"/>
              <w:rPr>
                <w:sz w:val="21"/>
                <w:szCs w:val="21"/>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(5,114)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(99,973)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(74,178)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(220,768)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(314,678)</w:t>
            </w:r>
          </w:p>
        </w:tc>
        <w:tc>
          <w:tcPr>
            <w:tcW w:w="0" w:type="dxa"/>
            <w:vAlign w:val="bottom"/>
          </w:tcPr>
          <w:p>
            <w:pPr>
              <w:spacing w:after="0"/>
              <w:rPr>
                <w:sz w:val="1"/>
                <w:szCs w:val="1"/>
                <w:color w:val="auto"/>
              </w:rPr>
            </w:pPr>
          </w:p>
        </w:tc>
      </w:tr>
      <w:tr>
        <w:trPr>
          <w:trHeight w:val="276"/>
        </w:trPr>
        <w:tc>
          <w:tcPr>
            <w:tcW w:w="4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Income (loss) from discontinued operations</w:t>
            </w:r>
          </w:p>
        </w:tc>
        <w:tc>
          <w:tcPr>
            <w:tcW w:w="28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(17,481)</w:t>
            </w:r>
          </w:p>
        </w:tc>
        <w:tc>
          <w:tcPr>
            <w:tcW w:w="0" w:type="dxa"/>
            <w:vAlign w:val="bottom"/>
          </w:tcPr>
          <w:p>
            <w:pPr>
              <w:spacing w:after="0"/>
              <w:rPr>
                <w:sz w:val="1"/>
                <w:szCs w:val="1"/>
                <w:color w:val="auto"/>
              </w:rPr>
            </w:pPr>
          </w:p>
        </w:tc>
      </w:tr>
      <w:tr>
        <w:trPr>
          <w:trHeight w:val="264"/>
        </w:trPr>
        <w:tc>
          <w:tcPr>
            <w:tcW w:w="4640" w:type="dxa"/>
            <w:vAlign w:val="bottom"/>
          </w:tcPr>
          <w:p>
            <w:pPr>
              <w:ind w:left="160"/>
              <w:spacing w:after="0"/>
              <w:rPr>
                <w:sz w:val="20"/>
                <w:szCs w:val="20"/>
                <w:color w:val="auto"/>
              </w:rPr>
            </w:pPr>
            <w:r>
              <w:rPr>
                <w:rFonts w:ascii="Arial" w:cs="Arial" w:eastAsia="Arial" w:hAnsi="Arial"/>
                <w:sz w:val="14"/>
                <w:szCs w:val="14"/>
                <w:color w:val="auto"/>
              </w:rPr>
              <w:t>Gain from discontinued operations</w:t>
            </w:r>
          </w:p>
        </w:tc>
        <w:tc>
          <w:tcPr>
            <w:tcW w:w="280" w:type="dxa"/>
            <w:vAlign w:val="bottom"/>
          </w:tcPr>
          <w:p>
            <w:pPr>
              <w:spacing w:after="0"/>
              <w:rPr>
                <w:sz w:val="22"/>
                <w:szCs w:val="2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22,233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27,257</w:t>
            </w:r>
          </w:p>
        </w:tc>
        <w:tc>
          <w:tcPr>
            <w:tcW w:w="0" w:type="dxa"/>
            <w:vAlign w:val="bottom"/>
          </w:tcPr>
          <w:p>
            <w:pPr>
              <w:spacing w:after="0"/>
              <w:rPr>
                <w:sz w:val="1"/>
                <w:szCs w:val="1"/>
                <w:color w:val="auto"/>
              </w:rPr>
            </w:pPr>
          </w:p>
        </w:tc>
      </w:tr>
      <w:tr>
        <w:trPr>
          <w:trHeight w:val="270"/>
        </w:trPr>
        <w:tc>
          <w:tcPr>
            <w:tcW w:w="4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Income from sales of real estate</w:t>
            </w: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105,296</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93,816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89,943</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86,658</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63,472</w:t>
            </w:r>
          </w:p>
        </w:tc>
        <w:tc>
          <w:tcPr>
            <w:tcW w:w="0" w:type="dxa"/>
            <w:vAlign w:val="bottom"/>
          </w:tcPr>
          <w:p>
            <w:pPr>
              <w:spacing w:after="0"/>
              <w:rPr>
                <w:sz w:val="1"/>
                <w:szCs w:val="1"/>
                <w:color w:val="auto"/>
              </w:rPr>
            </w:pPr>
          </w:p>
        </w:tc>
      </w:tr>
      <w:tr>
        <w:trPr>
          <w:trHeight w:val="250"/>
        </w:trPr>
        <w:tc>
          <w:tcPr>
            <w:tcW w:w="46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280" w:type="dxa"/>
            <w:vAlign w:val="bottom"/>
          </w:tcPr>
          <w:p>
            <w:pPr>
              <w:spacing w:after="0"/>
              <w:rPr>
                <w:sz w:val="21"/>
                <w:szCs w:val="21"/>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100,182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(6,157)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15,765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(111,233)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(241,430)</w:t>
            </w:r>
          </w:p>
        </w:tc>
        <w:tc>
          <w:tcPr>
            <w:tcW w:w="0" w:type="dxa"/>
            <w:vAlign w:val="bottom"/>
          </w:tcPr>
          <w:p>
            <w:pPr>
              <w:spacing w:after="0"/>
              <w:rPr>
                <w:sz w:val="1"/>
                <w:szCs w:val="1"/>
                <w:color w:val="auto"/>
              </w:rPr>
            </w:pPr>
          </w:p>
        </w:tc>
      </w:tr>
      <w:tr>
        <w:trPr>
          <w:trHeight w:val="270"/>
        </w:trPr>
        <w:tc>
          <w:tcPr>
            <w:tcW w:w="4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(income) loss attributable to noncontrolling interests</w:t>
            </w: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(4,876)</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3,722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704</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(718)</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250"/>
        </w:trPr>
        <w:tc>
          <w:tcPr>
            <w:tcW w:w="4640" w:type="dxa"/>
            <w:vAlign w:val="bottom"/>
          </w:tcPr>
          <w:p>
            <w:pPr>
              <w:ind w:left="20"/>
              <w:spacing w:after="0"/>
              <w:rPr>
                <w:sz w:val="20"/>
                <w:szCs w:val="20"/>
                <w:color w:val="auto"/>
              </w:rPr>
            </w:pPr>
            <w:r>
              <w:rPr>
                <w:rFonts w:ascii="Arial" w:cs="Arial" w:eastAsia="Arial" w:hAnsi="Arial"/>
                <w:sz w:val="14"/>
                <w:szCs w:val="14"/>
                <w:color w:val="auto"/>
              </w:rPr>
              <w:t>Net income (loss) attributable to iStar Inc.</w:t>
            </w:r>
          </w:p>
        </w:tc>
        <w:tc>
          <w:tcPr>
            <w:tcW w:w="280" w:type="dxa"/>
            <w:vAlign w:val="bottom"/>
          </w:tcPr>
          <w:p>
            <w:pPr>
              <w:spacing w:after="0"/>
              <w:rPr>
                <w:sz w:val="21"/>
                <w:szCs w:val="21"/>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95,306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(2,435)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16,469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(111,951)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(239,930)</w:t>
            </w:r>
          </w:p>
        </w:tc>
        <w:tc>
          <w:tcPr>
            <w:tcW w:w="0" w:type="dxa"/>
            <w:vAlign w:val="bottom"/>
          </w:tcPr>
          <w:p>
            <w:pPr>
              <w:spacing w:after="0"/>
              <w:rPr>
                <w:sz w:val="1"/>
                <w:szCs w:val="1"/>
                <w:color w:val="auto"/>
              </w:rPr>
            </w:pPr>
          </w:p>
        </w:tc>
      </w:tr>
      <w:tr>
        <w:trPr>
          <w:trHeight w:val="276"/>
        </w:trPr>
        <w:tc>
          <w:tcPr>
            <w:tcW w:w="4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Preferred dividends</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(51,320)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(51,320)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(51,320)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(49,020)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(42,320)</w:t>
            </w:r>
          </w:p>
        </w:tc>
        <w:tc>
          <w:tcPr>
            <w:tcW w:w="0" w:type="dxa"/>
            <w:vAlign w:val="bottom"/>
          </w:tcPr>
          <w:p>
            <w:pPr>
              <w:spacing w:after="0"/>
              <w:rPr>
                <w:sz w:val="1"/>
                <w:szCs w:val="1"/>
                <w:color w:val="auto"/>
              </w:rPr>
            </w:pPr>
          </w:p>
        </w:tc>
      </w:tr>
      <w:tr>
        <w:trPr>
          <w:trHeight w:val="157"/>
        </w:trPr>
        <w:tc>
          <w:tcPr>
            <w:tcW w:w="4640" w:type="dxa"/>
            <w:vAlign w:val="bottom"/>
          </w:tcPr>
          <w:p>
            <w:pPr>
              <w:ind w:left="160"/>
              <w:spacing w:after="0" w:line="157" w:lineRule="exact"/>
              <w:rPr>
                <w:sz w:val="20"/>
                <w:szCs w:val="20"/>
                <w:color w:val="auto"/>
              </w:rPr>
            </w:pPr>
            <w:r>
              <w:rPr>
                <w:rFonts w:ascii="Arial" w:cs="Arial" w:eastAsia="Arial" w:hAnsi="Arial"/>
                <w:sz w:val="14"/>
                <w:szCs w:val="14"/>
                <w:color w:val="auto"/>
              </w:rPr>
              <w:t>Net (income) loss allocable to HPU holders and Participating Security</w:t>
            </w: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6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holders</w:t>
            </w:r>
            <w:r>
              <w:rPr>
                <w:rFonts w:ascii="Arial" w:cs="Arial" w:eastAsia="Arial" w:hAnsi="Arial"/>
                <w:sz w:val="8"/>
                <w:szCs w:val="8"/>
                <w:color w:val="auto"/>
              </w:rPr>
              <w:t>(1)</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1,080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1,129</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5,202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9,253</w:t>
            </w:r>
          </w:p>
        </w:tc>
        <w:tc>
          <w:tcPr>
            <w:tcW w:w="0" w:type="dxa"/>
            <w:vAlign w:val="bottom"/>
          </w:tcPr>
          <w:p>
            <w:pPr>
              <w:spacing w:after="0"/>
              <w:rPr>
                <w:sz w:val="1"/>
                <w:szCs w:val="1"/>
                <w:color w:val="auto"/>
              </w:rPr>
            </w:pPr>
          </w:p>
        </w:tc>
      </w:tr>
      <w:tr>
        <w:trPr>
          <w:trHeight w:val="243"/>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 allocable to common shareholders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43,972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(52,675)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(33,722)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(155,769)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(272,997)</w:t>
            </w:r>
          </w:p>
        </w:tc>
        <w:tc>
          <w:tcPr>
            <w:tcW w:w="0" w:type="dxa"/>
            <w:vAlign w:val="bottom"/>
          </w:tcPr>
          <w:p>
            <w:pPr>
              <w:spacing w:after="0"/>
              <w:rPr>
                <w:sz w:val="1"/>
                <w:szCs w:val="1"/>
                <w:color w:val="auto"/>
              </w:rPr>
            </w:pPr>
          </w:p>
        </w:tc>
      </w:tr>
      <w:tr>
        <w:trPr>
          <w:trHeight w:val="20"/>
        </w:trPr>
        <w:tc>
          <w:tcPr>
            <w:tcW w:w="4640" w:type="dxa"/>
            <w:vAlign w:val="bottom"/>
            <w:vMerge w:val="restart"/>
          </w:tcPr>
          <w:p>
            <w:pPr>
              <w:ind w:left="20"/>
              <w:spacing w:after="0"/>
              <w:rPr>
                <w:sz w:val="20"/>
                <w:szCs w:val="20"/>
                <w:color w:val="auto"/>
              </w:rPr>
            </w:pPr>
            <w:r>
              <w:rPr>
                <w:rFonts w:ascii="Arial" w:cs="Arial" w:eastAsia="Arial" w:hAnsi="Arial"/>
                <w:sz w:val="14"/>
                <w:szCs w:val="14"/>
                <w:color w:val="auto"/>
              </w:rPr>
              <w:t>Per common share data</w:t>
            </w:r>
            <w:r>
              <w:rPr>
                <w:rFonts w:ascii="Arial" w:cs="Arial" w:eastAsia="Arial" w:hAnsi="Arial"/>
                <w:sz w:val="8"/>
                <w:szCs w:val="8"/>
                <w:color w:val="auto"/>
              </w:rPr>
              <w:t>(2)</w:t>
            </w:r>
            <w:r>
              <w:rPr>
                <w:rFonts w:ascii="Arial" w:cs="Arial" w:eastAsia="Arial" w:hAnsi="Arial"/>
                <w:sz w:val="14"/>
                <w:szCs w:val="14"/>
                <w:color w:val="auto"/>
              </w:rPr>
              <w:t>:</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6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4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Income (loss) attributable to iStar Inc. from continuing operations:</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640" w:type="dxa"/>
            <w:vAlign w:val="bottom"/>
          </w:tcPr>
          <w:p>
            <w:pPr>
              <w:ind w:left="260"/>
              <w:spacing w:after="0"/>
              <w:rPr>
                <w:sz w:val="20"/>
                <w:szCs w:val="20"/>
                <w:color w:val="auto"/>
              </w:rPr>
            </w:pPr>
            <w:r>
              <w:rPr>
                <w:rFonts w:ascii="Arial" w:cs="Arial" w:eastAsia="Arial" w:hAnsi="Arial"/>
                <w:sz w:val="14"/>
                <w:szCs w:val="14"/>
                <w:color w:val="auto"/>
              </w:rPr>
              <w:t>Basic</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0.60</w:t>
            </w:r>
          </w:p>
        </w:tc>
        <w:tc>
          <w:tcPr>
            <w:tcW w:w="120" w:type="dxa"/>
            <w:vAlign w:val="bottom"/>
          </w:tcPr>
          <w:p>
            <w:pPr>
              <w:spacing w:after="0"/>
              <w:rPr>
                <w:sz w:val="22"/>
                <w:szCs w:val="22"/>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(0.62)</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(0.40)</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22"/>
                <w:szCs w:val="22"/>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276"/>
        </w:trPr>
        <w:tc>
          <w:tcPr>
            <w:tcW w:w="4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Diluted</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0.55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(0.62)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(0.40)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264"/>
        </w:trPr>
        <w:tc>
          <w:tcPr>
            <w:tcW w:w="4640" w:type="dxa"/>
            <w:vAlign w:val="bottom"/>
          </w:tcPr>
          <w:p>
            <w:pPr>
              <w:ind w:left="160"/>
              <w:spacing w:after="0"/>
              <w:rPr>
                <w:sz w:val="20"/>
                <w:szCs w:val="20"/>
                <w:color w:val="auto"/>
              </w:rPr>
            </w:pPr>
            <w:r>
              <w:rPr>
                <w:rFonts w:ascii="Arial" w:cs="Arial" w:eastAsia="Arial" w:hAnsi="Arial"/>
                <w:sz w:val="14"/>
                <w:szCs w:val="14"/>
                <w:color w:val="auto"/>
              </w:rPr>
              <w:t>Net income (loss) attributable to iStar Inc.:</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Basic</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0.60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(0.62)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(0.40)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264"/>
        </w:trPr>
        <w:tc>
          <w:tcPr>
            <w:tcW w:w="4640" w:type="dxa"/>
            <w:vAlign w:val="bottom"/>
          </w:tcPr>
          <w:p>
            <w:pPr>
              <w:ind w:left="260"/>
              <w:spacing w:after="0"/>
              <w:rPr>
                <w:sz w:val="20"/>
                <w:szCs w:val="20"/>
                <w:color w:val="auto"/>
              </w:rPr>
            </w:pPr>
            <w:r>
              <w:rPr>
                <w:rFonts w:ascii="Arial" w:cs="Arial" w:eastAsia="Arial" w:hAnsi="Arial"/>
                <w:sz w:val="14"/>
                <w:szCs w:val="14"/>
                <w:color w:val="auto"/>
              </w:rPr>
              <w:t>Diluted</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0.55</w:t>
            </w:r>
          </w:p>
        </w:tc>
        <w:tc>
          <w:tcPr>
            <w:tcW w:w="120" w:type="dxa"/>
            <w:vAlign w:val="bottom"/>
          </w:tcPr>
          <w:p>
            <w:pPr>
              <w:spacing w:after="0"/>
              <w:rPr>
                <w:sz w:val="22"/>
                <w:szCs w:val="22"/>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(0.62)</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(0.40)</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22"/>
                <w:szCs w:val="22"/>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276"/>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per common share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1" w:right="23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161"/>
        </w:trPr>
        <w:tc>
          <w:tcPr>
            <w:tcW w:w="3740" w:type="dxa"/>
            <w:vAlign w:val="bottom"/>
            <w:gridSpan w:val="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2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jc w:val="center"/>
              <w:ind w:left="28"/>
              <w:spacing w:after="0"/>
              <w:rPr>
                <w:sz w:val="20"/>
                <w:szCs w:val="20"/>
                <w:color w:val="auto"/>
              </w:rPr>
            </w:pPr>
            <w:r>
              <w:rPr>
                <w:rFonts w:ascii="Arial" w:cs="Arial" w:eastAsia="Arial" w:hAnsi="Arial"/>
                <w:sz w:val="14"/>
                <w:szCs w:val="14"/>
                <w:b w:val="1"/>
                <w:bCs w:val="1"/>
                <w:color w:val="auto"/>
                <w:w w:val="92"/>
              </w:rPr>
              <w:t>For the Years Ended December 31,</w:t>
            </w:r>
          </w:p>
        </w:tc>
        <w:tc>
          <w:tcPr>
            <w:tcW w:w="10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64"/>
        </w:trPr>
        <w:tc>
          <w:tcPr>
            <w:tcW w:w="102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w w:val="89"/>
              </w:rPr>
              <w:t>2014</w:t>
            </w:r>
          </w:p>
        </w:tc>
        <w:tc>
          <w:tcPr>
            <w:tcW w:w="3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r>
      <w:tr>
        <w:trPr>
          <w:trHeight w:val="250"/>
        </w:trPr>
        <w:tc>
          <w:tcPr>
            <w:tcW w:w="102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100" w:type="dxa"/>
            <w:vAlign w:val="bottom"/>
            <w:gridSpan w:val="7"/>
          </w:tcPr>
          <w:p>
            <w:pPr>
              <w:jc w:val="center"/>
              <w:ind w:right="8"/>
              <w:spacing w:after="0"/>
              <w:rPr>
                <w:sz w:val="20"/>
                <w:szCs w:val="20"/>
                <w:color w:val="auto"/>
              </w:rPr>
            </w:pPr>
            <w:r>
              <w:rPr>
                <w:rFonts w:ascii="Arial" w:cs="Arial" w:eastAsia="Arial" w:hAnsi="Arial"/>
                <w:sz w:val="14"/>
                <w:szCs w:val="14"/>
                <w:b w:val="1"/>
                <w:bCs w:val="1"/>
                <w:color w:val="auto"/>
                <w:w w:val="92"/>
              </w:rPr>
              <w:t>(In thousands, except per share data and ratios)</w:t>
            </w: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6"/>
        </w:trPr>
        <w:tc>
          <w:tcPr>
            <w:tcW w:w="37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SUPPLEMENTAL DATA:</w:t>
            </w:r>
          </w:p>
        </w:tc>
        <w:tc>
          <w:tcPr>
            <w:tcW w:w="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64"/>
        </w:trPr>
        <w:tc>
          <w:tcPr>
            <w:tcW w:w="3740" w:type="dxa"/>
            <w:vAlign w:val="bottom"/>
            <w:gridSpan w:val="2"/>
          </w:tcPr>
          <w:p>
            <w:pPr>
              <w:ind w:left="40"/>
              <w:spacing w:after="0"/>
              <w:rPr>
                <w:sz w:val="20"/>
                <w:szCs w:val="20"/>
                <w:color w:val="auto"/>
              </w:rPr>
            </w:pPr>
            <w:r>
              <w:rPr>
                <w:rFonts w:ascii="Arial" w:cs="Arial" w:eastAsia="Arial" w:hAnsi="Arial"/>
                <w:sz w:val="14"/>
                <w:szCs w:val="14"/>
                <w:color w:val="auto"/>
              </w:rPr>
              <w:t>Ratio of earnings to fixed charges</w:t>
            </w:r>
            <w:r>
              <w:rPr>
                <w:rFonts w:ascii="Arial" w:cs="Arial" w:eastAsia="Arial" w:hAnsi="Arial"/>
                <w:sz w:val="8"/>
                <w:szCs w:val="8"/>
                <w:color w:val="auto"/>
              </w:rPr>
              <w:t>(3)</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276"/>
        </w:trPr>
        <w:tc>
          <w:tcPr>
            <w:tcW w:w="3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9"/>
              </w:rPr>
              <w:t>Ratio of earnings to fixed charges and preferred dividends</w:t>
            </w:r>
            <w:r>
              <w:rPr>
                <w:rFonts w:ascii="Arial" w:cs="Arial" w:eastAsia="Arial" w:hAnsi="Arial"/>
                <w:sz w:val="8"/>
                <w:szCs w:val="8"/>
                <w:color w:val="auto"/>
                <w:w w:val="99"/>
              </w:rPr>
              <w:t>(3)</w:t>
            </w:r>
          </w:p>
        </w:tc>
        <w:tc>
          <w:tcPr>
            <w:tcW w:w="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r>
      <w:tr>
        <w:trPr>
          <w:trHeight w:val="264"/>
        </w:trPr>
        <w:tc>
          <w:tcPr>
            <w:tcW w:w="3740" w:type="dxa"/>
            <w:vAlign w:val="bottom"/>
            <w:gridSpan w:val="2"/>
          </w:tcPr>
          <w:p>
            <w:pPr>
              <w:ind w:left="40"/>
              <w:spacing w:after="0"/>
              <w:rPr>
                <w:sz w:val="20"/>
                <w:szCs w:val="20"/>
                <w:color w:val="auto"/>
              </w:rPr>
            </w:pPr>
            <w:r>
              <w:rPr>
                <w:rFonts w:ascii="Arial" w:cs="Arial" w:eastAsia="Arial" w:hAnsi="Arial"/>
                <w:sz w:val="14"/>
                <w:szCs w:val="14"/>
                <w:color w:val="auto"/>
              </w:rPr>
              <w:t>Weighted average common shares outstanding—basic</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gridSpan w:val="2"/>
          </w:tcPr>
          <w:p>
            <w:pPr>
              <w:jc w:val="right"/>
              <w:ind w:right="88"/>
              <w:spacing w:after="0"/>
              <w:rPr>
                <w:sz w:val="20"/>
                <w:szCs w:val="20"/>
                <w:color w:val="auto"/>
              </w:rPr>
            </w:pPr>
            <w:r>
              <w:rPr>
                <w:rFonts w:ascii="Arial" w:cs="Arial" w:eastAsia="Arial" w:hAnsi="Arial"/>
                <w:sz w:val="14"/>
                <w:szCs w:val="14"/>
                <w:color w:val="auto"/>
              </w:rPr>
              <w:t>73,453</w:t>
            </w:r>
          </w:p>
        </w:tc>
        <w:tc>
          <w:tcPr>
            <w:tcW w:w="200" w:type="dxa"/>
            <w:vAlign w:val="bottom"/>
          </w:tcPr>
          <w:p>
            <w:pPr>
              <w:spacing w:after="0"/>
              <w:rPr>
                <w:sz w:val="22"/>
                <w:szCs w:val="22"/>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84,987</w:t>
            </w:r>
          </w:p>
        </w:tc>
        <w:tc>
          <w:tcPr>
            <w:tcW w:w="320" w:type="dxa"/>
            <w:vAlign w:val="bottom"/>
          </w:tcPr>
          <w:p>
            <w:pPr>
              <w:spacing w:after="0"/>
              <w:rPr>
                <w:sz w:val="22"/>
                <w:szCs w:val="22"/>
                <w:color w:val="auto"/>
              </w:rPr>
            </w:pPr>
          </w:p>
        </w:tc>
        <w:tc>
          <w:tcPr>
            <w:tcW w:w="1240" w:type="dxa"/>
            <w:vAlign w:val="bottom"/>
            <w:gridSpan w:val="2"/>
          </w:tcPr>
          <w:p>
            <w:pPr>
              <w:jc w:val="right"/>
              <w:ind w:right="88"/>
              <w:spacing w:after="0"/>
              <w:rPr>
                <w:sz w:val="20"/>
                <w:szCs w:val="20"/>
                <w:color w:val="auto"/>
              </w:rPr>
            </w:pPr>
            <w:r>
              <w:rPr>
                <w:rFonts w:ascii="Arial" w:cs="Arial" w:eastAsia="Arial" w:hAnsi="Arial"/>
                <w:sz w:val="14"/>
                <w:szCs w:val="14"/>
                <w:color w:val="auto"/>
              </w:rPr>
              <w:t>85,031</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84,990</w:t>
            </w:r>
          </w:p>
        </w:tc>
        <w:tc>
          <w:tcPr>
            <w:tcW w:w="4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83,742</w:t>
            </w:r>
          </w:p>
        </w:tc>
        <w:tc>
          <w:tcPr>
            <w:tcW w:w="100" w:type="dxa"/>
            <w:vAlign w:val="bottom"/>
          </w:tcPr>
          <w:p>
            <w:pPr>
              <w:spacing w:after="0"/>
              <w:rPr>
                <w:sz w:val="22"/>
                <w:szCs w:val="22"/>
                <w:color w:val="auto"/>
              </w:rPr>
            </w:pPr>
          </w:p>
        </w:tc>
      </w:tr>
      <w:tr>
        <w:trPr>
          <w:trHeight w:val="276"/>
        </w:trPr>
        <w:tc>
          <w:tcPr>
            <w:tcW w:w="3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Weighted average common shares outstanding—diluted</w:t>
            </w:r>
          </w:p>
        </w:tc>
        <w:tc>
          <w:tcPr>
            <w:tcW w:w="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98,467</w:t>
            </w:r>
          </w:p>
        </w:tc>
        <w:tc>
          <w:tcPr>
            <w:tcW w:w="2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84,987</w:t>
            </w:r>
          </w:p>
        </w:tc>
        <w:tc>
          <w:tcPr>
            <w:tcW w:w="3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85,031</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84,990</w:t>
            </w: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83,742</w:t>
            </w:r>
          </w:p>
        </w:tc>
        <w:tc>
          <w:tcPr>
            <w:tcW w:w="100" w:type="dxa"/>
            <w:vAlign w:val="bottom"/>
            <w:shd w:val="clear" w:color="auto" w:fill="CCEEFF"/>
          </w:tcPr>
          <w:p>
            <w:pPr>
              <w:spacing w:after="0"/>
              <w:rPr>
                <w:sz w:val="24"/>
                <w:szCs w:val="24"/>
                <w:color w:val="auto"/>
              </w:rPr>
            </w:pPr>
          </w:p>
        </w:tc>
      </w:tr>
      <w:tr>
        <w:trPr>
          <w:trHeight w:val="264"/>
        </w:trPr>
        <w:tc>
          <w:tcPr>
            <w:tcW w:w="3740" w:type="dxa"/>
            <w:vAlign w:val="bottom"/>
            <w:gridSpan w:val="2"/>
          </w:tcPr>
          <w:p>
            <w:pPr>
              <w:ind w:left="40"/>
              <w:spacing w:after="0"/>
              <w:rPr>
                <w:sz w:val="20"/>
                <w:szCs w:val="20"/>
                <w:color w:val="auto"/>
              </w:rPr>
            </w:pPr>
            <w:r>
              <w:rPr>
                <w:rFonts w:ascii="Arial" w:cs="Arial" w:eastAsia="Arial" w:hAnsi="Arial"/>
                <w:sz w:val="14"/>
                <w:szCs w:val="14"/>
                <w:color w:val="auto"/>
              </w:rPr>
              <w:t>Cash flows (used in) from:</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6"/>
        </w:trPr>
        <w:tc>
          <w:tcPr>
            <w:tcW w:w="37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Operating activities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20,004</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(59,947)</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(10,342)</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(180,465)</w:t>
            </w:r>
          </w:p>
        </w:tc>
        <w:tc>
          <w:tcPr>
            <w:tcW w:w="4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(191,932)</w:t>
            </w:r>
          </w:p>
        </w:tc>
      </w:tr>
      <w:tr>
        <w:trPr>
          <w:trHeight w:val="264"/>
        </w:trPr>
        <w:tc>
          <w:tcPr>
            <w:tcW w:w="3740" w:type="dxa"/>
            <w:vAlign w:val="bottom"/>
            <w:gridSpan w:val="2"/>
          </w:tcPr>
          <w:p>
            <w:pPr>
              <w:ind w:left="180"/>
              <w:spacing w:after="0"/>
              <w:rPr>
                <w:sz w:val="20"/>
                <w:szCs w:val="20"/>
                <w:color w:val="auto"/>
              </w:rPr>
            </w:pPr>
            <w:r>
              <w:rPr>
                <w:rFonts w:ascii="Arial" w:cs="Arial" w:eastAsia="Arial" w:hAnsi="Arial"/>
                <w:sz w:val="14"/>
                <w:szCs w:val="14"/>
                <w:color w:val="auto"/>
              </w:rPr>
              <w:t>Investing activities</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gridSpan w:val="2"/>
          </w:tcPr>
          <w:p>
            <w:pPr>
              <w:jc w:val="right"/>
              <w:ind w:right="88"/>
              <w:spacing w:after="0"/>
              <w:rPr>
                <w:sz w:val="20"/>
                <w:szCs w:val="20"/>
                <w:color w:val="auto"/>
              </w:rPr>
            </w:pPr>
            <w:r>
              <w:rPr>
                <w:rFonts w:ascii="Arial" w:cs="Arial" w:eastAsia="Arial" w:hAnsi="Arial"/>
                <w:sz w:val="14"/>
                <w:szCs w:val="14"/>
                <w:color w:val="auto"/>
              </w:rPr>
              <w:t>466,543</w:t>
            </w:r>
          </w:p>
        </w:tc>
        <w:tc>
          <w:tcPr>
            <w:tcW w:w="200" w:type="dxa"/>
            <w:vAlign w:val="bottom"/>
          </w:tcPr>
          <w:p>
            <w:pPr>
              <w:spacing w:after="0"/>
              <w:rPr>
                <w:sz w:val="22"/>
                <w:szCs w:val="22"/>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184,028</w:t>
            </w:r>
          </w:p>
        </w:tc>
        <w:tc>
          <w:tcPr>
            <w:tcW w:w="320" w:type="dxa"/>
            <w:vAlign w:val="bottom"/>
          </w:tcPr>
          <w:p>
            <w:pPr>
              <w:spacing w:after="0"/>
              <w:rPr>
                <w:sz w:val="22"/>
                <w:szCs w:val="22"/>
                <w:color w:val="auto"/>
              </w:rPr>
            </w:pPr>
          </w:p>
        </w:tc>
        <w:tc>
          <w:tcPr>
            <w:tcW w:w="1240" w:type="dxa"/>
            <w:vAlign w:val="bottom"/>
            <w:gridSpan w:val="2"/>
          </w:tcPr>
          <w:p>
            <w:pPr>
              <w:jc w:val="right"/>
              <w:ind w:right="88"/>
              <w:spacing w:after="0"/>
              <w:rPr>
                <w:sz w:val="20"/>
                <w:szCs w:val="20"/>
                <w:color w:val="auto"/>
              </w:rPr>
            </w:pPr>
            <w:r>
              <w:rPr>
                <w:rFonts w:ascii="Arial" w:cs="Arial" w:eastAsia="Arial" w:hAnsi="Arial"/>
                <w:sz w:val="14"/>
                <w:szCs w:val="14"/>
                <w:color w:val="auto"/>
              </w:rPr>
              <w:t>159,793</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893,447</w:t>
            </w:r>
          </w:p>
        </w:tc>
        <w:tc>
          <w:tcPr>
            <w:tcW w:w="4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1,267,047</w:t>
            </w:r>
          </w:p>
        </w:tc>
        <w:tc>
          <w:tcPr>
            <w:tcW w:w="100" w:type="dxa"/>
            <w:vAlign w:val="bottom"/>
          </w:tcPr>
          <w:p>
            <w:pPr>
              <w:spacing w:after="0"/>
              <w:rPr>
                <w:sz w:val="22"/>
                <w:szCs w:val="22"/>
                <w:color w:val="auto"/>
              </w:rPr>
            </w:pPr>
          </w:p>
        </w:tc>
      </w:tr>
      <w:tr>
        <w:trPr>
          <w:trHeight w:val="276"/>
        </w:trPr>
        <w:tc>
          <w:tcPr>
            <w:tcW w:w="37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Financing activities</w:t>
            </w:r>
          </w:p>
        </w:tc>
        <w:tc>
          <w:tcPr>
            <w:tcW w:w="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(868,911)</w:t>
            </w:r>
          </w:p>
        </w:tc>
        <w:tc>
          <w:tcPr>
            <w:tcW w:w="2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114,481</w:t>
            </w:r>
          </w:p>
        </w:tc>
        <w:tc>
          <w:tcPr>
            <w:tcW w:w="3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(190,958)</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(455,758)</w:t>
            </w:r>
          </w:p>
        </w:tc>
        <w:tc>
          <w:tcPr>
            <w:tcW w:w="4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(1,175,597)</w:t>
            </w:r>
          </w:p>
        </w:tc>
      </w:tr>
      <w:tr>
        <w:trPr>
          <w:trHeight w:val="561"/>
        </w:trPr>
        <w:tc>
          <w:tcPr>
            <w:tcW w:w="10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As of December 31,</w:t>
            </w: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64"/>
        </w:trPr>
        <w:tc>
          <w:tcPr>
            <w:tcW w:w="102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w w:val="96"/>
              </w:rPr>
              <w:t>2016</w:t>
            </w:r>
          </w:p>
        </w:tc>
        <w:tc>
          <w:tcPr>
            <w:tcW w:w="4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w w:val="96"/>
              </w:rPr>
              <w:t>2015</w:t>
            </w:r>
          </w:p>
        </w:tc>
        <w:tc>
          <w:tcPr>
            <w:tcW w:w="3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w w:val="89"/>
              </w:rPr>
              <w:t>2013</w:t>
            </w: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r>
      <w:tr>
        <w:trPr>
          <w:trHeight w:val="250"/>
        </w:trPr>
        <w:tc>
          <w:tcPr>
            <w:tcW w:w="102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6"/>
        </w:trPr>
        <w:tc>
          <w:tcPr>
            <w:tcW w:w="37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BALANCE SHEET DATA:</w:t>
            </w:r>
          </w:p>
        </w:tc>
        <w:tc>
          <w:tcPr>
            <w:tcW w:w="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tcPr>
          <w:p>
            <w:pPr>
              <w:spacing w:after="0"/>
              <w:rPr>
                <w:sz w:val="24"/>
                <w:szCs w:val="24"/>
                <w:color w:val="auto"/>
              </w:rPr>
            </w:pPr>
          </w:p>
        </w:tc>
      </w:tr>
      <w:tr>
        <w:trPr>
          <w:trHeight w:val="264"/>
        </w:trPr>
        <w:tc>
          <w:tcPr>
            <w:tcW w:w="3740" w:type="dxa"/>
            <w:vAlign w:val="bottom"/>
            <w:gridSpan w:val="2"/>
          </w:tcPr>
          <w:p>
            <w:pPr>
              <w:ind w:left="40"/>
              <w:spacing w:after="0"/>
              <w:rPr>
                <w:sz w:val="20"/>
                <w:szCs w:val="20"/>
                <w:color w:val="auto"/>
              </w:rPr>
            </w:pPr>
            <w:r>
              <w:rPr>
                <w:rFonts w:ascii="Arial" w:cs="Arial" w:eastAsia="Arial" w:hAnsi="Arial"/>
                <w:sz w:val="14"/>
                <w:szCs w:val="14"/>
                <w:color w:val="auto"/>
              </w:rPr>
              <w:t>Total real estate</w:t>
            </w:r>
            <w:r>
              <w:rPr>
                <w:rFonts w:ascii="Arial" w:cs="Arial" w:eastAsia="Arial" w:hAnsi="Arial"/>
                <w:sz w:val="8"/>
                <w:szCs w:val="8"/>
                <w:color w:val="auto"/>
              </w:rPr>
              <w:t>(4)</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1,575,516</w:t>
            </w:r>
          </w:p>
        </w:tc>
        <w:tc>
          <w:tcPr>
            <w:tcW w:w="4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1,731,257</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1,983,734</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2,224,664</w:t>
            </w: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2,409,864</w:t>
            </w:r>
          </w:p>
        </w:tc>
        <w:tc>
          <w:tcPr>
            <w:tcW w:w="100" w:type="dxa"/>
            <w:vAlign w:val="bottom"/>
          </w:tcPr>
          <w:p>
            <w:pPr>
              <w:spacing w:after="0"/>
              <w:rPr>
                <w:sz w:val="22"/>
                <w:szCs w:val="22"/>
                <w:color w:val="auto"/>
              </w:rPr>
            </w:pPr>
          </w:p>
        </w:tc>
      </w:tr>
      <w:tr>
        <w:trPr>
          <w:trHeight w:val="276"/>
        </w:trPr>
        <w:tc>
          <w:tcPr>
            <w:tcW w:w="3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Land and development, net</w:t>
            </w:r>
            <w:r>
              <w:rPr>
                <w:rFonts w:ascii="Arial" w:cs="Arial" w:eastAsia="Arial" w:hAnsi="Arial"/>
                <w:sz w:val="8"/>
                <w:szCs w:val="8"/>
                <w:color w:val="auto"/>
              </w:rPr>
              <w:t>(4)</w:t>
            </w:r>
          </w:p>
        </w:tc>
        <w:tc>
          <w:tcPr>
            <w:tcW w:w="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945,565</w:t>
            </w:r>
          </w:p>
        </w:tc>
        <w:tc>
          <w:tcPr>
            <w:tcW w:w="4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1,001,963</w:t>
            </w:r>
          </w:p>
        </w:tc>
        <w:tc>
          <w:tcPr>
            <w:tcW w:w="3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978,962</w:t>
            </w:r>
          </w:p>
        </w:tc>
        <w:tc>
          <w:tcPr>
            <w:tcW w:w="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932,034</w:t>
            </w: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965,100</w:t>
            </w:r>
          </w:p>
        </w:tc>
        <w:tc>
          <w:tcPr>
            <w:tcW w:w="100" w:type="dxa"/>
            <w:vAlign w:val="bottom"/>
          </w:tcPr>
          <w:p>
            <w:pPr>
              <w:spacing w:after="0"/>
              <w:rPr>
                <w:sz w:val="24"/>
                <w:szCs w:val="24"/>
                <w:color w:val="auto"/>
              </w:rPr>
            </w:pPr>
          </w:p>
        </w:tc>
      </w:tr>
      <w:tr>
        <w:trPr>
          <w:trHeight w:val="264"/>
        </w:trPr>
        <w:tc>
          <w:tcPr>
            <w:tcW w:w="3740" w:type="dxa"/>
            <w:vAlign w:val="bottom"/>
            <w:gridSpan w:val="2"/>
          </w:tcPr>
          <w:p>
            <w:pPr>
              <w:ind w:left="40"/>
              <w:spacing w:after="0"/>
              <w:rPr>
                <w:sz w:val="20"/>
                <w:szCs w:val="20"/>
                <w:color w:val="auto"/>
              </w:rPr>
            </w:pPr>
            <w:r>
              <w:rPr>
                <w:rFonts w:ascii="Arial" w:cs="Arial" w:eastAsia="Arial" w:hAnsi="Arial"/>
                <w:sz w:val="14"/>
                <w:szCs w:val="14"/>
                <w:color w:val="auto"/>
              </w:rPr>
              <w:t>Loans receivable and other lending investments, net</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1,450,439</w:t>
            </w: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1,601,985</w:t>
            </w: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1,377,843</w:t>
            </w: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1,370,109</w:t>
            </w:r>
          </w:p>
        </w:tc>
        <w:tc>
          <w:tcPr>
            <w:tcW w:w="40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1,829,985</w:t>
            </w:r>
          </w:p>
        </w:tc>
        <w:tc>
          <w:tcPr>
            <w:tcW w:w="100" w:type="dxa"/>
            <w:vAlign w:val="bottom"/>
          </w:tcPr>
          <w:p>
            <w:pPr>
              <w:spacing w:after="0"/>
              <w:rPr>
                <w:sz w:val="22"/>
                <w:szCs w:val="22"/>
                <w:color w:val="auto"/>
              </w:rPr>
            </w:pPr>
          </w:p>
        </w:tc>
      </w:tr>
      <w:tr>
        <w:trPr>
          <w:trHeight w:val="276"/>
        </w:trPr>
        <w:tc>
          <w:tcPr>
            <w:tcW w:w="3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4,825,514</w:t>
            </w:r>
          </w:p>
        </w:tc>
        <w:tc>
          <w:tcPr>
            <w:tcW w:w="4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5,597,792</w:t>
            </w:r>
          </w:p>
        </w:tc>
        <w:tc>
          <w:tcPr>
            <w:tcW w:w="3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5,426,483</w:t>
            </w:r>
          </w:p>
        </w:tc>
        <w:tc>
          <w:tcPr>
            <w:tcW w:w="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5,608,604</w:t>
            </w: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6,133,687</w:t>
            </w:r>
          </w:p>
        </w:tc>
        <w:tc>
          <w:tcPr>
            <w:tcW w:w="100" w:type="dxa"/>
            <w:vAlign w:val="bottom"/>
          </w:tcPr>
          <w:p>
            <w:pPr>
              <w:spacing w:after="0"/>
              <w:rPr>
                <w:sz w:val="24"/>
                <w:szCs w:val="24"/>
                <w:color w:val="auto"/>
              </w:rPr>
            </w:pPr>
          </w:p>
        </w:tc>
      </w:tr>
      <w:tr>
        <w:trPr>
          <w:trHeight w:val="258"/>
        </w:trPr>
        <w:tc>
          <w:tcPr>
            <w:tcW w:w="3740" w:type="dxa"/>
            <w:vAlign w:val="bottom"/>
            <w:gridSpan w:val="2"/>
          </w:tcPr>
          <w:p>
            <w:pPr>
              <w:ind w:left="40"/>
              <w:spacing w:after="0"/>
              <w:rPr>
                <w:sz w:val="20"/>
                <w:szCs w:val="20"/>
                <w:color w:val="auto"/>
              </w:rPr>
            </w:pPr>
            <w:r>
              <w:rPr>
                <w:rFonts w:ascii="Arial" w:cs="Arial" w:eastAsia="Arial" w:hAnsi="Arial"/>
                <w:sz w:val="14"/>
                <w:szCs w:val="14"/>
                <w:color w:val="auto"/>
              </w:rPr>
              <w:t>Debt obligations, net</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3,389,908</w:t>
            </w: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4,118,823</w:t>
            </w: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3,986,034</w:t>
            </w: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4,124,718</w:t>
            </w:r>
          </w:p>
        </w:tc>
        <w:tc>
          <w:tcPr>
            <w:tcW w:w="40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4,665,182</w:t>
            </w:r>
          </w:p>
        </w:tc>
        <w:tc>
          <w:tcPr>
            <w:tcW w:w="100" w:type="dxa"/>
            <w:vAlign w:val="bottom"/>
          </w:tcPr>
          <w:p>
            <w:pPr>
              <w:spacing w:after="0"/>
              <w:rPr>
                <w:sz w:val="22"/>
                <w:szCs w:val="22"/>
                <w:color w:val="auto"/>
              </w:rPr>
            </w:pPr>
          </w:p>
        </w:tc>
      </w:tr>
      <w:tr>
        <w:trPr>
          <w:trHeight w:val="270"/>
        </w:trPr>
        <w:tc>
          <w:tcPr>
            <w:tcW w:w="3740" w:type="dxa"/>
            <w:vAlign w:val="bottom"/>
            <w:gridSpan w:val="2"/>
          </w:tcPr>
          <w:p>
            <w:pPr>
              <w:ind w:left="40"/>
              <w:spacing w:after="0"/>
              <w:rPr>
                <w:sz w:val="20"/>
                <w:szCs w:val="20"/>
                <w:color w:val="auto"/>
              </w:rPr>
            </w:pPr>
            <w:r>
              <w:rPr>
                <w:rFonts w:ascii="Arial" w:cs="Arial" w:eastAsia="Arial" w:hAnsi="Arial"/>
                <w:sz w:val="14"/>
                <w:szCs w:val="14"/>
                <w:color w:val="auto"/>
              </w:rPr>
              <w:t>Total equity</w:t>
            </w: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1,059,684</w:t>
            </w: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1,101,330</w:t>
            </w: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1,248,348</w:t>
            </w: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1,301,465</w:t>
            </w:r>
          </w:p>
        </w:tc>
        <w:tc>
          <w:tcPr>
            <w:tcW w:w="40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1,313,154</w:t>
            </w:r>
          </w:p>
        </w:tc>
        <w:tc>
          <w:tcPr>
            <w:tcW w:w="1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4375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6" w:lineRule="exact"/>
        <w:rPr>
          <w:sz w:val="20"/>
          <w:szCs w:val="20"/>
          <w:color w:val="auto"/>
        </w:rPr>
      </w:pPr>
    </w:p>
    <w:p>
      <w:pPr>
        <w:jc w:val="both"/>
        <w:ind w:left="660" w:hanging="652"/>
        <w:spacing w:after="0" w:line="241"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All of the Company's outstanding HPUs were repurchased and retired on August 13, 2015 (see Item 8—"Financial Statements and Supplemental Data—Note 13). Participating Security holders are non-employee directors who hold unvested common stock equivalents and restricted stock awards granted under the Company's Long Term Incentive Plans that are eligible to participate in dividends (see Item 8—"Financial Statements and Supplemental Data—Note 14 and 15).</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See Item 8—"Financial Statements and Supplemental Data—Note 15."</w:t>
      </w:r>
    </w:p>
    <w:p>
      <w:pPr>
        <w:spacing w:after="0" w:line="1" w:lineRule="exact"/>
        <w:rPr>
          <w:rFonts w:ascii="Arial" w:cs="Arial" w:eastAsia="Arial" w:hAnsi="Arial"/>
          <w:sz w:val="14"/>
          <w:szCs w:val="14"/>
          <w:color w:val="auto"/>
        </w:rPr>
      </w:pPr>
    </w:p>
    <w:p>
      <w:pPr>
        <w:jc w:val="both"/>
        <w:ind w:left="660" w:hanging="652"/>
        <w:spacing w:after="0" w:line="241"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This ratio of earnings to fixed charges is calculated in accordance with SEC Regulation S-K Item 503. For the years ended December 31, 2016, 2015, 2014, 2013 and 2012, earnings were not sufficient to cover fixed charges by $49,706, $99,825, $89,948, $240,912 and $305,450, respectively, and earnings were not sufficient to cover fixed charges and preferred dividends by $101,026, $151,145, $141,268, $289,932 and $347,770, respectively. The Company's unsecured debt securities have a fixed charge coverage covenant which is calculated differently in accordance with the terms of the agreements governing such securities.</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Prior to December 31, 2015, land and development assets were recorded in total real estate. Prior year amounts have been reclassified to conform to the current period presentation.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4"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8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This discussion summarizes the significant factors affecting our consolidated operating results, financial condition and liquidity during the three-year period ended December 31, 2016. This discussion should be read in conjunction with our consolidated financial statements and related notes for the three-year period ended December 31, 2016 included elsewhere in this Annual Report on Form 10-K. These historical financial statements may not be indicative of our future performance. Certain prior year amounts have been reclassified in the Company's consolidated financial statements and the related notes to conform to the current period presentation.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27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We finance, invest in and develop real estate and real estate related projects as part of our fully-integrated investment platform. We have invested more than $35 billion over the past two decades and are structured as a REIT with a diversified portfolio focused on larger assets located in major metropolitan markets. Our primary business segments are real estate finance, net lease, operating properties and land and development.</w:t>
      </w:r>
    </w:p>
    <w:p>
      <w:pPr>
        <w:spacing w:after="0" w:line="22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real estate finance portfolio is comprised of senior and mezzanine real estate loans that may be either fixed-rate or variable-rate and are structured to meet the specific financing needs of borrowers. Our portfolio also includes preferred equity investments and senior and subordinated loans to business entities, particularly entities engaged in real estate or real estate related businesses, and may be either secured or unsecured. Our real estate finance portfolio includes whole loans, loan participations and debt securities.</w:t>
      </w:r>
    </w:p>
    <w:p>
      <w:pPr>
        <w:spacing w:after="0" w:line="10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Our net lease portfolio is primarily comprised of properties owned by us and leased to single creditworthy tenants where the properties are subject to long-term leases. Most of the leases provide for expenses at the facilities to be paid by the tenants on a triple net lease basis. The properties in this portfolio are diversified by property type and geographic location. In addition to net lease properties owned by us, we partnered with a sovereign wealth fund in 2014 to form a venture in which the partners would contribute equity to acquire and develop net lease assets.</w:t>
      </w:r>
    </w:p>
    <w:p>
      <w:pPr>
        <w:spacing w:after="0" w:line="13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operating properties portfolio is comprised of commercial and residential properties which represent a diverse pool of assets across a broad range of geographies and property types. We generally seek to reposition or redevelop our transitional properties with the objective of maximizing their value through the infusion of capital and/or intensive asset management efforts. The commercial properties within this portfolio include office, retail, hotel and other property types. The residential properties within this portfolio are generally luxury condominium projects located in major U.S. cities where our strategy is to sell individual units through retail distribution channels.</w:t>
      </w:r>
    </w:p>
    <w:p>
      <w:pPr>
        <w:spacing w:after="0" w:line="148"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Our land and development portfolio is primarily comprised of land entitled for master planned communities as well as waterfront and urban infill land parcels located throughout the United States. Master planned communities represent large-scale residential projects that we will entitle, plan and/or develop and may sell through retail channels to home builders or in bulk. Waterfront parcels are generally entitled for residential projects and urban infill parcels are generally entitled for mixed-use projects. We may develop these properties ourself or sell to or partner with commercial real estate developers.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22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2016 was a year of solid progress for iStar. We continued to invest in attractive investment opportunities in our real estate finance and net lease businesses while making significant progress in stabilizing and/or monetizing our commercial and residential operating properties. Our land portfolio continues to make significant progress with almost all of our land projects being re-entitled and sales and leasing efforts gaining momentum. Our investment activity has focused on new originations within our core business segments of real estate finance and net lease. In addition, we continue to make significant investments within our operating property and land and development portfolios in order to better position assets for sale and maximize value for our shareholders. Through strategic ventures, we have partnered with other providers of capital within our net lease segment and with developers with residential building expertise within our land and development segment. These partnerships have had a positive impact on our business, particularly in our land and development segment.</w:t>
      </w:r>
    </w:p>
    <w:p>
      <w:pPr>
        <w:spacing w:after="0" w:line="152"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We have continued to strengthen our balance sheet through our financing activities. Access to the capital markets has allowed us to extend our debt maturity profile and remain primarily an unsecured borrower. In 2016, we repaid $926.4 million of maturing unsecured notes and issued $275.0 million of unsecured notes. In addition, we entered into a $500.0 million senior secured credit facility and used the proceeds to repay other secured debt. As of December 31, 2016, we had $328.7 million of cash, which we expect to use primarily to fund future investment activities, pay down debt and for general corporate purposes. In addition, we have additional borrowing capacity of $420.0 million bringing total available liquidity to $748.7 million at year end.</w:t>
      </w:r>
    </w:p>
    <w:p>
      <w:pPr>
        <w:spacing w:after="0" w:line="15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During the year ended December 31, 2016, three of our four business segments, including real estate finance, net lease and operating properties, contributed positively to our earnings. We continue to work on repositioning or redeveloping our transitional operating properties and progressing on the entitlement and development of our land and development assets in order to maximize their value. We intend to continue these efforts, with the objective of increasing the contribution of these assets to our earnings in the future. For the year ended December 31, 2016, we recorded net income allocable to common shareholders of $44.0 million, compared to a net loss of $52.7 million during the prior year. Adjusted income allocable to common shareholders for the year ended December 31, 2016 was $112.6 million, compared to $29.7 million during the prior year (see "Adjusted Income" for a reconciliation of adjusted income to net income).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Overview</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2016, based on gross carrying values, our total investment portfolio has the following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152400</wp:posOffset>
            </wp:positionV>
            <wp:extent cx="3687445" cy="25901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87445" cy="259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firstLine="432"/>
        <w:spacing w:after="0" w:line="282" w:lineRule="auto"/>
        <w:rPr>
          <w:sz w:val="20"/>
          <w:szCs w:val="20"/>
          <w:color w:val="auto"/>
        </w:rPr>
      </w:pPr>
      <w:r>
        <w:rPr>
          <w:rFonts w:ascii="Arial" w:cs="Arial" w:eastAsia="Arial" w:hAnsi="Arial"/>
          <w:sz w:val="18"/>
          <w:szCs w:val="18"/>
          <w:color w:val="auto"/>
        </w:rPr>
        <w:t>As of December 31, 2016, based on gross carrying values, our total investment portfolio has the following property/collateral type and geographic characteristics ($ in thousands)</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Property Type</w:t>
      </w:r>
    </w:p>
    <w:p>
      <w:pPr>
        <w:spacing w:after="0" w:line="154"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Property/Collateral Types</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Real Estate</w:t>
            </w:r>
          </w:p>
        </w:tc>
        <w:tc>
          <w:tcPr>
            <w:tcW w:w="220" w:type="dxa"/>
            <w:vAlign w:val="bottom"/>
          </w:tcPr>
          <w:p>
            <w:pPr>
              <w:spacing w:after="0"/>
              <w:rPr>
                <w:sz w:val="14"/>
                <w:szCs w:val="14"/>
                <w:color w:val="auto"/>
              </w:rPr>
            </w:pPr>
          </w:p>
        </w:tc>
        <w:tc>
          <w:tcPr>
            <w:tcW w:w="1000" w:type="dxa"/>
            <w:vAlign w:val="bottom"/>
            <w:gridSpan w:val="2"/>
            <w:vMerge w:val="restart"/>
          </w:tcPr>
          <w:p>
            <w:pPr>
              <w:jc w:val="right"/>
              <w:ind w:right="230"/>
              <w:spacing w:after="0"/>
              <w:rPr>
                <w:sz w:val="20"/>
                <w:szCs w:val="20"/>
                <w:color w:val="auto"/>
              </w:rPr>
            </w:pPr>
            <w:r>
              <w:rPr>
                <w:rFonts w:ascii="Arial" w:cs="Arial" w:eastAsia="Arial" w:hAnsi="Arial"/>
                <w:sz w:val="14"/>
                <w:szCs w:val="14"/>
                <w:b w:val="1"/>
                <w:bCs w:val="1"/>
                <w:color w:val="auto"/>
                <w:w w:val="99"/>
              </w:rPr>
              <w:t>Net Lease</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Operating</w:t>
            </w:r>
          </w:p>
        </w:tc>
        <w:tc>
          <w:tcPr>
            <w:tcW w:w="1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Land &amp;</w:t>
            </w:r>
          </w:p>
        </w:tc>
        <w:tc>
          <w:tcPr>
            <w:tcW w:w="240" w:type="dxa"/>
            <w:vAlign w:val="bottom"/>
          </w:tcPr>
          <w:p>
            <w:pPr>
              <w:spacing w:after="0"/>
              <w:rPr>
                <w:sz w:val="14"/>
                <w:szCs w:val="14"/>
                <w:color w:val="auto"/>
              </w:rPr>
            </w:pPr>
          </w:p>
        </w:tc>
        <w:tc>
          <w:tcPr>
            <w:tcW w:w="96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4"/>
                <w:szCs w:val="14"/>
                <w:color w:val="auto"/>
              </w:rPr>
            </w:pPr>
          </w:p>
        </w:tc>
        <w:tc>
          <w:tcPr>
            <w:tcW w:w="1280" w:type="dxa"/>
            <w:vAlign w:val="bottom"/>
          </w:tcPr>
          <w:p>
            <w:pPr>
              <w:ind w:left="4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0"/>
              </w:rPr>
              <w:t>Finance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Properties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0"/>
              </w:rPr>
              <w:t>Development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Land and Development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1,036,855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1,036,855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Office / Industrial</w:t>
            </w:r>
          </w:p>
        </w:tc>
        <w:tc>
          <w:tcPr>
            <w:tcW w:w="18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168,213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771,541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122,484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1,062,238</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Hotel</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333,114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136,080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107,534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576,728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Entertainment / Leisure</w:t>
            </w:r>
          </w:p>
        </w:tc>
        <w:tc>
          <w:tcPr>
            <w:tcW w:w="1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490,200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490,200</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Condominium</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380,851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82,487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463,338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Mixed Use / Mixed Collateral</w:t>
            </w:r>
          </w:p>
        </w:tc>
        <w:tc>
          <w:tcPr>
            <w:tcW w:w="18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291,526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171,045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462,571</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Property Types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236,862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23,039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259,901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Retail</w:t>
            </w:r>
          </w:p>
        </w:tc>
        <w:tc>
          <w:tcPr>
            <w:tcW w:w="18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63,173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57,348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124,850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245,371</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Strategic Investments</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33,350</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57"/>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1,473,739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1,478,208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608,400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1,036,855</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4,630,552</w:t>
            </w: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4"/>
          </w:tcPr>
          <w:p>
            <w:pPr>
              <w:spacing w:after="0"/>
              <w:rPr>
                <w:sz w:val="20"/>
                <w:szCs w:val="20"/>
                <w:color w:val="auto"/>
              </w:rPr>
            </w:pPr>
            <w:r>
              <w:rPr>
                <w:rFonts w:ascii="Arial" w:cs="Arial" w:eastAsia="Arial" w:hAnsi="Arial"/>
                <w:sz w:val="18"/>
                <w:szCs w:val="18"/>
                <w:b w:val="1"/>
                <w:bCs w:val="1"/>
                <w:color w:val="auto"/>
                <w:w w:val="94"/>
              </w:rPr>
              <w:t>Geography</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Real Estate</w:t>
            </w: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Operating</w:t>
            </w:r>
          </w:p>
        </w:tc>
        <w:tc>
          <w:tcPr>
            <w:tcW w:w="160" w:type="dxa"/>
            <w:vAlign w:val="bottom"/>
          </w:tcPr>
          <w:p>
            <w:pPr>
              <w:spacing w:after="0" w:line="20" w:lineRule="exact"/>
              <w:rPr>
                <w:sz w:val="1"/>
                <w:szCs w:val="1"/>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Land &amp;</w:t>
            </w: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line="20" w:lineRule="exact"/>
              <w:rPr>
                <w:sz w:val="1"/>
                <w:szCs w:val="1"/>
                <w:color w:val="auto"/>
              </w:rPr>
            </w:pPr>
          </w:p>
        </w:tc>
      </w:tr>
      <w:tr>
        <w:trPr>
          <w:trHeight w:val="362"/>
        </w:trPr>
        <w:tc>
          <w:tcPr>
            <w:tcW w:w="2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Geographic Region</w:t>
            </w:r>
          </w:p>
        </w:tc>
        <w:tc>
          <w:tcPr>
            <w:tcW w:w="12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vMerge w:val="restart"/>
          </w:tcPr>
          <w:p>
            <w:pPr>
              <w:jc w:val="right"/>
              <w:ind w:right="230"/>
              <w:spacing w:after="0"/>
              <w:rPr>
                <w:sz w:val="20"/>
                <w:szCs w:val="20"/>
                <w:color w:val="auto"/>
              </w:rPr>
            </w:pPr>
            <w:r>
              <w:rPr>
                <w:rFonts w:ascii="Arial" w:cs="Arial" w:eastAsia="Arial" w:hAnsi="Arial"/>
                <w:sz w:val="14"/>
                <w:szCs w:val="14"/>
                <w:b w:val="1"/>
                <w:bCs w:val="1"/>
                <w:color w:val="auto"/>
                <w:w w:val="99"/>
              </w:rPr>
              <w:t>Net Lease</w:t>
            </w:r>
          </w:p>
        </w:tc>
        <w:tc>
          <w:tcPr>
            <w:tcW w:w="10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24"/>
                <w:szCs w:val="24"/>
                <w:color w:val="auto"/>
              </w:rPr>
            </w:pPr>
          </w:p>
        </w:tc>
        <w:tc>
          <w:tcPr>
            <w:tcW w:w="1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0"/>
              </w:rPr>
              <w:t>Finance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Properties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0"/>
              </w:rPr>
              <w:t>Development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Northeast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790,113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379,731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47,322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233,672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1,450,838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West</w:t>
            </w:r>
          </w:p>
        </w:tc>
        <w:tc>
          <w:tcPr>
            <w:tcW w:w="18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87,037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304,854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37,518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362,578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791,987</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3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Southeast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126,814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235,490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150,066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156,326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668,696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Mid-Atlantic</w:t>
            </w:r>
          </w:p>
        </w:tc>
        <w:tc>
          <w:tcPr>
            <w:tcW w:w="18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168,213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153,084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53,774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218,982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594,053</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3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Southwest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77,378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183,920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239,297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28,393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528,988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Central</w:t>
            </w:r>
          </w:p>
        </w:tc>
        <w:tc>
          <w:tcPr>
            <w:tcW w:w="18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150,829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79,411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65,869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31,500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327,609</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3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Various</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73,355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141,718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14,554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5,404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235,031</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0"/>
        </w:trPr>
        <w:tc>
          <w:tcPr>
            <w:tcW w:w="310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Strategic Investments</w:t>
            </w:r>
            <w:r>
              <w:rPr>
                <w:rFonts w:ascii="Arial" w:cs="Arial" w:eastAsia="Arial" w:hAnsi="Arial"/>
                <w:sz w:val="25"/>
                <w:szCs w:val="25"/>
                <w:color w:val="auto"/>
                <w:vertAlign w:val="superscript"/>
              </w:rPr>
              <w:t>(2)</w:t>
            </w:r>
          </w:p>
        </w:tc>
        <w:tc>
          <w:tcPr>
            <w:tcW w:w="18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33,350</w:t>
            </w: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57"/>
        </w:trPr>
        <w:tc>
          <w:tcPr>
            <w:tcW w:w="31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1,473,739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1,478,208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608,400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1,036,855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4,630,552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-98425</wp:posOffset>
            </wp:positionV>
            <wp:extent cx="50171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017135" cy="8890"/>
                    </a:xfrm>
                    <a:prstGeom prst="rect">
                      <a:avLst/>
                    </a:prstGeom>
                    <a:noFill/>
                  </pic:spPr>
                </pic:pic>
              </a:graphicData>
            </a:graphic>
          </wp:anchor>
        </w:drawing>
      </w:r>
    </w:p>
    <w:p>
      <w:pPr>
        <w:spacing w:after="0" w:line="35" w:lineRule="exact"/>
        <w:rPr>
          <w:sz w:val="20"/>
          <w:szCs w:val="20"/>
          <w:color w:val="auto"/>
        </w:rPr>
      </w:pPr>
    </w:p>
    <w:p>
      <w:pPr>
        <w:ind w:left="820" w:hanging="650"/>
        <w:spacing w:after="0"/>
        <w:tabs>
          <w:tab w:leader="none" w:pos="8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Based on the carrying value of our total investment portfolio gross of accumulated depreciation and general loan loss reserves.</w:t>
      </w:r>
    </w:p>
    <w:p>
      <w:pPr>
        <w:spacing w:after="0" w:line="95" w:lineRule="exact"/>
        <w:rPr>
          <w:rFonts w:ascii="Arial" w:cs="Arial" w:eastAsia="Arial" w:hAnsi="Arial"/>
          <w:sz w:val="14"/>
          <w:szCs w:val="14"/>
          <w:color w:val="auto"/>
        </w:rPr>
      </w:pPr>
    </w:p>
    <w:p>
      <w:pPr>
        <w:ind w:left="820" w:hanging="650"/>
        <w:spacing w:after="0"/>
        <w:tabs>
          <w:tab w:leader="none" w:pos="8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Combined, strategic investments and the various category include $18.3 million of international assets.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Finance</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real estate finance business targets sophisticated and innovative owner/operators of real estate and real estate related projects by providing one-stop capabilities that encompass financing alternatives ranging from full envelope senior loans to mezzanine and preferred equity capital positions. As of December 31, 2016, our real estate finance portfolio totaled $1.5 billion, gross of general loan loss reserves. The portfolio included $1.2 billion of performing loans with a weighted average maturity of 2.1 years.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tables below summarize our loans and the reserves for loan losses associated with our loans ($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5"/>
          </w:tcPr>
          <w:p>
            <w:pPr>
              <w:ind w:left="560"/>
              <w:spacing w:after="0"/>
              <w:rPr>
                <w:sz w:val="20"/>
                <w:szCs w:val="20"/>
                <w:color w:val="auto"/>
              </w:rPr>
            </w:pPr>
            <w:r>
              <w:rPr>
                <w:rFonts w:ascii="Arial" w:cs="Arial" w:eastAsia="Arial" w:hAnsi="Arial"/>
                <w:sz w:val="16"/>
                <w:szCs w:val="16"/>
                <w:b w:val="1"/>
                <w:bCs w:val="1"/>
                <w:color w:val="auto"/>
              </w:rPr>
              <w:t>December 31, 2016</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33"/>
        </w:trPr>
        <w:tc>
          <w:tcPr>
            <w:tcW w:w="22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9"/>
        </w:trPr>
        <w:tc>
          <w:tcPr>
            <w:tcW w:w="2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91"/>
              </w:rPr>
              <w:t>Reserve for Loan</w:t>
            </w:r>
          </w:p>
        </w:tc>
      </w:tr>
      <w:tr>
        <w:trPr>
          <w:trHeight w:val="203"/>
        </w:trPr>
        <w:tc>
          <w:tcPr>
            <w:tcW w:w="2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Gross Carrying</w:t>
            </w:r>
          </w:p>
        </w:tc>
        <w:tc>
          <w:tcPr>
            <w:tcW w:w="10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Reserve for</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87"/>
              </w:rPr>
              <w:t>Losses as a % of Gross</w:t>
            </w:r>
          </w:p>
        </w:tc>
      </w:tr>
      <w:tr>
        <w:trPr>
          <w:trHeight w:val="210"/>
        </w:trPr>
        <w:tc>
          <w:tcPr>
            <w:tcW w:w="220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Arial" w:cs="Arial" w:eastAsia="Arial" w:hAnsi="Arial"/>
                <w:sz w:val="16"/>
                <w:szCs w:val="16"/>
                <w:b w:val="1"/>
                <w:bCs w:val="1"/>
                <w:color w:val="auto"/>
              </w:rPr>
              <w:t>Number</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Value</w:t>
            </w:r>
          </w:p>
        </w:tc>
        <w:tc>
          <w:tcPr>
            <w:tcW w:w="10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Loan Losses</w:t>
            </w:r>
          </w:p>
        </w:tc>
        <w:tc>
          <w:tcPr>
            <w:tcW w:w="1260" w:type="dxa"/>
            <w:vAlign w:val="bottom"/>
            <w:gridSpan w:val="3"/>
          </w:tcPr>
          <w:p>
            <w:pPr>
              <w:ind w:left="40"/>
              <w:spacing w:after="0"/>
              <w:rPr>
                <w:sz w:val="20"/>
                <w:szCs w:val="20"/>
                <w:color w:val="auto"/>
              </w:rPr>
            </w:pPr>
            <w:r>
              <w:rPr>
                <w:rFonts w:ascii="Arial" w:cs="Arial" w:eastAsia="Arial" w:hAnsi="Arial"/>
                <w:sz w:val="16"/>
                <w:szCs w:val="16"/>
                <w:b w:val="1"/>
                <w:bCs w:val="1"/>
                <w:color w:val="auto"/>
              </w:rPr>
              <w:t>Carrying Value</w:t>
            </w: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 of Total</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93"/>
              </w:rPr>
              <w:t>Carrying Value</w:t>
            </w:r>
          </w:p>
        </w:tc>
      </w:tr>
      <w:tr>
        <w:trPr>
          <w:trHeight w:val="33"/>
        </w:trPr>
        <w:tc>
          <w:tcPr>
            <w:tcW w:w="22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Performing loans</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1,202,127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(23,300)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1,178,827</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86.0%</w:t>
            </w: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1.9%</w:t>
            </w:r>
          </w:p>
        </w:tc>
      </w:tr>
      <w:tr>
        <w:trPr>
          <w:trHeight w:val="237"/>
        </w:trPr>
        <w:tc>
          <w:tcPr>
            <w:tcW w:w="2200" w:type="dxa"/>
            <w:vAlign w:val="bottom"/>
          </w:tcPr>
          <w:p>
            <w:pPr>
              <w:ind w:left="40"/>
              <w:spacing w:after="0"/>
              <w:rPr>
                <w:sz w:val="20"/>
                <w:szCs w:val="20"/>
                <w:color w:val="auto"/>
              </w:rPr>
            </w:pPr>
            <w:r>
              <w:rPr>
                <w:rFonts w:ascii="Arial" w:cs="Arial" w:eastAsia="Arial" w:hAnsi="Arial"/>
                <w:sz w:val="16"/>
                <w:szCs w:val="16"/>
                <w:color w:val="auto"/>
              </w:rPr>
              <w:t>Non-performing loans</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253,941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(62,245)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191,696</w:t>
            </w:r>
          </w:p>
        </w:tc>
        <w:tc>
          <w:tcPr>
            <w:tcW w:w="10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2"/>
              </w:rPr>
              <w:t>14.0%</w:t>
            </w:r>
          </w:p>
        </w:tc>
        <w:tc>
          <w:tcPr>
            <w:tcW w:w="12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2"/>
              </w:rPr>
              <w:t>24.5%</w:t>
            </w:r>
          </w:p>
        </w:tc>
      </w:tr>
      <w:tr>
        <w:trPr>
          <w:trHeight w:val="33"/>
        </w:trPr>
        <w:tc>
          <w:tcPr>
            <w:tcW w:w="22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1,456,068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(85,545)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1,370,523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5.9%</w:t>
            </w:r>
          </w:p>
        </w:tc>
      </w:tr>
      <w:tr>
        <w:trPr>
          <w:trHeight w:val="20"/>
        </w:trPr>
        <w:tc>
          <w:tcPr>
            <w:tcW w:w="2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548"/>
        </w:trPr>
        <w:tc>
          <w:tcPr>
            <w:tcW w:w="2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5"/>
          </w:tcPr>
          <w:p>
            <w:pPr>
              <w:ind w:left="560"/>
              <w:spacing w:after="0"/>
              <w:rPr>
                <w:sz w:val="20"/>
                <w:szCs w:val="20"/>
                <w:color w:val="auto"/>
              </w:rPr>
            </w:pPr>
            <w:r>
              <w:rPr>
                <w:rFonts w:ascii="Arial" w:cs="Arial" w:eastAsia="Arial" w:hAnsi="Arial"/>
                <w:sz w:val="16"/>
                <w:szCs w:val="16"/>
                <w:b w:val="1"/>
                <w:bCs w:val="1"/>
                <w:color w:val="auto"/>
              </w:rPr>
              <w:t>December 31, 2015</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3"/>
        </w:trPr>
        <w:tc>
          <w:tcPr>
            <w:tcW w:w="22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9"/>
        </w:trPr>
        <w:tc>
          <w:tcPr>
            <w:tcW w:w="2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91"/>
              </w:rPr>
              <w:t>Reserve for Loan</w:t>
            </w:r>
          </w:p>
        </w:tc>
      </w:tr>
      <w:tr>
        <w:trPr>
          <w:trHeight w:val="203"/>
        </w:trPr>
        <w:tc>
          <w:tcPr>
            <w:tcW w:w="2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Gross Carrying</w:t>
            </w:r>
          </w:p>
        </w:tc>
        <w:tc>
          <w:tcPr>
            <w:tcW w:w="10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Reserve for</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87"/>
              </w:rPr>
              <w:t>Losses as a % of Gross</w:t>
            </w:r>
          </w:p>
        </w:tc>
      </w:tr>
      <w:tr>
        <w:trPr>
          <w:trHeight w:val="210"/>
        </w:trPr>
        <w:tc>
          <w:tcPr>
            <w:tcW w:w="220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Arial" w:cs="Arial" w:eastAsia="Arial" w:hAnsi="Arial"/>
                <w:sz w:val="16"/>
                <w:szCs w:val="16"/>
                <w:b w:val="1"/>
                <w:bCs w:val="1"/>
                <w:color w:val="auto"/>
              </w:rPr>
              <w:t>Number</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Value</w:t>
            </w:r>
          </w:p>
        </w:tc>
        <w:tc>
          <w:tcPr>
            <w:tcW w:w="10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Loan Losses</w:t>
            </w:r>
          </w:p>
        </w:tc>
        <w:tc>
          <w:tcPr>
            <w:tcW w:w="1260" w:type="dxa"/>
            <w:vAlign w:val="bottom"/>
            <w:gridSpan w:val="3"/>
          </w:tcPr>
          <w:p>
            <w:pPr>
              <w:ind w:left="40"/>
              <w:spacing w:after="0"/>
              <w:rPr>
                <w:sz w:val="20"/>
                <w:szCs w:val="20"/>
                <w:color w:val="auto"/>
              </w:rPr>
            </w:pPr>
            <w:r>
              <w:rPr>
                <w:rFonts w:ascii="Arial" w:cs="Arial" w:eastAsia="Arial" w:hAnsi="Arial"/>
                <w:sz w:val="16"/>
                <w:szCs w:val="16"/>
                <w:b w:val="1"/>
                <w:bCs w:val="1"/>
                <w:color w:val="auto"/>
              </w:rPr>
              <w:t>Carrying Value</w:t>
            </w: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 of Total</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93"/>
              </w:rPr>
              <w:t>Carrying Value</w:t>
            </w:r>
          </w:p>
        </w:tc>
      </w:tr>
      <w:tr>
        <w:trPr>
          <w:trHeight w:val="33"/>
        </w:trPr>
        <w:tc>
          <w:tcPr>
            <w:tcW w:w="22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Performing loans</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1,515,369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(36,000)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1,479,369</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96.1%</w:t>
            </w: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2.4%</w:t>
            </w:r>
          </w:p>
        </w:tc>
      </w:tr>
      <w:tr>
        <w:trPr>
          <w:trHeight w:val="237"/>
        </w:trPr>
        <w:tc>
          <w:tcPr>
            <w:tcW w:w="2200" w:type="dxa"/>
            <w:vAlign w:val="bottom"/>
          </w:tcPr>
          <w:p>
            <w:pPr>
              <w:ind w:left="40"/>
              <w:spacing w:after="0"/>
              <w:rPr>
                <w:sz w:val="20"/>
                <w:szCs w:val="20"/>
                <w:color w:val="auto"/>
              </w:rPr>
            </w:pPr>
            <w:r>
              <w:rPr>
                <w:rFonts w:ascii="Arial" w:cs="Arial" w:eastAsia="Arial" w:hAnsi="Arial"/>
                <w:sz w:val="16"/>
                <w:szCs w:val="16"/>
                <w:color w:val="auto"/>
              </w:rPr>
              <w:t>Non-performing loans</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132,492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(72,165)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60,327</w:t>
            </w:r>
          </w:p>
        </w:tc>
        <w:tc>
          <w:tcPr>
            <w:tcW w:w="10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3"/>
              </w:rPr>
              <w:t>3.9%</w:t>
            </w:r>
          </w:p>
        </w:tc>
        <w:tc>
          <w:tcPr>
            <w:tcW w:w="12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2"/>
              </w:rPr>
              <w:t>54.5%</w:t>
            </w:r>
          </w:p>
        </w:tc>
      </w:tr>
      <w:tr>
        <w:trPr>
          <w:trHeight w:val="33"/>
        </w:trPr>
        <w:tc>
          <w:tcPr>
            <w:tcW w:w="22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1,647,861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(108,165)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1,539,696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6.6%</w:t>
            </w:r>
          </w:p>
        </w:tc>
      </w:tr>
      <w:tr>
        <w:trPr>
          <w:trHeight w:val="20"/>
        </w:trPr>
        <w:tc>
          <w:tcPr>
            <w:tcW w:w="2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Performing Loans</w:t>
      </w:r>
      <w:r>
        <w:rPr>
          <w:rFonts w:ascii="Arial" w:cs="Arial" w:eastAsia="Arial" w:hAnsi="Arial"/>
          <w:sz w:val="18"/>
          <w:szCs w:val="18"/>
          <w:color w:val="auto"/>
        </w:rPr>
        <w:t>—The table below summarizes our performing loans gross of reserves ($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2016</w:t>
            </w:r>
          </w:p>
        </w:tc>
        <w:tc>
          <w:tcPr>
            <w:tcW w:w="140" w:type="dxa"/>
            <w:vAlign w:val="bottom"/>
          </w:tcPr>
          <w:p>
            <w:pPr>
              <w:spacing w:after="0"/>
              <w:rPr>
                <w:sz w:val="18"/>
                <w:szCs w:val="18"/>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b w:val="1"/>
                <w:bCs w:val="1"/>
                <w:color w:val="auto"/>
                <w:w w:val="90"/>
              </w:rPr>
              <w:t>December 31, 2015</w:t>
            </w:r>
          </w:p>
        </w:tc>
      </w:tr>
      <w:tr>
        <w:trPr>
          <w:trHeight w:val="33"/>
        </w:trPr>
        <w:tc>
          <w:tcPr>
            <w:tcW w:w="2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mortgages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854,805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849,161</w:t>
            </w:r>
          </w:p>
        </w:tc>
      </w:tr>
      <w:tr>
        <w:trPr>
          <w:trHeight w:val="237"/>
        </w:trPr>
        <w:tc>
          <w:tcPr>
            <w:tcW w:w="2500" w:type="dxa"/>
            <w:vAlign w:val="bottom"/>
          </w:tcPr>
          <w:p>
            <w:pPr>
              <w:ind w:left="40"/>
              <w:spacing w:after="0"/>
              <w:rPr>
                <w:sz w:val="20"/>
                <w:szCs w:val="20"/>
                <w:color w:val="auto"/>
              </w:rPr>
            </w:pPr>
            <w:r>
              <w:rPr>
                <w:rFonts w:ascii="Arial" w:cs="Arial" w:eastAsia="Arial" w:hAnsi="Arial"/>
                <w:sz w:val="16"/>
                <w:szCs w:val="16"/>
                <w:color w:val="auto"/>
              </w:rPr>
              <w:t>Corporate/Partnership loans</w:t>
            </w:r>
          </w:p>
        </w:tc>
        <w:tc>
          <w:tcPr>
            <w:tcW w:w="140" w:type="dxa"/>
            <w:vAlign w:val="bottom"/>
          </w:tcPr>
          <w:p>
            <w:pPr>
              <w:spacing w:after="0"/>
              <w:rPr>
                <w:sz w:val="20"/>
                <w:szCs w:val="20"/>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333,244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637,532</w:t>
            </w:r>
          </w:p>
        </w:tc>
      </w:tr>
      <w:tr>
        <w:trPr>
          <w:trHeight w:val="33"/>
        </w:trPr>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Subordinate mortgages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14,078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28,676</w:t>
            </w:r>
          </w:p>
        </w:tc>
      </w:tr>
      <w:tr>
        <w:trPr>
          <w:trHeight w:val="284"/>
        </w:trPr>
        <w:tc>
          <w:tcPr>
            <w:tcW w:w="25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1,202,127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1,515,369</w:t>
            </w:r>
          </w:p>
        </w:tc>
      </w:tr>
      <w:tr>
        <w:trPr>
          <w:trHeight w:val="311"/>
        </w:trPr>
        <w:tc>
          <w:tcPr>
            <w:tcW w:w="2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37"/>
        </w:trPr>
        <w:tc>
          <w:tcPr>
            <w:tcW w:w="2500" w:type="dxa"/>
            <w:vAlign w:val="bottom"/>
          </w:tcPr>
          <w:p>
            <w:pPr>
              <w:ind w:left="40"/>
              <w:spacing w:after="0"/>
              <w:rPr>
                <w:sz w:val="20"/>
                <w:szCs w:val="20"/>
                <w:color w:val="auto"/>
              </w:rPr>
            </w:pPr>
            <w:r>
              <w:rPr>
                <w:rFonts w:ascii="Arial" w:cs="Arial" w:eastAsia="Arial" w:hAnsi="Arial"/>
                <w:sz w:val="16"/>
                <w:szCs w:val="16"/>
                <w:color w:val="auto"/>
              </w:rPr>
              <w:t>Weighted average LTV</w:t>
            </w: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33"/>
        </w:trPr>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2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Yield</w:t>
            </w:r>
          </w:p>
        </w:tc>
        <w:tc>
          <w:tcPr>
            <w:tcW w:w="14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33"/>
        </w:trPr>
        <w:tc>
          <w:tcPr>
            <w:tcW w:w="25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i w:val="1"/>
          <w:iCs w:val="1"/>
          <w:color w:val="auto"/>
        </w:rPr>
        <w:t>Non-Performing Loans</w:t>
      </w:r>
      <w:r>
        <w:rPr>
          <w:rFonts w:ascii="Arial" w:cs="Arial" w:eastAsia="Arial" w:hAnsi="Arial"/>
          <w:sz w:val="17"/>
          <w:szCs w:val="17"/>
          <w:color w:val="auto"/>
        </w:rPr>
        <w:t>—We designate loans as non-performing at such time as: (1) the loan becomes 90 days delinquent; (2) the loan has a maturity</w:t>
      </w:r>
      <w:r>
        <w:rPr>
          <w:rFonts w:ascii="Arial" w:cs="Arial" w:eastAsia="Arial" w:hAnsi="Arial"/>
          <w:sz w:val="17"/>
          <w:szCs w:val="17"/>
          <w:i w:val="1"/>
          <w:iCs w:val="1"/>
          <w:color w:val="auto"/>
        </w:rPr>
        <w:t xml:space="preserve"> </w:t>
      </w:r>
      <w:r>
        <w:rPr>
          <w:rFonts w:ascii="Arial" w:cs="Arial" w:eastAsia="Arial" w:hAnsi="Arial"/>
          <w:sz w:val="17"/>
          <w:szCs w:val="17"/>
          <w:color w:val="auto"/>
        </w:rPr>
        <w:t>default; or (3) management determines it is probable that we will be unable to collect all amounts due according to the contractual terms of the loan. All non-performing loans are placed on non-accrual status and income is only recognized in certain cases upon actual cash receipt. During the year ended December 31, 2016, the Company transferred a loan with a gross carrying value of $157.2 million to non-performing status. As of December 31, 2016, we had non-performing loans with an aggregate carrying value of $191.7 million compared to non-performing loans with an aggregate carrying value of $60.3 million as of December 31, 2015. We expect that our level of non-performing loans will fluctuate from period to period.</w:t>
      </w:r>
    </w:p>
    <w:p>
      <w:pPr>
        <w:spacing w:after="0" w:line="17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Reserve for Loan Losses</w:t>
      </w:r>
      <w:r>
        <w:rPr>
          <w:rFonts w:ascii="Arial" w:cs="Arial" w:eastAsia="Arial" w:hAnsi="Arial"/>
          <w:sz w:val="18"/>
          <w:szCs w:val="18"/>
          <w:color w:val="auto"/>
        </w:rPr>
        <w:t>—The reserve for loan losses was $85.5 million as of December 31, 2016, or 5.9% of total loans, compared to $108.2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6.6% as of December 31, 2015. For the year ended December 31, 2016, the recovery of loan losses included recoveries of specific reserves of $13.7 million and a reduction in the general reserve of $12.7 million, partially offset by provisions on two non-performing loans of $13.9 million. We expect that our level of reserve for loan losses will fluctuate from period to period. Due to the volatility of the commercial real estate market, the process of estimating collateral values and reserves requires the use of significant judgment. We currently believe there is adequate collateral and reserves to support the carrying values of the loans.</w:t>
      </w:r>
    </w:p>
    <w:p>
      <w:pPr>
        <w:spacing w:after="0" w:line="19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reserve for loan losses includes an asset-specific component and a formula-based component. An asset-specific reserve is established for an impaired loan when the estimated fair value of the loan's collateral less costs to sell is lower than the carrying value of the loan. As of December 31, 2016, asset-specific reserves decreased to $62.2 million compared to $72.2 million as of December 31, 2015, due primarily to the recovery of reserves on three previously impaired non-performing loans, the charge-off of a reserve when we acquired, via deed-in-lieu, title to a land asset that served as collateral for one of our loans, partially offset by provisions on new and existing non-performing loans.</w:t>
      </w:r>
    </w:p>
    <w:p>
      <w:pPr>
        <w:spacing w:after="0" w:line="17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formula-based general reserve is derived from estimated principal default probabilities and loss severities applied to groups of performing loans based upon risk ratings assigned to loans with similar risk characteristics during our quarterly loan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portfolio assessment. During this assessment, we perform a comprehensive analysis of our loan portfolio and assign risk ratings to loans that incorporate management's current judgments and future expectations about their credit quality based on all known and relevant factors that may affect collectability. We consider, among other things, payment status, lien position, borrower financial resources and investment in collateral, collateral type, project economics and geographical location as well as national and regional economic factors. This methodology results in loans being segmented by risk classification into risk rating categories that are associated with estimated probabilities of default and principal loss. We estimate loss rates based on historical realized losses experienced within our portfolio and take into account current economic conditions affecting the commercial real estate market when establishing appropriate time frames to evaluate loss experience.</w:t>
      </w:r>
    </w:p>
    <w:p>
      <w:pPr>
        <w:spacing w:after="0" w:line="1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general reserve decreased to $23.3 million or 1.9% of performing loans as of December 31, 2016, compared to $36.0 million or 2.4% of performing loans as of December 31, 2015. The decrease was primarily attributable to a loan being evaluated for asset-specific reserves as a result of being classified to non-performing status during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Lease</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net lease business seeks to create stable cash flows through long-term net leases primarily to single tenants on our properties. We target mission-critical facilities leased on a long-term basis to tenants, offering structured solutions that combine our capabilities in underwriting, lease structuring, asset management and build-to-suit construction. We invest in new net lease investments primarily through our Net Lease Venture, in which we hold a 51.9% interest. The Net Lease Venture has a right of first offer on any new net lease investments that we source (refer to Note 7 in our consolidated financial statements for more information on our Net Lease Venture).</w:t>
      </w:r>
    </w:p>
    <w:p>
      <w:pPr>
        <w:spacing w:after="0" w:line="18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December 31, 2016, our net lease portfolio, including equity method investments, totaled $1.5 billion, gross of $368.7 million of accumulated depreciation. The table below provides certain statistics for our net lease portfolio.</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40" w:type="dxa"/>
            <w:vAlign w:val="bottom"/>
          </w:tcPr>
          <w:p>
            <w:pPr>
              <w:spacing w:after="0"/>
              <w:rPr>
                <w:sz w:val="18"/>
                <w:szCs w:val="18"/>
                <w:color w:val="auto"/>
              </w:rPr>
            </w:pPr>
          </w:p>
        </w:tc>
        <w:tc>
          <w:tcPr>
            <w:tcW w:w="4180" w:type="dxa"/>
            <w:vAlign w:val="bottom"/>
            <w:gridSpan w:val="3"/>
          </w:tcPr>
          <w:p>
            <w:pPr>
              <w:jc w:val="right"/>
              <w:ind w:right="1319"/>
              <w:spacing w:after="0"/>
              <w:rPr>
                <w:sz w:val="20"/>
                <w:szCs w:val="20"/>
                <w:color w:val="auto"/>
              </w:rPr>
            </w:pPr>
            <w:r>
              <w:rPr>
                <w:rFonts w:ascii="Arial" w:cs="Arial" w:eastAsia="Arial" w:hAnsi="Arial"/>
                <w:sz w:val="16"/>
                <w:szCs w:val="16"/>
                <w:b w:val="1"/>
                <w:bCs w:val="1"/>
                <w:color w:val="auto"/>
              </w:rPr>
              <w:t>Net Lease Statistics</w:t>
            </w:r>
          </w:p>
        </w:tc>
      </w:tr>
      <w:tr>
        <w:trPr>
          <w:trHeight w:val="270"/>
        </w:trPr>
        <w:tc>
          <w:tcPr>
            <w:tcW w:w="3240" w:type="dxa"/>
            <w:vAlign w:val="bottom"/>
          </w:tcPr>
          <w:p>
            <w:pPr>
              <w:spacing w:after="0"/>
              <w:rPr>
                <w:sz w:val="23"/>
                <w:szCs w:val="23"/>
                <w:color w:val="auto"/>
              </w:rPr>
            </w:pPr>
          </w:p>
        </w:tc>
        <w:tc>
          <w:tcPr>
            <w:tcW w:w="2200" w:type="dxa"/>
            <w:vAlign w:val="bottom"/>
            <w:gridSpan w:val="2"/>
          </w:tcPr>
          <w:p>
            <w:pPr>
              <w:ind w:left="380"/>
              <w:spacing w:after="0"/>
              <w:rPr>
                <w:sz w:val="20"/>
                <w:szCs w:val="20"/>
                <w:color w:val="auto"/>
              </w:rPr>
            </w:pPr>
            <w:r>
              <w:rPr>
                <w:rFonts w:ascii="Arial" w:cs="Arial" w:eastAsia="Arial" w:hAnsi="Arial"/>
                <w:sz w:val="16"/>
                <w:szCs w:val="16"/>
                <w:b w:val="1"/>
                <w:bCs w:val="1"/>
                <w:color w:val="auto"/>
              </w:rPr>
              <w:t>December 31, 2016</w:t>
            </w:r>
          </w:p>
        </w:tc>
        <w:tc>
          <w:tcPr>
            <w:tcW w:w="1980" w:type="dxa"/>
            <w:vAlign w:val="bottom"/>
          </w:tcPr>
          <w:p>
            <w:pPr>
              <w:jc w:val="right"/>
              <w:ind w:right="259"/>
              <w:spacing w:after="0"/>
              <w:rPr>
                <w:sz w:val="20"/>
                <w:szCs w:val="20"/>
                <w:color w:val="auto"/>
              </w:rPr>
            </w:pPr>
            <w:r>
              <w:rPr>
                <w:rFonts w:ascii="Arial" w:cs="Arial" w:eastAsia="Arial" w:hAnsi="Arial"/>
                <w:sz w:val="16"/>
                <w:szCs w:val="16"/>
                <w:b w:val="1"/>
                <w:bCs w:val="1"/>
                <w:color w:val="auto"/>
              </w:rPr>
              <w:t>December 31, 2015</w:t>
            </w:r>
          </w:p>
        </w:tc>
      </w:tr>
      <w:tr>
        <w:trPr>
          <w:trHeight w:val="33"/>
        </w:trPr>
        <w:tc>
          <w:tcPr>
            <w:tcW w:w="324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50"/>
        </w:trPr>
        <w:tc>
          <w:tcPr>
            <w:tcW w:w="3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Square feet (mm)</w:t>
            </w:r>
            <w:r>
              <w:rPr>
                <w:rFonts w:ascii="Arial" w:cs="Arial" w:eastAsia="Arial" w:hAnsi="Arial"/>
                <w:sz w:val="21"/>
                <w:szCs w:val="21"/>
                <w:color w:val="auto"/>
                <w:vertAlign w:val="superscript"/>
              </w:rPr>
              <w:t>(1)</w:t>
            </w:r>
          </w:p>
        </w:tc>
        <w:tc>
          <w:tcPr>
            <w:tcW w:w="2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17,214</w:t>
            </w:r>
          </w:p>
        </w:tc>
        <w:tc>
          <w:tcPr>
            <w:tcW w:w="140" w:type="dxa"/>
            <w:vAlign w:val="bottom"/>
            <w:shd w:val="clear" w:color="auto" w:fill="CCEEFF"/>
          </w:tcPr>
          <w:p>
            <w:pPr>
              <w:spacing w:after="0"/>
              <w:rPr>
                <w:sz w:val="21"/>
                <w:szCs w:val="21"/>
                <w:color w:val="auto"/>
              </w:rPr>
            </w:pPr>
          </w:p>
        </w:tc>
        <w:tc>
          <w:tcPr>
            <w:tcW w:w="19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17,807</w:t>
            </w:r>
          </w:p>
        </w:tc>
      </w:tr>
      <w:tr>
        <w:trPr>
          <w:trHeight w:val="270"/>
        </w:trPr>
        <w:tc>
          <w:tcPr>
            <w:tcW w:w="3240" w:type="dxa"/>
            <w:vAlign w:val="bottom"/>
          </w:tcPr>
          <w:p>
            <w:pPr>
              <w:ind w:left="40"/>
              <w:spacing w:after="0"/>
              <w:rPr>
                <w:sz w:val="20"/>
                <w:szCs w:val="20"/>
                <w:color w:val="auto"/>
              </w:rPr>
            </w:pPr>
            <w:r>
              <w:rPr>
                <w:rFonts w:ascii="Arial" w:cs="Arial" w:eastAsia="Arial" w:hAnsi="Arial"/>
                <w:sz w:val="16"/>
                <w:szCs w:val="16"/>
                <w:color w:val="auto"/>
              </w:rPr>
              <w:t>Leased %</w:t>
            </w:r>
            <w:r>
              <w:rPr>
                <w:rFonts w:ascii="Arial" w:cs="Arial" w:eastAsia="Arial" w:hAnsi="Arial"/>
                <w:sz w:val="21"/>
                <w:szCs w:val="21"/>
                <w:color w:val="auto"/>
                <w:vertAlign w:val="superscript"/>
              </w:rPr>
              <w:t>(2)</w:t>
            </w:r>
          </w:p>
        </w:tc>
        <w:tc>
          <w:tcPr>
            <w:tcW w:w="2060" w:type="dxa"/>
            <w:vAlign w:val="bottom"/>
          </w:tcPr>
          <w:p>
            <w:pPr>
              <w:jc w:val="right"/>
              <w:spacing w:after="0"/>
              <w:rPr>
                <w:sz w:val="20"/>
                <w:szCs w:val="20"/>
                <w:color w:val="auto"/>
              </w:rPr>
            </w:pPr>
            <w:r>
              <w:rPr>
                <w:rFonts w:ascii="Arial" w:cs="Arial" w:eastAsia="Arial" w:hAnsi="Arial"/>
                <w:sz w:val="16"/>
                <w:szCs w:val="16"/>
                <w:color w:val="auto"/>
              </w:rPr>
              <w:t>98%</w:t>
            </w:r>
          </w:p>
        </w:tc>
        <w:tc>
          <w:tcPr>
            <w:tcW w:w="14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70"/>
        </w:trPr>
        <w:tc>
          <w:tcPr>
            <w:tcW w:w="3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lease term (years)</w:t>
            </w:r>
            <w:r>
              <w:rPr>
                <w:rFonts w:ascii="Arial" w:cs="Arial" w:eastAsia="Arial" w:hAnsi="Arial"/>
                <w:sz w:val="21"/>
                <w:szCs w:val="21"/>
                <w:color w:val="auto"/>
                <w:vertAlign w:val="superscript"/>
              </w:rPr>
              <w:t>(3)</w:t>
            </w:r>
          </w:p>
        </w:tc>
        <w:tc>
          <w:tcPr>
            <w:tcW w:w="2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14.7</w:t>
            </w:r>
          </w:p>
        </w:tc>
        <w:tc>
          <w:tcPr>
            <w:tcW w:w="140" w:type="dxa"/>
            <w:vAlign w:val="bottom"/>
            <w:shd w:val="clear" w:color="auto" w:fill="CCEEFF"/>
          </w:tcPr>
          <w:p>
            <w:pPr>
              <w:spacing w:after="0"/>
              <w:rPr>
                <w:sz w:val="23"/>
                <w:szCs w:val="23"/>
                <w:color w:val="auto"/>
              </w:rPr>
            </w:pPr>
          </w:p>
        </w:tc>
        <w:tc>
          <w:tcPr>
            <w:tcW w:w="19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14.9</w:t>
            </w:r>
          </w:p>
        </w:tc>
      </w:tr>
      <w:tr>
        <w:trPr>
          <w:trHeight w:val="263"/>
        </w:trPr>
        <w:tc>
          <w:tcPr>
            <w:tcW w:w="3240" w:type="dxa"/>
            <w:vAlign w:val="bottom"/>
          </w:tcPr>
          <w:p>
            <w:pPr>
              <w:ind w:left="40"/>
              <w:spacing w:after="0"/>
              <w:rPr>
                <w:sz w:val="20"/>
                <w:szCs w:val="20"/>
                <w:color w:val="auto"/>
              </w:rPr>
            </w:pPr>
            <w:r>
              <w:rPr>
                <w:rFonts w:ascii="Arial" w:cs="Arial" w:eastAsia="Arial" w:hAnsi="Arial"/>
                <w:sz w:val="16"/>
                <w:szCs w:val="16"/>
                <w:color w:val="auto"/>
              </w:rPr>
              <w:t>Yield</w:t>
            </w:r>
            <w:r>
              <w:rPr>
                <w:rFonts w:ascii="Arial" w:cs="Arial" w:eastAsia="Arial" w:hAnsi="Arial"/>
                <w:sz w:val="21"/>
                <w:szCs w:val="21"/>
                <w:color w:val="auto"/>
                <w:vertAlign w:val="superscript"/>
              </w:rPr>
              <w:t>(4)</w:t>
            </w:r>
          </w:p>
        </w:tc>
        <w:tc>
          <w:tcPr>
            <w:tcW w:w="2060" w:type="dxa"/>
            <w:vAlign w:val="bottom"/>
          </w:tcPr>
          <w:p>
            <w:pPr>
              <w:jc w:val="right"/>
              <w:spacing w:after="0"/>
              <w:rPr>
                <w:sz w:val="20"/>
                <w:szCs w:val="20"/>
                <w:color w:val="auto"/>
              </w:rPr>
            </w:pPr>
            <w:r>
              <w:rPr>
                <w:rFonts w:ascii="Arial" w:cs="Arial" w:eastAsia="Arial" w:hAnsi="Arial"/>
                <w:sz w:val="16"/>
                <w:szCs w:val="16"/>
                <w:color w:val="auto"/>
              </w:rPr>
              <w:t>8.3%</w:t>
            </w:r>
          </w:p>
        </w:tc>
        <w:tc>
          <w:tcPr>
            <w:tcW w:w="140" w:type="dxa"/>
            <w:vAlign w:val="bottom"/>
          </w:tcPr>
          <w:p>
            <w:pPr>
              <w:spacing w:after="0"/>
              <w:rPr>
                <w:sz w:val="22"/>
                <w:szCs w:val="22"/>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7.8%</w:t>
            </w:r>
          </w:p>
        </w:tc>
      </w:tr>
    </w:tbl>
    <w:p>
      <w:pPr>
        <w:spacing w:after="0"/>
        <w:rPr>
          <w:sz w:val="20"/>
          <w:szCs w:val="20"/>
          <w:color w:val="auto"/>
        </w:rPr>
      </w:pPr>
      <w:r>
        <w:rPr>
          <w:rFonts w:ascii="Arial" w:cs="Arial" w:eastAsia="Arial" w:hAnsi="Arial"/>
          <w:sz w:val="14"/>
          <w:szCs w:val="14"/>
          <w:color w:val="auto"/>
        </w:rPr>
        <w:t>______________________________________________________________</w:t>
      </w:r>
    </w:p>
    <w:p>
      <w:pPr>
        <w:spacing w:after="0" w:line="1"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As of December 31, 2016 and 2015, includes 3,081 and 2,873 square feet at one of our equity method investments of which we own 51.9%.</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Excluding equity method investments, our net lease portfolio was 98% and 96% leased, respectively, as of December 31, 2016 and 2015.</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Excluding equity method investments, our weighted average lease term was 14.8 years and 14.7 years, respectively, as of December 31, 2016 and 2015.</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Excludes equity method investments.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Properties</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December 31, 2016, our operating property portfolio, including equity method investments, totaled $608.4 million, gross of $46.2 million of accumulated depreciation, and was comprised of $525.9 million of commercial and $82.5 million of residential real estate properties.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Commercial Operating Properties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commercial operating properties represent a diverse pool of assets across a broad range of geographies and collateral types including office, retail and hotel properties. We generally seek to reposition our transitional properties with the objective of maximizing their values through the infusion of capital and/or intensive asset management efforts resulting in value realization upon sale.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provides certain statistics for our commercial operating property portfolio.</w:t>
      </w:r>
    </w:p>
    <w:p>
      <w:pPr>
        <w:spacing w:after="0" w:line="163" w:lineRule="exact"/>
        <w:rPr>
          <w:sz w:val="20"/>
          <w:szCs w:val="20"/>
          <w:color w:val="auto"/>
        </w:rPr>
      </w:pPr>
    </w:p>
    <w:p>
      <w:pPr>
        <w:jc w:val="center"/>
        <w:ind w:right="360"/>
        <w:spacing w:after="0"/>
        <w:rPr>
          <w:sz w:val="20"/>
          <w:szCs w:val="20"/>
          <w:color w:val="auto"/>
        </w:rPr>
      </w:pPr>
      <w:r>
        <w:rPr>
          <w:rFonts w:ascii="Arial" w:cs="Arial" w:eastAsia="Arial" w:hAnsi="Arial"/>
          <w:sz w:val="14"/>
          <w:szCs w:val="14"/>
          <w:b w:val="1"/>
          <w:bCs w:val="1"/>
          <w:color w:val="auto"/>
        </w:rPr>
        <w:t>Commercial Operating Property Statistics</w:t>
      </w:r>
    </w:p>
    <w:p>
      <w:pPr>
        <w:spacing w:after="0" w:line="46" w:lineRule="exact"/>
        <w:rPr>
          <w:sz w:val="20"/>
          <w:szCs w:val="20"/>
          <w:color w:val="auto"/>
        </w:rPr>
      </w:pPr>
    </w:p>
    <w:p>
      <w:pPr>
        <w:jc w:val="center"/>
        <w:ind w:right="360"/>
        <w:spacing w:after="0"/>
        <w:rPr>
          <w:sz w:val="20"/>
          <w:szCs w:val="20"/>
          <w:color w:val="auto"/>
        </w:rPr>
      </w:pPr>
      <w:r>
        <w:rPr>
          <w:rFonts w:ascii="Arial" w:cs="Arial" w:eastAsia="Arial" w:hAnsi="Arial"/>
          <w:sz w:val="14"/>
          <w:szCs w:val="14"/>
          <w:color w:val="auto"/>
        </w:rPr>
        <w:t>($ 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5"/>
              </w:rPr>
              <w:t>Stabilized Operating</w:t>
            </w:r>
            <w:r>
              <w:rPr>
                <w:rFonts w:ascii="Arial" w:cs="Arial" w:eastAsia="Arial" w:hAnsi="Arial"/>
                <w:sz w:val="8"/>
                <w:szCs w:val="8"/>
                <w:b w:val="1"/>
                <w:bCs w:val="1"/>
                <w:color w:val="auto"/>
                <w:w w:val="95"/>
              </w:rPr>
              <w:t>(1)</w:t>
            </w:r>
          </w:p>
        </w:tc>
        <w:tc>
          <w:tcPr>
            <w:tcW w:w="140" w:type="dxa"/>
            <w:vAlign w:val="bottom"/>
          </w:tcPr>
          <w:p>
            <w:pPr>
              <w:spacing w:after="0"/>
              <w:rPr>
                <w:sz w:val="16"/>
                <w:szCs w:val="16"/>
                <w:color w:val="auto"/>
              </w:rPr>
            </w:pPr>
          </w:p>
        </w:tc>
        <w:tc>
          <w:tcPr>
            <w:tcW w:w="3080" w:type="dxa"/>
            <w:vAlign w:val="bottom"/>
            <w:gridSpan w:val="4"/>
          </w:tcPr>
          <w:p>
            <w:pPr>
              <w:ind w:left="680"/>
              <w:spacing w:after="0"/>
              <w:rPr>
                <w:sz w:val="20"/>
                <w:szCs w:val="20"/>
                <w:color w:val="auto"/>
              </w:rPr>
            </w:pPr>
            <w:r>
              <w:rPr>
                <w:rFonts w:ascii="Arial" w:cs="Arial" w:eastAsia="Arial" w:hAnsi="Arial"/>
                <w:sz w:val="14"/>
                <w:szCs w:val="14"/>
                <w:b w:val="1"/>
                <w:bCs w:val="1"/>
                <w:color w:val="auto"/>
              </w:rPr>
              <w:t>Transitional Operating</w:t>
            </w:r>
            <w:r>
              <w:rPr>
                <w:rFonts w:ascii="Arial" w:cs="Arial" w:eastAsia="Arial" w:hAnsi="Arial"/>
                <w:sz w:val="8"/>
                <w:szCs w:val="8"/>
                <w:b w:val="1"/>
                <w:bCs w:val="1"/>
                <w:color w:val="auto"/>
              </w:rPr>
              <w:t>(1)</w:t>
            </w:r>
          </w:p>
        </w:tc>
        <w:tc>
          <w:tcPr>
            <w:tcW w:w="160" w:type="dxa"/>
            <w:vAlign w:val="bottom"/>
          </w:tcPr>
          <w:p>
            <w:pPr>
              <w:spacing w:after="0"/>
              <w:rPr>
                <w:sz w:val="16"/>
                <w:szCs w:val="16"/>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Total</w:t>
            </w:r>
          </w:p>
        </w:tc>
        <w:tc>
          <w:tcPr>
            <w:tcW w:w="1380" w:type="dxa"/>
            <w:vAlign w:val="bottom"/>
          </w:tcPr>
          <w:p>
            <w:pPr>
              <w:spacing w:after="0"/>
              <w:rPr>
                <w:sz w:val="16"/>
                <w:szCs w:val="16"/>
                <w:color w:val="auto"/>
              </w:rPr>
            </w:pPr>
          </w:p>
        </w:tc>
      </w:tr>
      <w:tr>
        <w:trPr>
          <w:trHeight w:val="276"/>
        </w:trPr>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128"/>
              <w:spacing w:after="0"/>
              <w:rPr>
                <w:sz w:val="20"/>
                <w:szCs w:val="20"/>
                <w:color w:val="auto"/>
              </w:rPr>
            </w:pPr>
            <w:r>
              <w:rPr>
                <w:rFonts w:ascii="Arial" w:cs="Arial" w:eastAsia="Arial" w:hAnsi="Arial"/>
                <w:sz w:val="14"/>
                <w:szCs w:val="14"/>
                <w:b w:val="1"/>
                <w:bCs w:val="1"/>
                <w:color w:val="auto"/>
                <w:w w:val="93"/>
              </w:rPr>
              <w:t>December 31, 2016</w:t>
            </w:r>
          </w:p>
        </w:tc>
        <w:tc>
          <w:tcPr>
            <w:tcW w:w="14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2015</w:t>
            </w:r>
          </w:p>
        </w:tc>
        <w:tc>
          <w:tcPr>
            <w:tcW w:w="140" w:type="dxa"/>
            <w:vAlign w:val="bottom"/>
          </w:tcPr>
          <w:p>
            <w:pPr>
              <w:spacing w:after="0"/>
              <w:rPr>
                <w:sz w:val="24"/>
                <w:szCs w:val="24"/>
                <w:color w:val="auto"/>
              </w:rPr>
            </w:pPr>
          </w:p>
        </w:tc>
        <w:tc>
          <w:tcPr>
            <w:tcW w:w="1420" w:type="dxa"/>
            <w:vAlign w:val="bottom"/>
          </w:tcPr>
          <w:p>
            <w:pPr>
              <w:jc w:val="right"/>
              <w:ind w:right="128"/>
              <w:spacing w:after="0"/>
              <w:rPr>
                <w:sz w:val="20"/>
                <w:szCs w:val="20"/>
                <w:color w:val="auto"/>
              </w:rPr>
            </w:pPr>
            <w:r>
              <w:rPr>
                <w:rFonts w:ascii="Arial" w:cs="Arial" w:eastAsia="Arial" w:hAnsi="Arial"/>
                <w:sz w:val="14"/>
                <w:szCs w:val="14"/>
                <w:b w:val="1"/>
                <w:bCs w:val="1"/>
                <w:color w:val="auto"/>
                <w:w w:val="95"/>
              </w:rPr>
              <w:t>December 31, 2016</w:t>
            </w:r>
          </w:p>
        </w:tc>
        <w:tc>
          <w:tcPr>
            <w:tcW w:w="14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2015</w:t>
            </w:r>
          </w:p>
        </w:tc>
        <w:tc>
          <w:tcPr>
            <w:tcW w:w="160" w:type="dxa"/>
            <w:vAlign w:val="bottom"/>
          </w:tcPr>
          <w:p>
            <w:pPr>
              <w:spacing w:after="0"/>
              <w:rPr>
                <w:sz w:val="24"/>
                <w:szCs w:val="24"/>
                <w:color w:val="auto"/>
              </w:rPr>
            </w:pPr>
          </w:p>
        </w:tc>
        <w:tc>
          <w:tcPr>
            <w:tcW w:w="1400" w:type="dxa"/>
            <w:vAlign w:val="bottom"/>
          </w:tcPr>
          <w:p>
            <w:pPr>
              <w:jc w:val="right"/>
              <w:ind w:right="128"/>
              <w:spacing w:after="0"/>
              <w:rPr>
                <w:sz w:val="20"/>
                <w:szCs w:val="20"/>
                <w:color w:val="auto"/>
              </w:rPr>
            </w:pPr>
            <w:r>
              <w:rPr>
                <w:rFonts w:ascii="Arial" w:cs="Arial" w:eastAsia="Arial" w:hAnsi="Arial"/>
                <w:sz w:val="14"/>
                <w:szCs w:val="14"/>
                <w:b w:val="1"/>
                <w:bCs w:val="1"/>
                <w:color w:val="auto"/>
                <w:w w:val="93"/>
              </w:rPr>
              <w:t>December 31, 2016</w:t>
            </w:r>
          </w:p>
        </w:tc>
        <w:tc>
          <w:tcPr>
            <w:tcW w:w="180" w:type="dxa"/>
            <w:vAlign w:val="bottom"/>
          </w:tcPr>
          <w:p>
            <w:pPr>
              <w:spacing w:after="0"/>
              <w:rPr>
                <w:sz w:val="24"/>
                <w:szCs w:val="24"/>
                <w:color w:val="auto"/>
              </w:rPr>
            </w:pPr>
          </w:p>
        </w:tc>
        <w:tc>
          <w:tcPr>
            <w:tcW w:w="1380" w:type="dxa"/>
            <w:vAlign w:val="bottom"/>
          </w:tcPr>
          <w:p>
            <w:pPr>
              <w:jc w:val="right"/>
              <w:ind w:right="128"/>
              <w:spacing w:after="0"/>
              <w:rPr>
                <w:sz w:val="20"/>
                <w:szCs w:val="20"/>
                <w:color w:val="auto"/>
              </w:rPr>
            </w:pPr>
            <w:r>
              <w:rPr>
                <w:rFonts w:ascii="Arial" w:cs="Arial" w:eastAsia="Arial" w:hAnsi="Arial"/>
                <w:sz w:val="14"/>
                <w:szCs w:val="14"/>
                <w:b w:val="1"/>
                <w:bCs w:val="1"/>
                <w:color w:val="auto"/>
                <w:w w:val="91"/>
              </w:rPr>
              <w:t>December 31, 2015</w:t>
            </w:r>
          </w:p>
        </w:tc>
      </w:tr>
      <w:tr>
        <w:trPr>
          <w:trHeight w:val="143"/>
        </w:trPr>
        <w:tc>
          <w:tcPr>
            <w:tcW w:w="150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Gross carrying value</w:t>
            </w:r>
          </w:p>
        </w:tc>
        <w:tc>
          <w:tcPr>
            <w:tcW w:w="160" w:type="dxa"/>
            <w:vAlign w:val="bottom"/>
            <w:tcBorders>
              <w:top w:val="single" w:sz="8" w:color="auto"/>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r>
      <w:tr>
        <w:trPr>
          <w:trHeight w:val="194"/>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($mm)</w:t>
            </w:r>
            <w:r>
              <w:rPr>
                <w:rFonts w:ascii="Arial" w:cs="Arial" w:eastAsia="Arial" w:hAnsi="Arial"/>
                <w:sz w:val="8"/>
                <w:szCs w:val="8"/>
                <w:color w:val="auto"/>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526</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572</w:t>
            </w:r>
          </w:p>
        </w:tc>
      </w:tr>
      <w:tr>
        <w:trPr>
          <w:trHeight w:val="258"/>
        </w:trPr>
        <w:tc>
          <w:tcPr>
            <w:tcW w:w="1500" w:type="dxa"/>
            <w:vAlign w:val="bottom"/>
          </w:tcPr>
          <w:p>
            <w:pPr>
              <w:ind w:left="40"/>
              <w:spacing w:after="0"/>
              <w:rPr>
                <w:sz w:val="20"/>
                <w:szCs w:val="20"/>
                <w:color w:val="auto"/>
              </w:rPr>
            </w:pPr>
            <w:r>
              <w:rPr>
                <w:rFonts w:ascii="Arial" w:cs="Arial" w:eastAsia="Arial" w:hAnsi="Arial"/>
                <w:sz w:val="14"/>
                <w:szCs w:val="14"/>
                <w:color w:val="auto"/>
              </w:rPr>
              <w:t>Occupancy</w:t>
            </w:r>
            <w:r>
              <w:rPr>
                <w:rFonts w:ascii="Arial" w:cs="Arial" w:eastAsia="Arial" w:hAnsi="Arial"/>
                <w:sz w:val="8"/>
                <w:szCs w:val="8"/>
                <w:color w:val="auto"/>
              </w:rPr>
              <w:t>(3)</w:t>
            </w:r>
          </w:p>
        </w:tc>
        <w:tc>
          <w:tcPr>
            <w:tcW w:w="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86%</w:t>
            </w: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54%</w:t>
            </w: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74%</w:t>
            </w:r>
          </w:p>
        </w:tc>
        <w:tc>
          <w:tcPr>
            <w:tcW w:w="1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74%</w:t>
            </w:r>
          </w:p>
        </w:tc>
      </w:tr>
      <w:tr>
        <w:trPr>
          <w:trHeight w:val="270"/>
        </w:trPr>
        <w:tc>
          <w:tcPr>
            <w:tcW w:w="1500" w:type="dxa"/>
            <w:vAlign w:val="bottom"/>
          </w:tcPr>
          <w:p>
            <w:pPr>
              <w:ind w:left="40"/>
              <w:spacing w:after="0"/>
              <w:rPr>
                <w:sz w:val="20"/>
                <w:szCs w:val="20"/>
                <w:color w:val="auto"/>
              </w:rPr>
            </w:pPr>
            <w:r>
              <w:rPr>
                <w:rFonts w:ascii="Arial" w:cs="Arial" w:eastAsia="Arial" w:hAnsi="Arial"/>
                <w:sz w:val="14"/>
                <w:szCs w:val="14"/>
                <w:color w:val="auto"/>
              </w:rPr>
              <w:t>Yield</w:t>
            </w:r>
          </w:p>
        </w:tc>
        <w:tc>
          <w:tcPr>
            <w:tcW w:w="1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8.5%</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5.5%</w:t>
            </w: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01484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______________________________________________________________</w:t>
      </w:r>
    </w:p>
    <w:p>
      <w:pPr>
        <w:spacing w:after="0" w:line="6" w:lineRule="exact"/>
        <w:rPr>
          <w:sz w:val="20"/>
          <w:szCs w:val="20"/>
          <w:color w:val="auto"/>
        </w:rPr>
      </w:pPr>
    </w:p>
    <w:p>
      <w:pPr>
        <w:ind w:left="500" w:hanging="492"/>
        <w:spacing w:after="0" w:line="241" w:lineRule="auto"/>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Stabilized commercial properties generally have occupancy levels above 80% and/or generate yields resulting in a sufficient return based upon the properties’ risk profiles. Transitional commercial properties are generally those properties that do not meet these criteria.</w:t>
      </w:r>
    </w:p>
    <w:p>
      <w:pPr>
        <w:ind w:left="500" w:hanging="492"/>
        <w:spacing w:after="0"/>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Gross carrying value represents carrying value gross of accumulated depreciation.</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Occupancy is as of December 31, 2016 and 2015.</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Residential Operating Properties</w:t>
      </w:r>
    </w:p>
    <w:p>
      <w:pPr>
        <w:spacing w:after="0" w:line="225"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As of December 31, 2016, our residential operating portfolio was comprised of 48 condominium units generally located within luxury projects in major U.S. cities. The table below provides certain statistics for our residential operating property portfolio (excluding fractional units).</w:t>
      </w:r>
    </w:p>
    <w:p>
      <w:pPr>
        <w:spacing w:after="0" w:line="84" w:lineRule="exact"/>
        <w:rPr>
          <w:sz w:val="20"/>
          <w:szCs w:val="20"/>
          <w:color w:val="auto"/>
        </w:rPr>
      </w:pPr>
    </w:p>
    <w:p>
      <w:pPr>
        <w:jc w:val="center"/>
        <w:ind w:right="4580"/>
        <w:spacing w:after="0"/>
        <w:rPr>
          <w:sz w:val="20"/>
          <w:szCs w:val="20"/>
          <w:color w:val="auto"/>
        </w:rPr>
      </w:pPr>
      <w:r>
        <w:rPr>
          <w:rFonts w:ascii="Arial" w:cs="Arial" w:eastAsia="Arial" w:hAnsi="Arial"/>
          <w:sz w:val="14"/>
          <w:szCs w:val="14"/>
          <w:b w:val="1"/>
          <w:bCs w:val="1"/>
          <w:color w:val="auto"/>
        </w:rPr>
        <w:t>Residential Operating Property Statistics</w:t>
      </w:r>
    </w:p>
    <w:p>
      <w:pPr>
        <w:spacing w:after="0" w:line="46" w:lineRule="exact"/>
        <w:rPr>
          <w:sz w:val="20"/>
          <w:szCs w:val="20"/>
          <w:color w:val="auto"/>
        </w:rPr>
      </w:pPr>
    </w:p>
    <w:p>
      <w:pPr>
        <w:jc w:val="center"/>
        <w:ind w:right="4580"/>
        <w:spacing w:after="0"/>
        <w:rPr>
          <w:sz w:val="20"/>
          <w:szCs w:val="20"/>
          <w:color w:val="auto"/>
        </w:rPr>
      </w:pPr>
      <w:r>
        <w:rPr>
          <w:rFonts w:ascii="Arial" w:cs="Arial" w:eastAsia="Arial" w:hAnsi="Arial"/>
          <w:sz w:val="14"/>
          <w:szCs w:val="14"/>
          <w:i w:val="1"/>
          <w:iCs w:val="1"/>
          <w:color w:val="auto"/>
        </w:rPr>
        <w:t>($ 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40" w:type="dxa"/>
            <w:vAlign w:val="bottom"/>
          </w:tcPr>
          <w:p>
            <w:pPr>
              <w:spacing w:after="0"/>
              <w:rPr>
                <w:sz w:val="16"/>
                <w:szCs w:val="16"/>
                <w:color w:val="auto"/>
              </w:rPr>
            </w:pPr>
          </w:p>
        </w:tc>
        <w:tc>
          <w:tcPr>
            <w:tcW w:w="3700" w:type="dxa"/>
            <w:vAlign w:val="bottom"/>
            <w:gridSpan w:val="4"/>
          </w:tcPr>
          <w:p>
            <w:pPr>
              <w:jc w:val="right"/>
              <w:ind w:right="924"/>
              <w:spacing w:after="0"/>
              <w:rPr>
                <w:sz w:val="20"/>
                <w:szCs w:val="20"/>
                <w:color w:val="auto"/>
              </w:rPr>
            </w:pPr>
            <w:r>
              <w:rPr>
                <w:rFonts w:ascii="Arial" w:cs="Arial" w:eastAsia="Arial" w:hAnsi="Arial"/>
                <w:sz w:val="14"/>
                <w:szCs w:val="14"/>
                <w:b w:val="1"/>
                <w:bCs w:val="1"/>
                <w:color w:val="auto"/>
              </w:rPr>
              <w:t>For the Years Ended</w:t>
            </w:r>
          </w:p>
        </w:tc>
        <w:tc>
          <w:tcPr>
            <w:tcW w:w="400" w:type="dxa"/>
            <w:vAlign w:val="bottom"/>
          </w:tcPr>
          <w:p>
            <w:pPr>
              <w:spacing w:after="0"/>
              <w:rPr>
                <w:sz w:val="16"/>
                <w:szCs w:val="16"/>
                <w:color w:val="auto"/>
              </w:rPr>
            </w:pPr>
          </w:p>
        </w:tc>
      </w:tr>
      <w:tr>
        <w:trPr>
          <w:trHeight w:val="276"/>
        </w:trPr>
        <w:tc>
          <w:tcPr>
            <w:tcW w:w="274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2016</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2015</w:t>
            </w:r>
          </w:p>
        </w:tc>
        <w:tc>
          <w:tcPr>
            <w:tcW w:w="400" w:type="dxa"/>
            <w:vAlign w:val="bottom"/>
            <w:tcBorders>
              <w:bottom w:val="single" w:sz="8" w:color="auto"/>
            </w:tcBorders>
          </w:tcPr>
          <w:p>
            <w:pPr>
              <w:spacing w:after="0"/>
              <w:rPr>
                <w:sz w:val="24"/>
                <w:szCs w:val="24"/>
                <w:color w:val="auto"/>
              </w:rPr>
            </w:pPr>
          </w:p>
        </w:tc>
      </w:tr>
      <w:tr>
        <w:trPr>
          <w:trHeight w:val="25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Condominium units sold</w:t>
            </w:r>
          </w:p>
        </w:tc>
        <w:tc>
          <w:tcPr>
            <w:tcW w:w="16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Proceeds</w:t>
            </w:r>
          </w:p>
        </w:tc>
        <w:tc>
          <w:tcPr>
            <w:tcW w:w="1620" w:type="dxa"/>
            <w:vAlign w:val="bottom"/>
          </w:tcPr>
          <w:p>
            <w:pPr>
              <w:jc w:val="right"/>
              <w:ind w:right="144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96.2</w:t>
            </w:r>
          </w:p>
        </w:tc>
        <w:tc>
          <w:tcPr>
            <w:tcW w:w="100" w:type="dxa"/>
            <w:vAlign w:val="bottom"/>
          </w:tcPr>
          <w:p>
            <w:pPr>
              <w:spacing w:after="0"/>
              <w:rPr>
                <w:sz w:val="22"/>
                <w:szCs w:val="22"/>
                <w:color w:val="auto"/>
              </w:rPr>
            </w:pPr>
          </w:p>
        </w:tc>
        <w:tc>
          <w:tcPr>
            <w:tcW w:w="1600" w:type="dxa"/>
            <w:vAlign w:val="bottom"/>
          </w:tcPr>
          <w:p>
            <w:pPr>
              <w:jc w:val="right"/>
              <w:ind w:right="1424"/>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w w:val="91"/>
              </w:rPr>
              <w:t>126.2</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sales of real estate</w:t>
            </w:r>
          </w:p>
        </w:tc>
        <w:tc>
          <w:tcPr>
            <w:tcW w:w="1620" w:type="dxa"/>
            <w:vAlign w:val="bottom"/>
            <w:shd w:val="clear" w:color="auto" w:fill="CCEEFF"/>
          </w:tcPr>
          <w:p>
            <w:pPr>
              <w:jc w:val="right"/>
              <w:ind w:right="144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26.1</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1424"/>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w:t>
            </w:r>
          </w:p>
        </w:tc>
      </w:tr>
      <w:tr>
        <w:trPr>
          <w:trHeight w:val="459"/>
        </w:trPr>
        <w:tc>
          <w:tcPr>
            <w:tcW w:w="2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jc w:val="right"/>
              <w:ind w:right="564"/>
              <w:spacing w:after="0"/>
              <w:rPr>
                <w:sz w:val="20"/>
                <w:szCs w:val="20"/>
                <w:color w:val="auto"/>
              </w:rPr>
            </w:pPr>
            <w:r>
              <w:rPr>
                <w:rFonts w:ascii="Arial" w:cs="Arial" w:eastAsia="Arial" w:hAnsi="Arial"/>
                <w:sz w:val="18"/>
                <w:szCs w:val="18"/>
                <w:color w:val="auto"/>
              </w:rPr>
              <w:t>35</w:t>
            </w:r>
          </w:p>
        </w:tc>
        <w:tc>
          <w:tcPr>
            <w:tcW w:w="40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 and Development</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of December 31, 2016, our land and development portfolio, including equity method investments, totaled $1.0 billion, with eight projects in production, nine in development and 14 in the pre-development phase. These projects are collectively entitled for approximately 15,000 lots and units. The following tables presents certain statistics for our land and development portfolio.</w:t>
      </w:r>
    </w:p>
    <w:p>
      <w:pPr>
        <w:spacing w:after="0" w:line="119" w:lineRule="exact"/>
        <w:rPr>
          <w:sz w:val="20"/>
          <w:szCs w:val="20"/>
          <w:color w:val="auto"/>
        </w:rPr>
      </w:pPr>
    </w:p>
    <w:p>
      <w:pPr>
        <w:jc w:val="center"/>
        <w:ind w:right="4580"/>
        <w:spacing w:after="0"/>
        <w:rPr>
          <w:sz w:val="20"/>
          <w:szCs w:val="20"/>
          <w:color w:val="auto"/>
        </w:rPr>
      </w:pPr>
      <w:r>
        <w:rPr>
          <w:rFonts w:ascii="Arial" w:cs="Arial" w:eastAsia="Arial" w:hAnsi="Arial"/>
          <w:sz w:val="14"/>
          <w:szCs w:val="14"/>
          <w:b w:val="1"/>
          <w:bCs w:val="1"/>
          <w:color w:val="auto"/>
        </w:rPr>
        <w:t>Land and Development Portfolio Rollforward</w:t>
      </w:r>
    </w:p>
    <w:p>
      <w:pPr>
        <w:spacing w:after="0" w:line="46" w:lineRule="exact"/>
        <w:rPr>
          <w:sz w:val="20"/>
          <w:szCs w:val="20"/>
          <w:color w:val="auto"/>
        </w:rPr>
      </w:pPr>
    </w:p>
    <w:p>
      <w:pPr>
        <w:jc w:val="center"/>
        <w:ind w:right="4580"/>
        <w:spacing w:after="0"/>
        <w:rPr>
          <w:sz w:val="20"/>
          <w:szCs w:val="20"/>
          <w:color w:val="auto"/>
        </w:rPr>
      </w:pPr>
      <w:r>
        <w:rPr>
          <w:rFonts w:ascii="Arial" w:cs="Arial" w:eastAsia="Arial" w:hAnsi="Arial"/>
          <w:sz w:val="14"/>
          <w:szCs w:val="14"/>
          <w:i w:val="1"/>
          <w:iCs w:val="1"/>
          <w:color w:val="auto"/>
        </w:rPr>
        <w:t>(in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Years Ended</w:t>
            </w:r>
          </w:p>
        </w:tc>
        <w:tc>
          <w:tcPr>
            <w:tcW w:w="1620" w:type="dxa"/>
            <w:vAlign w:val="bottom"/>
          </w:tcPr>
          <w:p>
            <w:pPr>
              <w:spacing w:after="0"/>
              <w:rPr>
                <w:sz w:val="16"/>
                <w:szCs w:val="16"/>
                <w:color w:val="auto"/>
              </w:rPr>
            </w:pPr>
          </w:p>
        </w:tc>
      </w:tr>
      <w:tr>
        <w:trPr>
          <w:trHeight w:val="276"/>
        </w:trPr>
        <w:tc>
          <w:tcPr>
            <w:tcW w:w="2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 2016</w:t>
            </w:r>
          </w:p>
        </w:tc>
        <w:tc>
          <w:tcPr>
            <w:tcW w:w="380" w:type="dxa"/>
            <w:vAlign w:val="bottom"/>
          </w:tcPr>
          <w:p>
            <w:pPr>
              <w:spacing w:after="0"/>
              <w:rPr>
                <w:sz w:val="24"/>
                <w:szCs w:val="24"/>
                <w:color w:val="auto"/>
              </w:rPr>
            </w:pPr>
          </w:p>
        </w:tc>
        <w:tc>
          <w:tcPr>
            <w:tcW w:w="1620" w:type="dxa"/>
            <w:vAlign w:val="bottom"/>
          </w:tcPr>
          <w:p>
            <w:pPr>
              <w:jc w:val="right"/>
              <w:ind w:right="348"/>
              <w:spacing w:after="0"/>
              <w:rPr>
                <w:sz w:val="20"/>
                <w:szCs w:val="20"/>
                <w:color w:val="auto"/>
              </w:rPr>
            </w:pPr>
            <w:r>
              <w:rPr>
                <w:rFonts w:ascii="Arial" w:cs="Arial" w:eastAsia="Arial" w:hAnsi="Arial"/>
                <w:sz w:val="14"/>
                <w:szCs w:val="14"/>
                <w:b w:val="1"/>
                <w:bCs w:val="1"/>
                <w:color w:val="auto"/>
                <w:w w:val="93"/>
              </w:rPr>
              <w:t>December 31, 2015</w:t>
            </w:r>
          </w:p>
        </w:tc>
      </w:tr>
      <w:tr>
        <w:trPr>
          <w:trHeight w:val="256"/>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Beginning balance</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7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1,002.0</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979.0</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Asset sales</w:t>
            </w:r>
            <w:r>
              <w:rPr>
                <w:rFonts w:ascii="Arial" w:cs="Arial" w:eastAsia="Arial" w:hAnsi="Arial"/>
                <w:sz w:val="8"/>
                <w:szCs w:val="8"/>
                <w:color w:val="auto"/>
              </w:rPr>
              <w:t>(1)</w:t>
            </w:r>
          </w:p>
        </w:tc>
        <w:tc>
          <w:tcPr>
            <w:tcW w:w="26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(68.9)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(65.2)</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 transfers in (out)</w:t>
            </w:r>
            <w:r>
              <w:rPr>
                <w:rFonts w:ascii="Arial" w:cs="Arial" w:eastAsia="Arial" w:hAnsi="Arial"/>
                <w:sz w:val="8"/>
                <w:szCs w:val="8"/>
                <w:color w:val="auto"/>
              </w:rPr>
              <w:t>(2)</w:t>
            </w:r>
          </w:p>
        </w:tc>
        <w:tc>
          <w:tcPr>
            <w:tcW w:w="260" w:type="dxa"/>
            <w:vAlign w:val="bottom"/>
            <w:shd w:val="clear" w:color="auto" w:fill="CCEEFF"/>
          </w:tcPr>
          <w:p>
            <w:pPr>
              <w:spacing w:after="0"/>
              <w:rPr>
                <w:sz w:val="24"/>
                <w:szCs w:val="2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Capital expenditures</w:t>
            </w:r>
          </w:p>
        </w:tc>
        <w:tc>
          <w:tcPr>
            <w:tcW w:w="260" w:type="dxa"/>
            <w:vAlign w:val="bottom"/>
          </w:tcPr>
          <w:p>
            <w:pPr>
              <w:spacing w:after="0"/>
              <w:rPr>
                <w:sz w:val="22"/>
                <w:szCs w:val="22"/>
                <w:color w:val="auto"/>
              </w:rPr>
            </w:pPr>
          </w:p>
        </w:tc>
        <w:tc>
          <w:tcPr>
            <w:tcW w:w="1740" w:type="dxa"/>
            <w:vAlign w:val="bottom"/>
          </w:tcPr>
          <w:p>
            <w:pPr>
              <w:jc w:val="right"/>
              <w:ind w:right="8"/>
              <w:spacing w:after="0"/>
              <w:rPr>
                <w:sz w:val="20"/>
                <w:szCs w:val="20"/>
                <w:color w:val="auto"/>
              </w:rPr>
            </w:pPr>
            <w:r>
              <w:rPr>
                <w:rFonts w:ascii="Arial" w:cs="Arial" w:eastAsia="Arial" w:hAnsi="Arial"/>
                <w:sz w:val="14"/>
                <w:szCs w:val="14"/>
                <w:color w:val="auto"/>
              </w:rPr>
              <w:t>109.5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95.0</w:t>
            </w: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r>
      <w:tr>
        <w:trPr>
          <w:trHeight w:val="244"/>
        </w:trPr>
        <w:tc>
          <w:tcPr>
            <w:tcW w:w="2740" w:type="dxa"/>
            <w:vAlign w:val="bottom"/>
          </w:tcPr>
          <w:p>
            <w:pPr>
              <w:ind w:left="40"/>
              <w:spacing w:after="0"/>
              <w:rPr>
                <w:sz w:val="20"/>
                <w:szCs w:val="20"/>
                <w:color w:val="auto"/>
              </w:rPr>
            </w:pPr>
            <w:r>
              <w:rPr>
                <w:rFonts w:ascii="Arial" w:cs="Arial" w:eastAsia="Arial" w:hAnsi="Arial"/>
                <w:sz w:val="14"/>
                <w:szCs w:val="14"/>
                <w:color w:val="auto"/>
              </w:rPr>
              <w:t>Ending balance</w:t>
            </w:r>
            <w:r>
              <w:rPr>
                <w:rFonts w:ascii="Arial" w:cs="Arial" w:eastAsia="Arial" w:hAnsi="Arial"/>
                <w:sz w:val="8"/>
                <w:szCs w:val="8"/>
                <w:color w:val="auto"/>
              </w:rPr>
              <w:t>(3)</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8"/>
              <w:spacing w:after="0"/>
              <w:rPr>
                <w:sz w:val="20"/>
                <w:szCs w:val="20"/>
                <w:color w:val="auto"/>
              </w:rPr>
            </w:pPr>
            <w:r>
              <w:rPr>
                <w:rFonts w:ascii="Arial" w:cs="Arial" w:eastAsia="Arial" w:hAnsi="Arial"/>
                <w:sz w:val="14"/>
                <w:szCs w:val="14"/>
                <w:color w:val="auto"/>
              </w:rPr>
              <w:t>945.6</w:t>
            </w:r>
          </w:p>
        </w:tc>
        <w:tc>
          <w:tcPr>
            <w:tcW w:w="100" w:type="dxa"/>
            <w:vAlign w:val="bottom"/>
          </w:tcPr>
          <w:p>
            <w:pPr>
              <w:spacing w:after="0"/>
              <w:rPr>
                <w:sz w:val="21"/>
                <w:szCs w:val="21"/>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1,002.0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1737360</wp:posOffset>
            </wp:positionH>
            <wp:positionV relativeFrom="paragraph">
              <wp:posOffset>0</wp:posOffset>
            </wp:positionV>
            <wp:extent cx="26073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1737360</wp:posOffset>
            </wp:positionH>
            <wp:positionV relativeFrom="paragraph">
              <wp:posOffset>-98425</wp:posOffset>
            </wp:positionV>
            <wp:extent cx="26073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5" w:lineRule="exact"/>
        <w:rPr>
          <w:sz w:val="20"/>
          <w:szCs w:val="20"/>
          <w:color w:val="auto"/>
        </w:rPr>
      </w:pPr>
    </w:p>
    <w:p>
      <w:pPr>
        <w:ind w:left="820" w:hanging="812"/>
        <w:spacing w:after="0"/>
        <w:tabs>
          <w:tab w:leader="none" w:pos="8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Represents gross carrying value of the assets sold, rather than proceeds received.</w:t>
      </w:r>
    </w:p>
    <w:p>
      <w:pPr>
        <w:spacing w:after="0" w:line="95" w:lineRule="exact"/>
        <w:rPr>
          <w:rFonts w:ascii="Arial" w:cs="Arial" w:eastAsia="Arial" w:hAnsi="Arial"/>
          <w:sz w:val="14"/>
          <w:szCs w:val="14"/>
          <w:color w:val="auto"/>
        </w:rPr>
      </w:pPr>
    </w:p>
    <w:p>
      <w:pPr>
        <w:ind w:left="820" w:hanging="812"/>
        <w:spacing w:after="0"/>
        <w:tabs>
          <w:tab w:leader="none" w:pos="8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Assets transferred into land and development segment or out to another segment.</w:t>
      </w:r>
    </w:p>
    <w:p>
      <w:pPr>
        <w:spacing w:after="0" w:line="95" w:lineRule="exact"/>
        <w:rPr>
          <w:rFonts w:ascii="Arial" w:cs="Arial" w:eastAsia="Arial" w:hAnsi="Arial"/>
          <w:sz w:val="14"/>
          <w:szCs w:val="14"/>
          <w:color w:val="auto"/>
        </w:rPr>
      </w:pPr>
    </w:p>
    <w:p>
      <w:pPr>
        <w:ind w:left="820" w:hanging="812"/>
        <w:spacing w:after="0"/>
        <w:tabs>
          <w:tab w:leader="none" w:pos="8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Excludes $84.8 million and $100.4 million, respectively, of equity method investments as of December 31, 2016 and 2015.</w:t>
      </w:r>
    </w:p>
    <w:p>
      <w:pPr>
        <w:spacing w:after="0" w:line="200" w:lineRule="exact"/>
        <w:rPr>
          <w:sz w:val="20"/>
          <w:szCs w:val="20"/>
          <w:color w:val="auto"/>
        </w:rPr>
      </w:pPr>
    </w:p>
    <w:p>
      <w:pPr>
        <w:jc w:val="center"/>
        <w:ind w:right="3320"/>
        <w:spacing w:after="0"/>
        <w:rPr>
          <w:sz w:val="20"/>
          <w:szCs w:val="20"/>
          <w:color w:val="auto"/>
        </w:rPr>
      </w:pPr>
      <w:r>
        <w:rPr>
          <w:rFonts w:ascii="Arial" w:cs="Arial" w:eastAsia="Arial" w:hAnsi="Arial"/>
          <w:sz w:val="14"/>
          <w:szCs w:val="14"/>
          <w:b w:val="1"/>
          <w:bCs w:val="1"/>
          <w:color w:val="auto"/>
        </w:rPr>
        <w:t>Land and Development Statistics</w:t>
      </w:r>
    </w:p>
    <w:p>
      <w:pPr>
        <w:spacing w:after="0" w:line="46" w:lineRule="exact"/>
        <w:rPr>
          <w:sz w:val="20"/>
          <w:szCs w:val="20"/>
          <w:color w:val="auto"/>
        </w:rPr>
      </w:pPr>
    </w:p>
    <w:p>
      <w:pPr>
        <w:jc w:val="center"/>
        <w:ind w:right="3320"/>
        <w:spacing w:after="0"/>
        <w:rPr>
          <w:sz w:val="20"/>
          <w:szCs w:val="20"/>
          <w:color w:val="auto"/>
        </w:rPr>
      </w:pPr>
      <w:r>
        <w:rPr>
          <w:rFonts w:ascii="Arial" w:cs="Arial" w:eastAsia="Arial" w:hAnsi="Arial"/>
          <w:sz w:val="14"/>
          <w:szCs w:val="14"/>
          <w:i w:val="1"/>
          <w:iCs w:val="1"/>
          <w:color w:val="auto"/>
        </w:rPr>
        <w:t>(in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Years Ended</w:t>
            </w:r>
          </w:p>
        </w:tc>
        <w:tc>
          <w:tcPr>
            <w:tcW w:w="1600" w:type="dxa"/>
            <w:vAlign w:val="bottom"/>
          </w:tcPr>
          <w:p>
            <w:pPr>
              <w:spacing w:after="0"/>
              <w:rPr>
                <w:sz w:val="16"/>
                <w:szCs w:val="16"/>
                <w:color w:val="auto"/>
              </w:rPr>
            </w:pPr>
          </w:p>
        </w:tc>
      </w:tr>
      <w:tr>
        <w:trPr>
          <w:trHeight w:val="276"/>
        </w:trPr>
        <w:tc>
          <w:tcPr>
            <w:tcW w:w="402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2016</w:t>
            </w: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w w:val="93"/>
              </w:rPr>
              <w:t>December 31, 2015</w:t>
            </w:r>
          </w:p>
        </w:tc>
      </w:tr>
      <w:tr>
        <w:trPr>
          <w:trHeight w:val="256"/>
        </w:trPr>
        <w:tc>
          <w:tcPr>
            <w:tcW w:w="4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Land development revenue</w:t>
            </w:r>
          </w:p>
        </w:tc>
        <w:tc>
          <w:tcPr>
            <w:tcW w:w="1620" w:type="dxa"/>
            <w:vAlign w:val="bottom"/>
            <w:shd w:val="clear" w:color="auto" w:fill="CCEEFF"/>
          </w:tcPr>
          <w:p>
            <w:pPr>
              <w:jc w:val="right"/>
              <w:ind w:right="144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100.2</w:t>
            </w:r>
          </w:p>
        </w:tc>
      </w:tr>
      <w:tr>
        <w:trPr>
          <w:trHeight w:val="264"/>
        </w:trPr>
        <w:tc>
          <w:tcPr>
            <w:tcW w:w="40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Land development cost of sales</w:t>
            </w:r>
          </w:p>
        </w:tc>
        <w:tc>
          <w:tcPr>
            <w:tcW w:w="16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67.4</w:t>
            </w:r>
          </w:p>
        </w:tc>
      </w:tr>
      <w:tr>
        <w:trPr>
          <w:trHeight w:val="256"/>
        </w:trPr>
        <w:tc>
          <w:tcPr>
            <w:tcW w:w="4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Land development revenue less cost of sales</w:t>
            </w:r>
          </w:p>
        </w:tc>
        <w:tc>
          <w:tcPr>
            <w:tcW w:w="1620" w:type="dxa"/>
            <w:vAlign w:val="bottom"/>
            <w:shd w:val="clear" w:color="auto" w:fill="CCEEFF"/>
          </w:tcPr>
          <w:p>
            <w:pPr>
              <w:jc w:val="right"/>
              <w:ind w:right="144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r>
      <w:tr>
        <w:trPr>
          <w:trHeight w:val="264"/>
        </w:trPr>
        <w:tc>
          <w:tcPr>
            <w:tcW w:w="4020" w:type="dxa"/>
            <w:vAlign w:val="bottom"/>
          </w:tcPr>
          <w:p>
            <w:pPr>
              <w:ind w:left="40"/>
              <w:spacing w:after="0"/>
              <w:rPr>
                <w:sz w:val="20"/>
                <w:szCs w:val="20"/>
                <w:color w:val="auto"/>
              </w:rPr>
            </w:pPr>
            <w:r>
              <w:rPr>
                <w:rFonts w:ascii="Arial" w:cs="Arial" w:eastAsia="Arial" w:hAnsi="Arial"/>
                <w:sz w:val="14"/>
                <w:szCs w:val="14"/>
                <w:color w:val="auto"/>
              </w:rPr>
              <w:t>Earnings from land development equity method investments</w:t>
            </w:r>
          </w:p>
        </w:tc>
        <w:tc>
          <w:tcPr>
            <w:tcW w:w="16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30.0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16.7</w:t>
            </w:r>
          </w:p>
        </w:tc>
      </w:tr>
      <w:tr>
        <w:trPr>
          <w:trHeight w:val="270"/>
        </w:trPr>
        <w:tc>
          <w:tcPr>
            <w:tcW w:w="4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sales of real estate</w:t>
            </w:r>
            <w:r>
              <w:rPr>
                <w:rFonts w:ascii="Arial" w:cs="Arial" w:eastAsia="Arial" w:hAnsi="Arial"/>
                <w:sz w:val="8"/>
                <w:szCs w:val="8"/>
                <w:color w:val="auto"/>
              </w:rPr>
              <w:t>(1)</w:t>
            </w:r>
          </w:p>
        </w:tc>
        <w:tc>
          <w:tcPr>
            <w:tcW w:w="162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44"/>
        </w:trPr>
        <w:tc>
          <w:tcPr>
            <w:tcW w:w="4020" w:type="dxa"/>
            <w:vAlign w:val="bottom"/>
          </w:tcPr>
          <w:p>
            <w:pPr>
              <w:ind w:left="40"/>
              <w:spacing w:after="0"/>
              <w:rPr>
                <w:sz w:val="20"/>
                <w:szCs w:val="20"/>
                <w:color w:val="auto"/>
              </w:rPr>
            </w:pPr>
            <w:r>
              <w:rPr>
                <w:rFonts w:ascii="Arial" w:cs="Arial" w:eastAsia="Arial" w:hAnsi="Arial"/>
                <w:sz w:val="14"/>
                <w:szCs w:val="14"/>
                <w:color w:val="auto"/>
              </w:rPr>
              <w:t>Total</w:t>
            </w:r>
          </w:p>
        </w:tc>
        <w:tc>
          <w:tcPr>
            <w:tcW w:w="1620" w:type="dxa"/>
            <w:vAlign w:val="bottom"/>
          </w:tcPr>
          <w:p>
            <w:pPr>
              <w:jc w:val="right"/>
              <w:ind w:right="1448"/>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65.1</w:t>
            </w:r>
          </w:p>
        </w:tc>
        <w:tc>
          <w:tcPr>
            <w:tcW w:w="120" w:type="dxa"/>
            <w:vAlign w:val="bottom"/>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49.5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0</wp:posOffset>
            </wp:positionV>
            <wp:extent cx="25901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-98425</wp:posOffset>
            </wp:positionV>
            <wp:extent cx="25901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ind w:left="660" w:right="20" w:hanging="652"/>
        <w:spacing w:after="0" w:line="293" w:lineRule="auto"/>
        <w:tabs>
          <w:tab w:leader="none" w:pos="660" w:val="left"/>
        </w:tabs>
        <w:numPr>
          <w:ilvl w:val="0"/>
          <w:numId w:val="25"/>
        </w:numPr>
        <w:rPr>
          <w:rFonts w:ascii="Arial" w:cs="Arial" w:eastAsia="Arial" w:hAnsi="Arial"/>
          <w:sz w:val="13"/>
          <w:szCs w:val="13"/>
          <w:color w:val="auto"/>
        </w:rPr>
      </w:pPr>
      <w:r>
        <w:rPr>
          <w:rFonts w:ascii="Arial" w:cs="Arial" w:eastAsia="Arial" w:hAnsi="Arial"/>
          <w:sz w:val="13"/>
          <w:szCs w:val="13"/>
          <w:color w:val="auto"/>
        </w:rPr>
        <w:t>During the year ended December 31, 2016, we sold a land and development asset to a newly formed unconsolidated entity in which we own a 50.0% equity interest and recognized a gain of $8.8 million, reflecting our share of the interest sold to a third party, which was recorded as "Income from sales of real estate" in our consolidated statement of operations.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 Ended December 31, 2016 compared to the Year Ended December 31, 2015</w:t>
      </w:r>
    </w:p>
    <w:p>
      <w:pPr>
        <w:spacing w:after="0" w:line="342" w:lineRule="exact"/>
        <w:rPr>
          <w:sz w:val="20"/>
          <w:szCs w:val="20"/>
          <w:color w:val="auto"/>
        </w:rPr>
      </w:pPr>
    </w:p>
    <w:p>
      <w:pPr>
        <w:jc w:val="center"/>
        <w:ind w:left="1800"/>
        <w:spacing w:after="0"/>
        <w:rPr>
          <w:sz w:val="20"/>
          <w:szCs w:val="20"/>
          <w:color w:val="auto"/>
        </w:rPr>
      </w:pPr>
      <w:r>
        <w:rPr>
          <w:rFonts w:ascii="Arial" w:cs="Arial" w:eastAsia="Arial" w:hAnsi="Arial"/>
          <w:sz w:val="14"/>
          <w:szCs w:val="14"/>
          <w:b w:val="1"/>
          <w:bCs w:val="1"/>
          <w:color w:val="auto"/>
        </w:rPr>
        <w:t>For the Years Ended</w:t>
      </w:r>
    </w:p>
    <w:p>
      <w:pPr>
        <w:spacing w:after="0" w:line="4" w:lineRule="exact"/>
        <w:rPr>
          <w:sz w:val="20"/>
          <w:szCs w:val="20"/>
          <w:color w:val="auto"/>
        </w:rPr>
      </w:pPr>
    </w:p>
    <w:p>
      <w:pPr>
        <w:jc w:val="center"/>
        <w:ind w:left="18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13335</wp:posOffset>
            </wp:positionV>
            <wp:extent cx="19380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213,018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229,720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(16,702)</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129,153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134,687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(5,534)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49,931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(3,416)</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Land development revenue</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88,340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100,216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(11,876)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64"/>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477,026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514,554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(37,528)</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221,398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224,639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138,422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146,750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(8,328)</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Land development cost of sales</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62,007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67,382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(5,375)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65,247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(10,918)</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84,027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81,277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2,750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3 %</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(Recovery of) provision for loan losses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36,567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(49,081)</w:t>
            </w:r>
          </w:p>
        </w:tc>
        <w:tc>
          <w:tcPr>
            <w:tcW w:w="172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&lt;(100%)</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Impairment of assets</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14,484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10,524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3,960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38 %</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6,374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7"/>
        </w:trPr>
        <w:tc>
          <w:tcPr>
            <w:tcW w:w="508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568,036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638,760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(70,724)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early extinguishment of debt, net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72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&gt;100%</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Earnings from equity method investments</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77,349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32,153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45,196</w:t>
            </w:r>
          </w:p>
        </w:tc>
        <w:tc>
          <w:tcPr>
            <w:tcW w:w="1720" w:type="dxa"/>
            <w:vAlign w:val="bottom"/>
            <w:gridSpan w:val="2"/>
          </w:tcPr>
          <w:p>
            <w:pPr>
              <w:jc w:val="right"/>
              <w:ind w:right="168"/>
              <w:spacing w:after="0"/>
              <w:rPr>
                <w:sz w:val="20"/>
                <w:szCs w:val="20"/>
                <w:color w:val="auto"/>
              </w:rPr>
            </w:pPr>
            <w:r>
              <w:rPr>
                <w:rFonts w:ascii="Arial" w:cs="Arial" w:eastAsia="Arial" w:hAnsi="Arial"/>
                <w:sz w:val="18"/>
                <w:szCs w:val="18"/>
                <w:color w:val="auto"/>
              </w:rPr>
              <w:t>&gt;100%</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17,805</w:t>
            </w:r>
          </w:p>
        </w:tc>
        <w:tc>
          <w:tcPr>
            <w:tcW w:w="172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&gt;100%</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Income from sales of real estate</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105,296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93,816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11,480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12 %</w:t>
            </w:r>
          </w:p>
        </w:tc>
      </w:tr>
      <w:tr>
        <w:trPr>
          <w:trHeight w:val="27"/>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100,182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106,339</w:t>
            </w:r>
          </w:p>
        </w:tc>
        <w:tc>
          <w:tcPr>
            <w:tcW w:w="172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&lt;(100%)</w:t>
            </w: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color w:val="auto"/>
        </w:rPr>
        <w:t>—Operating lease income, which primarily includes income from net lease assets and commercial operating properties, decreased to $213.0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2016 from $229.7 million in 2015.</w:t>
      </w:r>
    </w:p>
    <w:p>
      <w:pPr>
        <w:spacing w:after="0" w:line="17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Operating lease income from net lease assets decreased slightly to $148.0 million in 2016 from $151.5 million in 2015. The decrease was primarily due to the sale of net lease assets in 2015 and 2016 partially offset by the execution of new leases. Operating lease income for same store net lease assets, defined as net lease assets we owned on or prior to January 1, 2015 and were in service through December 31, 2016, increased to $137.0 million in 2016 from $132.7 million in 2015 due primarily to an increase in rent per occupied square foot, which was $10.07 for 2016 and $9.72 for 2015, partially offset by a slight decrease in the occupancy rate, which was 98.0% as of December 31, 2016 and 98.2% as of December 31, 2015.</w:t>
      </w:r>
    </w:p>
    <w:p>
      <w:pPr>
        <w:spacing w:after="0" w:line="173"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Operating lease income from operating properties decreased to $64.6 million in 2016 from $77.5 million in 2015. The decrease was primarily due to commercial operating property sales in 2015 and 2016, partially offset by the execution of new leases. Operating lease income from same store commercial operating properties, defined as commercial operating properties, excluding hotels, we owned on or prior to January 1, 2015 and were in service through December 31, 2016, increased to $45.2 million in 2016 from $42.1 million in 2015 due primarily to an increase in rent per occupied square foot for same store commercial operating properties, which increased to $24.62 in 2016 from $22.92 in 2015. The increase in rent per occupied square foot was partially offset by a decrease in occupancy rates, which decreased to 70.2% as of December 31, 2016 from 71.5% as of December 31, 2015. Ancillary operating lease income from land and development assets decreased to $0.4 million in 2016 from $0.8 million in 2015.</w:t>
      </w:r>
    </w:p>
    <w:p>
      <w:pPr>
        <w:spacing w:after="0" w:line="17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Interest income decreased to $129.2 million in 2016 from $134.7 million in 2015. The decrease in interest income was due primarily to a decrease in the average balance of our performing loans to $1.40 billion for 2016 from $1.52 billion for 2015. The weighted average yield of our performing loans increased to 8.9% for 2016 from 8.8% for 2015.</w:t>
      </w:r>
    </w:p>
    <w:p>
      <w:pPr>
        <w:spacing w:after="0" w:line="14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Other income decreased to $46.5 million in 2016 from $49.9 million in 2015. The decrease in 2016 was primarily due to a financing commitment termination fee, lease termination fees and a guarantor settlement on an operating property recognized in 2015, partially offset by an increase in hotel income in 2016.</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b w:val="1"/>
          <w:bCs w:val="1"/>
          <w:i w:val="1"/>
          <w:iCs w:val="1"/>
          <w:color w:val="auto"/>
        </w:rPr>
        <w:t>Land development revenue and cost of sales</w:t>
      </w:r>
      <w:r>
        <w:rPr>
          <w:rFonts w:ascii="Arial" w:cs="Arial" w:eastAsia="Arial" w:hAnsi="Arial"/>
          <w:sz w:val="18"/>
          <w:szCs w:val="18"/>
          <w:color w:val="auto"/>
        </w:rPr>
        <w:t>—In 2016, we sold residential lots, units and parcels for proceeds of $88.3 million which had associated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of sales of $62.0 million. In 2015, we sold residential lots and units for proceeds of $100.2 million which had associated cost of sales of $67.4 million. The decrease in 2016 from 2015 was primarily due to the bulk sale of two land parcels in 2015.</w:t>
      </w:r>
    </w:p>
    <w:p>
      <w:pPr>
        <w:spacing w:after="0" w:line="14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b w:val="1"/>
          <w:bCs w:val="1"/>
          <w:i w:val="1"/>
          <w:iCs w:val="1"/>
          <w:color w:val="auto"/>
        </w:rPr>
        <w:t>Costs and expenses</w:t>
      </w:r>
      <w:r>
        <w:rPr>
          <w:rFonts w:ascii="Arial" w:cs="Arial" w:eastAsia="Arial" w:hAnsi="Arial"/>
          <w:sz w:val="17"/>
          <w:szCs w:val="17"/>
          <w:color w:val="auto"/>
        </w:rPr>
        <w:t>—Interest expense decreased to $221.4 million in 2016 from $224.6 million in 2015. The decrease in interest expense was due to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lower average outstanding debt balance, partially offset by a higher weighted average cost of debt. The average outstanding balance of our debt decreased to $4.00 billion for 2016 from $4.18 billion for 2015. Our weighted average cost of debt increased to 5.6% for 2016 from 5.4% for 2015.</w:t>
      </w:r>
    </w:p>
    <w:p>
      <w:pPr>
        <w:spacing w:after="0" w:line="12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Real estate expenses decreased to $138.4 million in 2016 from $146.8 million in 2015. The decrease was due primarily to a decline in expenses for commercial operating properties to $73.6 million in 2016 from $81.7 million in 2015 due primarily to the sale of operating properties in 2016 and 2015. Expenses associated with residential units decreased to $8.8 million in 2016 from $14.2 million in 2015 due to unit sales. Expenses for same store commercial operating properties, excluding hotels, increased slightly to $30.2 million in 2016 from $29.6 million in 2015. Expenses for net lease assets decreased to $19.1 million in 2016 from $21.9 million in 2015. This decrease was primarily due to asset sales during 2015 and 2016. Expenses for same store net lease assets increased slightly to $17.1 million in 2016 from $17.0 million for 2015. Carry costs and other expenses on our land and development assets increased to $37.0 million in 2016 from $29.0 million in 2015, primarily related to an increase in costs incurred on certain land and development projects prior to development and an increase in marketing costs.</w:t>
      </w:r>
    </w:p>
    <w:p>
      <w:pPr>
        <w:spacing w:after="0" w:line="1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Depreciation and amortization decreased to $54.3 million in 2016 from $65.2 million for the same period in 2015. The decrease was primarily due to the sale of net lease assets and commercial operating properties in 2015 and 2016.</w:t>
      </w:r>
    </w:p>
    <w:p>
      <w:pPr>
        <w:spacing w:after="0" w:line="130"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General and administrative expenses increased to $84.0 million in 2016 from $81.3 million in 2015. The increase was primarily due to an increase in payroll related costs.</w:t>
      </w:r>
    </w:p>
    <w:p>
      <w:pPr>
        <w:spacing w:after="0" w:line="13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Net recovery of loan losses was $12.5 million in 2016 as compared to a net provision for loan losses of $36.6 million in 2015. Included in the net recovery for 2016 were recoveries of specific reserves of $13.7 million and a decrease in the general reserve of $12.7 million, partially offset by new specific reserves of $13.9 million. Included in the net provision for 2015 were provisions for specific reserves of $34.1 million due primarily to one new nonperforming loan and an increase in the general reserve of $2.5 million due primarily to new investment originations.</w:t>
      </w:r>
    </w:p>
    <w:p>
      <w:pPr>
        <w:spacing w:after="0" w:line="14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2016, we recorded impairments of $14.5 million comprised of $3.8 million on a land asset resulting from a change in business strategy, $5.8 million on residential operating properties resulting from unfavorable local market conditions and $4.9 million on the sale of net lease assets. In 2015, we recorded impairments on real estate assets totaling $10.5 million resulting from a change in business strategy on one land and development asset and two commercial operating properties and unfavorable local market conditions for one residential property.</w:t>
      </w:r>
    </w:p>
    <w:p>
      <w:pPr>
        <w:spacing w:after="0" w:line="14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Other expense decreased to $5.9 million in 2016 from $6.4 million in 2015. The decrease was primarily the result of costs recognized in 2015 due to a decrease in the fair value of an interest rate cap that was not designated as a cash flow hedge, partially offset by third party expenses incurred in 2016 in connection with the refinancing of our 2012 Secured Tranche A-2 Facility with our 2016 Senior Secured Credit Facility (see "Liquidity and Capital Resources").</w:t>
      </w:r>
    </w:p>
    <w:p>
      <w:pPr>
        <w:spacing w:after="0" w:line="14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b w:val="1"/>
          <w:bCs w:val="1"/>
          <w:i w:val="1"/>
          <w:iCs w:val="1"/>
          <w:color w:val="auto"/>
        </w:rPr>
        <w:t>Loss on early extinguishment of debt, net</w:t>
      </w:r>
      <w:r>
        <w:rPr>
          <w:rFonts w:ascii="Arial" w:cs="Arial" w:eastAsia="Arial" w:hAnsi="Arial"/>
          <w:sz w:val="18"/>
          <w:szCs w:val="18"/>
          <w:color w:val="auto"/>
        </w:rPr>
        <w:t>—In 2016 and 2015, we incurred losses on early extinguishment of debt of $1.6 million and $0.3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In 2016, we incurred losses on early extinguishment of debt resulting from repayments of our 2012 Secured Tranche A-2 Facility and unsecured notes prior to maturity. In 2015, net losses on the early extinguishment of debt related to accelerated amortization of discounts and fees in connection with amortization payments of our 2012 Secured Tranche A-2 Facility.</w:t>
      </w:r>
    </w:p>
    <w:p>
      <w:pPr>
        <w:spacing w:after="0" w:line="18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b w:val="1"/>
          <w:bCs w:val="1"/>
          <w:i w:val="1"/>
          <w:iCs w:val="1"/>
          <w:color w:val="auto"/>
        </w:rPr>
        <w:t>Earnings from equity method investments</w:t>
      </w:r>
      <w:r>
        <w:rPr>
          <w:rFonts w:ascii="Arial" w:cs="Arial" w:eastAsia="Arial" w:hAnsi="Arial"/>
          <w:sz w:val="18"/>
          <w:szCs w:val="18"/>
          <w:color w:val="auto"/>
        </w:rPr>
        <w:t>—Earnings from equity method investments increased to $77.3 million in 2016 from $32.2 million in 2015.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2016, we recognized $33.2 million primarily from the sale of an equity method investment in a commercial operating property, we recognized $11.6 million of earnings primarily from the non-callable distribution of non-recourse financing proceeds in excess of our carrying value at one of our land equity method investments, $22.1 million related to sales activity on a land development venture, $3.6 million related to leasing operations at our Net Lease Venture and $6.8 million was aggregate income from our remaining equity method investments. In 2015, we recognized $23.6 million related to sales activity on a land development venture, $5.2 million related to leasing operations at our Net Lease Venture and an aggregate $3.4 million in earnings from our remaining equity method investments.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Income tax (expense) benefit</w:t>
      </w:r>
      <w:r>
        <w:rPr>
          <w:rFonts w:ascii="Arial" w:cs="Arial" w:eastAsia="Arial" w:hAnsi="Arial"/>
          <w:sz w:val="18"/>
          <w:szCs w:val="18"/>
          <w:color w:val="auto"/>
        </w:rPr>
        <w:t>—Income taxes are primarily generated by assets held in our TRS. An income tax benefit of</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$10.2 million was recorded in 2016 and a $7.6 million income tax expense was recorded in 2015. The income tax benefit for 2016 primarily related to taxable losses generated from sales of certain TRS properties. The income tax expense for 2015 primarily related to taxable income generated from the sales of certain TRS properties. In each period, different TRS properties were sold, each with a unique tax basis and sales value. The benefit, therefore, recognized in the current period differs from the expense incurred during the same period in the previous year.</w:t>
      </w:r>
    </w:p>
    <w:p>
      <w:pPr>
        <w:spacing w:after="0" w:line="190"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b w:val="1"/>
          <w:bCs w:val="1"/>
          <w:i w:val="1"/>
          <w:iCs w:val="1"/>
          <w:color w:val="auto"/>
        </w:rPr>
        <w:t>Income from sales of real estate</w:t>
      </w:r>
      <w:r>
        <w:rPr>
          <w:rFonts w:ascii="Arial" w:cs="Arial" w:eastAsia="Arial" w:hAnsi="Arial"/>
          <w:sz w:val="17"/>
          <w:szCs w:val="17"/>
          <w:color w:val="auto"/>
        </w:rPr>
        <w:t>—Income from sales of real estate increased to $105.3 million in 2016 from $93.8 million in 2015. In 2016, we sold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commercial operating properties resulting in gains of $49.3 million. In 2015, we sold a commercial operating property for $68.5 million to a newly formed unconsolidated entity in which we own a 50% equity interest and recognized a gain on sale of $13.6 million, reflecting our share of the interest sold. In 2016 and 2015, we sold residential condominiums that resulted in income of $26.1 million and $40.1 million, respectively. The decrease was due primarily to our decreasing inventory of residential condominiums. In 2016 and 2015, we sold net lease assets resulting in gains of $21.1 million and $40.1 million, respectively. In 2016, we sold a land and development asset to a newly formed unconsolidated entity in which we own a 50.0% equity interest and recognized a gain on sale of $8.8 million, reflecting our share of the interest sold.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 Ended December 31, 2015 compared to the Year Ended December 31, 2014</w:t>
      </w:r>
    </w:p>
    <w:p>
      <w:pPr>
        <w:spacing w:after="0" w:line="342" w:lineRule="exact"/>
        <w:rPr>
          <w:sz w:val="20"/>
          <w:szCs w:val="20"/>
          <w:color w:val="auto"/>
        </w:rPr>
      </w:pPr>
    </w:p>
    <w:p>
      <w:pPr>
        <w:jc w:val="center"/>
        <w:ind w:left="1800"/>
        <w:spacing w:after="0"/>
        <w:rPr>
          <w:sz w:val="20"/>
          <w:szCs w:val="20"/>
          <w:color w:val="auto"/>
        </w:rPr>
      </w:pPr>
      <w:r>
        <w:rPr>
          <w:rFonts w:ascii="Arial" w:cs="Arial" w:eastAsia="Arial" w:hAnsi="Arial"/>
          <w:sz w:val="14"/>
          <w:szCs w:val="14"/>
          <w:b w:val="1"/>
          <w:bCs w:val="1"/>
          <w:color w:val="auto"/>
        </w:rPr>
        <w:t>For the Years Ended</w:t>
      </w:r>
    </w:p>
    <w:p>
      <w:pPr>
        <w:spacing w:after="0" w:line="4" w:lineRule="exact"/>
        <w:rPr>
          <w:sz w:val="20"/>
          <w:szCs w:val="20"/>
          <w:color w:val="auto"/>
        </w:rPr>
      </w:pPr>
    </w:p>
    <w:p>
      <w:pPr>
        <w:jc w:val="center"/>
        <w:ind w:left="18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13335</wp:posOffset>
            </wp:positionV>
            <wp:extent cx="19380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229,720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243,100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(13,380)</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134,687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122,704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11,983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10 %</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81,033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(31,102)</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Land development revenue</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100,216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15,191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85,025</w:t>
            </w:r>
          </w:p>
        </w:tc>
        <w:tc>
          <w:tcPr>
            <w:tcW w:w="1720" w:type="dxa"/>
            <w:vAlign w:val="bottom"/>
            <w:gridSpan w:val="2"/>
          </w:tcPr>
          <w:p>
            <w:pPr>
              <w:jc w:val="right"/>
              <w:ind w:right="159"/>
              <w:spacing w:after="0"/>
              <w:rPr>
                <w:sz w:val="20"/>
                <w:szCs w:val="20"/>
                <w:color w:val="auto"/>
              </w:rPr>
            </w:pPr>
            <w:r>
              <w:rPr>
                <w:rFonts w:ascii="Arial" w:cs="Arial" w:eastAsia="Arial" w:hAnsi="Arial"/>
                <w:sz w:val="18"/>
                <w:szCs w:val="18"/>
                <w:color w:val="auto"/>
              </w:rPr>
              <w:t>&gt;100%</w:t>
            </w:r>
          </w:p>
        </w:tc>
      </w:tr>
      <w:tr>
        <w:trPr>
          <w:trHeight w:val="27"/>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64"/>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514,554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462,028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52,526</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224,639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224,483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146,750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163,389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(16,639)</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Land development cost of sales</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67,382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12,840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54,542</w:t>
            </w:r>
          </w:p>
        </w:tc>
        <w:tc>
          <w:tcPr>
            <w:tcW w:w="1720" w:type="dxa"/>
            <w:vAlign w:val="bottom"/>
            <w:gridSpan w:val="2"/>
          </w:tcPr>
          <w:p>
            <w:pPr>
              <w:jc w:val="right"/>
              <w:ind w:right="159"/>
              <w:spacing w:after="0"/>
              <w:rPr>
                <w:sz w:val="20"/>
                <w:szCs w:val="20"/>
                <w:color w:val="auto"/>
              </w:rPr>
            </w:pPr>
            <w:r>
              <w:rPr>
                <w:rFonts w:ascii="Arial" w:cs="Arial" w:eastAsia="Arial" w:hAnsi="Arial"/>
                <w:sz w:val="18"/>
                <w:szCs w:val="18"/>
                <w:color w:val="auto"/>
              </w:rPr>
              <w:t>&gt;100%</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65,247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73,571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(8,324)</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81,277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88,287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(7,010)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(recovery of) loan losses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38,281</w:t>
            </w:r>
          </w:p>
        </w:tc>
        <w:tc>
          <w:tcPr>
            <w:tcW w:w="172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&lt;(100%)</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Impairment of assets</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10,524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34,634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(24,110)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6,374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6,340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37"/>
        </w:trPr>
        <w:tc>
          <w:tcPr>
            <w:tcW w:w="508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638,760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601,830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36,930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6 %</w:t>
            </w:r>
          </w:p>
        </w:tc>
      </w:tr>
      <w:tr>
        <w:trPr>
          <w:trHeight w:val="27"/>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early extinguishment of debt, net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25,088</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Earnings from equity method investments</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32,153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94,905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(62,752)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(3,727)</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95 %</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Income from sales of real estate</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93,816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89,943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3,873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4 %</w:t>
            </w:r>
          </w:p>
        </w:tc>
      </w:tr>
      <w:tr>
        <w:trPr>
          <w:trHeight w:val="27"/>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15,765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(21,922)</w:t>
            </w:r>
          </w:p>
        </w:tc>
        <w:tc>
          <w:tcPr>
            <w:tcW w:w="172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&lt;(100%)</w:t>
            </w: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color w:val="auto"/>
        </w:rPr>
        <w:t>—Operating lease income, which primarily includes income from net lease assets and commercial operating properties, decreased to $229.7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2015 from $243.1 million in 2014.</w:t>
      </w:r>
    </w:p>
    <w:p>
      <w:pPr>
        <w:spacing w:after="0" w:line="170"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Operating lease income from net lease assets decreased slightly to $151.5 million in 2015 from $151.9 million in 2014. The decrease in operating lease income was driven primarily by a decrease related to asset sales offset by an increase in operating lease income from same store net lease assets. Operating lease income for same store net lease assets, defined as net lease assets we owned on or prior to January 1, 2014 and were in service through December 31, 2015, increased to $140.3 million in 2015 from $137.3 million in 2014 due primarily to an increase in rent per occupied square foot, which was $9.84 for 2015 and $9.56 for 2014, and an increase in the occupancy rate, which was 95.7% as of December 31, 2015 and 95.0% as of December 31, 2014.</w:t>
      </w:r>
    </w:p>
    <w:p>
      <w:pPr>
        <w:spacing w:after="0" w:line="15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Operating lease income from operating properties decreased to $77.5 million in 2015 from $90.3 million in 2014. This decrease was primarily due to the sale of a leasehold interest in an operating property and other asset sales, partially offset by additional income in 2015 for three commercial operating properties acquired in 2014 and an increase in leasing activity at other properties. Operating lease income for same store commercial operating properties, defined as commercial operating properties, excluding hotels, we owned on or prior to January 1, 2014 and were in service through December 31, 2015, increased to $60.7 million in 2015 from $56.8 million in 2014 due primarily to an increase in occupancy rates, which increased to 74.7% as of December 31, 2015 from 68.2% as of December 31, 2014. The increase was partially offset by a decline in rent per occupied square foot for same store commercial operating properties, which was $21.64 for 2015 and $23.01 for 2014. Ancillary operating lease income from land and development assets was $0.8 million in 2015 and 2014.</w:t>
      </w:r>
    </w:p>
    <w:p>
      <w:pPr>
        <w:spacing w:after="0" w:line="192"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Interest income increased to $134.7 million in 2015 from $122.7 million in 2014 due primarily to an increase in the size of the loan portfolio, partially offset by $6.3 million of income recognized in 2014 from the acquisition and repayment of a loan. New investment originations and additional fundings on existing loans raised our average balance of performing loans to $1.52 billion for 2015 from $1.27 billion for 2014. The weighted average yield of our performing loans decreased to 8.8% for 2015 from 9.1% for 2014, excluding $6.3 million of income recognized from the acquisition and repayment of a loan, due primarily to lower interest rates on loan originations in 2015 and payoffs of loans with higher interest rates.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Other income decreased to $49.9 million in 2015 from $81.0 million in 2014. The decrease in 2015 was due to gains on sales of non-performing loans of $19.1 million, income related to a lease modification fee of $5.3 million and income related to an early termination fee of $3.4 million all recognized in 2014. The decrease was partially offset by a $5.5 million financing commitment termination fee recognized in 2015.</w:t>
      </w:r>
    </w:p>
    <w:p>
      <w:pPr>
        <w:spacing w:after="0" w:line="1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b w:val="1"/>
          <w:bCs w:val="1"/>
          <w:i w:val="1"/>
          <w:iCs w:val="1"/>
          <w:color w:val="auto"/>
        </w:rPr>
        <w:t>Land development revenue and cost of sales</w:t>
      </w:r>
      <w:r>
        <w:rPr>
          <w:rFonts w:ascii="Arial" w:cs="Arial" w:eastAsia="Arial" w:hAnsi="Arial"/>
          <w:sz w:val="18"/>
          <w:szCs w:val="18"/>
          <w:color w:val="auto"/>
        </w:rPr>
        <w:t>—In 2015, we sold residential lots, units and parcels for proceeds of $100.2 million which had associated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of sales of $67.4 million. In 2014, we sold residential lots and units for proceeds of $15.2 million which had associated cost of sales of $12.8 million. The increase in 2015 from 2014 was primarily due to the progression of our land and development projects in 2015, including the sale of two land parcels for land development revenue of $62.8 million resulting in a gross margin of $24.2 million.</w:t>
      </w:r>
    </w:p>
    <w:p>
      <w:pPr>
        <w:spacing w:after="0" w:line="146"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b w:val="1"/>
          <w:bCs w:val="1"/>
          <w:i w:val="1"/>
          <w:iCs w:val="1"/>
          <w:color w:val="auto"/>
        </w:rPr>
        <w:t>Costs and expenses</w:t>
      </w:r>
      <w:r>
        <w:rPr>
          <w:rFonts w:ascii="Arial" w:cs="Arial" w:eastAsia="Arial" w:hAnsi="Arial"/>
          <w:sz w:val="17"/>
          <w:szCs w:val="17"/>
          <w:color w:val="auto"/>
        </w:rPr>
        <w:t>—Interest expense remained constant at $224.6 million in 2015 from $224.5 million in 2014. This was due to a higher average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outstanding debt balance offset by a lower weighted average cost of debt. The average outstanding balance of our debt increased to $4.18 billion for 2015 from $4.08 billion for 2014. Our weighted average cost of debt decreased to 5.4% for 2015 from 5.5% for 2014.</w:t>
      </w:r>
    </w:p>
    <w:p>
      <w:pPr>
        <w:spacing w:after="0" w:line="12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Real estate expenses decreased to $146.8 million in 2015 from $163.4 million in 2014. The decrease was primarily related to expenses associated with residential units, which decreased to $14.2 million in 2015 from $25.6 million in 2014 due to unit sales. The decrease was also related to a decline in expenses for commercial operating properties to $81.7 million in 2015 from $87.9 million in 2014 which was primarily due to the sale of operating properties in 2015 and late 2014. Expenses for same store commercial operating properties, excluding hotels, increased slightly to $39.7 million from $39.2 million in 2015. Expenses for net lease assets decreased to $21.9 million in 2015 from $23.0 million in 2014. This decrease was primarily due to asset sales during 2014. Expenses for same store net lease assets increased to $20.2 million in 2015 from $19.9 million for 2014. Carry costs and other expenses on our land and development assets increased to $29.0 million in 2015 from $26.9 million in 2014, primarily related to an increase in costs incurred on certain land and development projects prior to development and an increase in marketing costs.</w:t>
      </w:r>
    </w:p>
    <w:p>
      <w:pPr>
        <w:spacing w:after="0" w:line="13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Depreciation and amortization decreased to $65.2 million during the year ended December 31, 2015 from $73.6 million for the same period in 2014. The decrease was primarily due to the sale of a leasehold interest in an operating property and other asset sales in 2015 and accelerated depreciation related to terminated leases during 2014.</w:t>
      </w:r>
    </w:p>
    <w:p>
      <w:pPr>
        <w:spacing w:after="0" w:line="14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General and administrative expenses decreased to $81.3 million in 2015 from $88.3 million in 2015, primarily due to a decrease in compensation related costs pertaining to annual performance based bonuses.</w:t>
      </w:r>
    </w:p>
    <w:p>
      <w:pPr>
        <w:spacing w:after="0" w:line="13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Net provision for loan losses was $36.6 million in 2015 as compared to a net recovery of loan losses of $1.7 million in 2014. Included in the net provision for 2015 were provisions for specific reserves of $34.1 million due primarily to one new non-performing loan and an increase in the general reserve of $2.5 million due primarily to new investment originations. Included in the net recovery for 2014 were recoveries of previously recorded loan loss reserves of $10.1 million, provisions for specific reserves of $4.1 million and an increase of $4.3 million in the general reserve due primarily to new investment originations.</w:t>
      </w:r>
    </w:p>
    <w:p>
      <w:pPr>
        <w:spacing w:after="0" w:line="14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 2015, we recorded impairments on real estate assets totaling $10.5 million resulting from a change in business strategy on one land and development asset and two commercial operating properties and unfavorable local market conditions for one residential property. In 2014, we recorded impairments on real estate assets totaling $34.6 million resulting from changes in business strategies for one residential property and one land and development asset, continued unfavorable local market conditions at two real estate properties and the sale of net lease assets.</w:t>
      </w:r>
    </w:p>
    <w:p>
      <w:pPr>
        <w:spacing w:after="0" w:line="17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b w:val="1"/>
          <w:bCs w:val="1"/>
          <w:i w:val="1"/>
          <w:iCs w:val="1"/>
          <w:color w:val="auto"/>
        </w:rPr>
        <w:t>Loss on early extinguishment of debt, net</w:t>
      </w:r>
      <w:r>
        <w:rPr>
          <w:rFonts w:ascii="Arial" w:cs="Arial" w:eastAsia="Arial" w:hAnsi="Arial"/>
          <w:sz w:val="17"/>
          <w:szCs w:val="17"/>
          <w:color w:val="auto"/>
        </w:rPr>
        <w:t>—In 2015 and 2014, we incurred losses on early extinguishment of debt of $0.3 million and $25.4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respectively. In 2015, net losses on the early extinguishment of debt related to accelerated amortization of discounts and fees in connection with amortization payments of our 2012 Secured Credit Facilities. In 2014, together with cash on hand, net proceeds from the 2014 issuances of our 4.00% senior unsecured notes due November 2017 and our 5.00% senior unsecured notes due July 2019 were used to fully repay and terminate our secured credit facility entered into in February 2013. As a result, in 2014, we expensed $22.8 million relating to accelerated amortization of discount and fees associated with the payoff of that secured credit facility. We also recorded $2.6 million of losses in 2014 related to the accelerated amortization of discounts and fees in connection with amortization payments that we made on our secured credit facilities.</w:t>
      </w:r>
    </w:p>
    <w:p>
      <w:pPr>
        <w:spacing w:after="0" w:line="17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b w:val="1"/>
          <w:bCs w:val="1"/>
          <w:i w:val="1"/>
          <w:iCs w:val="1"/>
          <w:color w:val="auto"/>
        </w:rPr>
        <w:t>Earnings from equity method investments</w:t>
      </w:r>
      <w:r>
        <w:rPr>
          <w:rFonts w:ascii="Arial" w:cs="Arial" w:eastAsia="Arial" w:hAnsi="Arial"/>
          <w:sz w:val="18"/>
          <w:szCs w:val="18"/>
          <w:color w:val="auto"/>
        </w:rPr>
        <w:t>—Earnings from equity method investments decreased to $32.2 million in 2015 from $94.9 million in 2014.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2015, we recognized $23.6 million related to sales activity on a land development venture, $5.2 million related to leasing operations at our Net Lease Venture and an aggregate $3.4 million in earnings from our remaining equity method investments. In 2014, we recognized $56.8 million of income resulting from asset sales by two of our equity method investees and a legal settlement received by one of the investees. We also recognized $14.7 million of earnings related to sales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activity on a land and development venture, $9.0 million of income related to carried interest from a previously held strategic investment and an aggregate $14.4 million related to earnings from our remaining equity method investments.</w:t>
      </w:r>
    </w:p>
    <w:p>
      <w:pPr>
        <w:spacing w:after="0" w:line="170"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b w:val="1"/>
          <w:bCs w:val="1"/>
          <w:i w:val="1"/>
          <w:iCs w:val="1"/>
          <w:color w:val="auto"/>
        </w:rPr>
        <w:t>Income tax (expense) benefit</w:t>
      </w:r>
      <w:r>
        <w:rPr>
          <w:rFonts w:ascii="Arial" w:cs="Arial" w:eastAsia="Arial" w:hAnsi="Arial"/>
          <w:sz w:val="16"/>
          <w:szCs w:val="16"/>
          <w:color w:val="auto"/>
        </w:rPr>
        <w:t>—Income taxes are primarily generated by assets held in our TRS. Income tax expense increased to $7.6 million in 2015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$3.9 million in 2014. The increase in current income tax expense relates primarily to taxable income generated by the sales of TRS properties.</w:t>
      </w:r>
    </w:p>
    <w:p>
      <w:pPr>
        <w:spacing w:after="0" w:line="12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b w:val="1"/>
          <w:bCs w:val="1"/>
          <w:i w:val="1"/>
          <w:iCs w:val="1"/>
          <w:color w:val="auto"/>
        </w:rPr>
        <w:t>Income from sales of real estate</w:t>
      </w:r>
      <w:r>
        <w:rPr>
          <w:rFonts w:ascii="Arial" w:cs="Arial" w:eastAsia="Arial" w:hAnsi="Arial"/>
          <w:sz w:val="16"/>
          <w:szCs w:val="16"/>
          <w:color w:val="auto"/>
        </w:rPr>
        <w:t>—Income from sales of real estate increased to $93.8 million in 2015 from $89.9 million in 2014. In 2015, we sold 12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lease assets resulting in gains of $40.1 million. We also sold a commercial operating property for $68.5 million to a newly formed unconsolidated entity in which we own a 50% equity interest and recognized a gain on sale of $13.6 million, reflecting our share of the interest sold. In 2015 and 2014, we sold residential condominiums that resulted in income of $40.1 million and $79.1 million, respectively. In 2014, we sold net lease assets with a carrying value of $8.0 million resulting in a gain of $6.2 million and a commercial operating property with a carrying value of $29.4 million resulting in a gain of $4.6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Income</w:t>
      </w:r>
    </w:p>
    <w:p>
      <w:pPr>
        <w:spacing w:after="0" w:line="229"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In addition to net income (loss) prepared in conformity with generally accepted accounting principles in the United States of America ("GAAP"), we use adjusted income, a non-GAAP financial measure, to measure our operating performance. Adjusted income is used internally as a supplemental performance measure adjusting for certain non-cash GAAP measures to give management a view of income more directly derived from current period activity. Until the second quarter 2016, adjusted income was calculated as net income (loss) allocable to common shareholders, prior to the effect of depreciation and amortization, provision for (recovery of) loan losses, impairment of assets, stock-based compensation expense, and the non-cash portion of gain (loss) on early extinguishment of debt. Effective in the second quarter 2016, we modified our presentation of adjusted income to reflect the effect of gains or losses on charge-offs and dispositions on carrying value gross of loan loss reserves and impairments ("Adjusted Income").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Adjusted Income should be examined in conjunction with net income (loss) as shown in our consolidated statements of operations. Adjusted Income should not be considered as an alternative to net income (loss) (determined in accordance with GAAP), or to cash flows from operating activities (determined in accordance with GAAP), as a measure of our liquidity, nor is Adjusted Income indicative of funds available to fund our cash needs or available for distribution to shareholders. Rather, Adjusted Income is an additional measure we use to analyze our business performance because it excludes the effects of certain non-cash charges that we believe are not necessarily indicative of our operating performance while including the effect of gains or losses on investments when realized. It should be noted that our manner of calculating Adjusted Income may differ from the calculations of similarly-titled measures by other companies.</w:t>
      </w:r>
    </w:p>
    <w:p>
      <w:pPr>
        <w:spacing w:after="0" w:line="194" w:lineRule="exact"/>
        <w:rPr>
          <w:sz w:val="20"/>
          <w:szCs w:val="20"/>
          <w:color w:val="auto"/>
        </w:rPr>
      </w:pPr>
    </w:p>
    <w:p>
      <w:pPr>
        <w:ind w:left="5420"/>
        <w:spacing w:after="0"/>
        <w:rPr>
          <w:sz w:val="20"/>
          <w:szCs w:val="20"/>
          <w:color w:val="auto"/>
        </w:rPr>
      </w:pPr>
      <w:r>
        <w:rPr>
          <w:rFonts w:ascii="Arial" w:cs="Arial" w:eastAsia="Arial" w:hAnsi="Arial"/>
          <w:sz w:val="14"/>
          <w:szCs w:val="14"/>
          <w:b w:val="1"/>
          <w:bCs w:val="1"/>
          <w:color w:val="auto"/>
        </w:rPr>
        <w:t>For the Years Ended December 31,</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2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4"/>
                <w:szCs w:val="14"/>
                <w:b w:val="1"/>
                <w:bCs w:val="1"/>
                <w:color w:val="auto"/>
              </w:rPr>
              <w:t>2015</w:t>
            </w:r>
          </w:p>
        </w:tc>
      </w:tr>
      <w:tr>
        <w:trPr>
          <w:trHeight w:val="237"/>
        </w:trPr>
        <w:tc>
          <w:tcPr>
            <w:tcW w:w="5200" w:type="dxa"/>
            <w:vAlign w:val="bottom"/>
          </w:tcPr>
          <w:p>
            <w:pPr>
              <w:ind w:left="40"/>
              <w:spacing w:after="0"/>
              <w:rPr>
                <w:sz w:val="20"/>
                <w:szCs w:val="20"/>
                <w:color w:val="auto"/>
              </w:rPr>
            </w:pPr>
            <w:r>
              <w:rPr>
                <w:rFonts w:ascii="Arial" w:cs="Arial" w:eastAsia="Arial" w:hAnsi="Arial"/>
                <w:sz w:val="18"/>
                <w:szCs w:val="18"/>
                <w:b w:val="1"/>
                <w:bCs w:val="1"/>
                <w:color w:val="auto"/>
              </w:rPr>
              <w:t>Adjusted Income</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 (loss) allocable to common shareholders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43,972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(52,675)</w:t>
            </w:r>
          </w:p>
        </w:tc>
      </w:tr>
      <w:tr>
        <w:trPr>
          <w:trHeight w:val="270"/>
        </w:trPr>
        <w:tc>
          <w:tcPr>
            <w:tcW w:w="5200" w:type="dxa"/>
            <w:vAlign w:val="bottom"/>
          </w:tcPr>
          <w:p>
            <w:pPr>
              <w:ind w:left="200"/>
              <w:spacing w:after="0" w:line="270" w:lineRule="exact"/>
              <w:rPr>
                <w:sz w:val="20"/>
                <w:szCs w:val="20"/>
                <w:color w:val="auto"/>
              </w:rPr>
            </w:pPr>
            <w:r>
              <w:rPr>
                <w:rFonts w:ascii="Arial" w:cs="Arial" w:eastAsia="Arial" w:hAnsi="Arial"/>
                <w:sz w:val="18"/>
                <w:szCs w:val="18"/>
                <w:color w:val="auto"/>
              </w:rPr>
              <w:t>Add: Depreciation and amortization</w:t>
            </w:r>
            <w:r>
              <w:rPr>
                <w:rFonts w:ascii="Arial" w:cs="Arial" w:eastAsia="Arial" w:hAnsi="Arial"/>
                <w:sz w:val="25"/>
                <w:szCs w:val="25"/>
                <w:color w:val="auto"/>
                <w:vertAlign w:val="superscript"/>
              </w:rPr>
              <w:t>(1)</w:t>
            </w:r>
          </w:p>
        </w:tc>
        <w:tc>
          <w:tcPr>
            <w:tcW w:w="30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64,447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72,132</w:t>
            </w:r>
          </w:p>
        </w:tc>
      </w:tr>
      <w:tr>
        <w:trPr>
          <w:trHeight w:val="250"/>
        </w:trPr>
        <w:tc>
          <w:tcPr>
            <w:tcW w:w="5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Add/Less: (Recovery of) provision for loan losses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36,567</w:t>
            </w:r>
          </w:p>
        </w:tc>
      </w:tr>
      <w:tr>
        <w:trPr>
          <w:trHeight w:val="270"/>
        </w:trPr>
        <w:tc>
          <w:tcPr>
            <w:tcW w:w="5200" w:type="dxa"/>
            <w:vAlign w:val="bottom"/>
          </w:tcPr>
          <w:p>
            <w:pPr>
              <w:ind w:left="200"/>
              <w:spacing w:after="0" w:line="270" w:lineRule="exact"/>
              <w:rPr>
                <w:sz w:val="20"/>
                <w:szCs w:val="20"/>
                <w:color w:val="auto"/>
              </w:rPr>
            </w:pPr>
            <w:r>
              <w:rPr>
                <w:rFonts w:ascii="Arial" w:cs="Arial" w:eastAsia="Arial" w:hAnsi="Arial"/>
                <w:sz w:val="18"/>
                <w:szCs w:val="18"/>
                <w:color w:val="auto"/>
              </w:rPr>
              <w:t>Add: Impairment of assets</w:t>
            </w:r>
            <w:r>
              <w:rPr>
                <w:rFonts w:ascii="Arial" w:cs="Arial" w:eastAsia="Arial" w:hAnsi="Arial"/>
                <w:sz w:val="25"/>
                <w:szCs w:val="25"/>
                <w:color w:val="auto"/>
                <w:vertAlign w:val="superscript"/>
              </w:rPr>
              <w:t>(2)</w:t>
            </w:r>
          </w:p>
        </w:tc>
        <w:tc>
          <w:tcPr>
            <w:tcW w:w="30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18,999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18,509</w:t>
            </w:r>
          </w:p>
        </w:tc>
      </w:tr>
      <w:tr>
        <w:trPr>
          <w:trHeight w:val="250"/>
        </w:trPr>
        <w:tc>
          <w:tcPr>
            <w:tcW w:w="5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Add: Stock-based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12,013</w:t>
            </w:r>
          </w:p>
        </w:tc>
      </w:tr>
      <w:tr>
        <w:trPr>
          <w:trHeight w:val="243"/>
        </w:trPr>
        <w:tc>
          <w:tcPr>
            <w:tcW w:w="5200" w:type="dxa"/>
            <w:vAlign w:val="bottom"/>
          </w:tcPr>
          <w:p>
            <w:pPr>
              <w:ind w:left="200"/>
              <w:spacing w:after="0"/>
              <w:rPr>
                <w:sz w:val="20"/>
                <w:szCs w:val="20"/>
                <w:color w:val="auto"/>
              </w:rPr>
            </w:pPr>
            <w:r>
              <w:rPr>
                <w:rFonts w:ascii="Arial" w:cs="Arial" w:eastAsia="Arial" w:hAnsi="Arial"/>
                <w:sz w:val="18"/>
                <w:szCs w:val="18"/>
                <w:color w:val="auto"/>
              </w:rPr>
              <w:t>Add: Loss on early extinguishment of debt, net</w:t>
            </w: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1,619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281</w:t>
            </w:r>
          </w:p>
        </w:tc>
      </w:tr>
      <w:tr>
        <w:trPr>
          <w:trHeight w:val="27"/>
        </w:trPr>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20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Less: Losses on charge-offs and dispositions</w:t>
            </w:r>
            <w:r>
              <w:rPr>
                <w:rFonts w:ascii="Arial" w:cs="Arial" w:eastAsia="Arial" w:hAnsi="Arial"/>
                <w:sz w:val="25"/>
                <w:szCs w:val="25"/>
                <w:color w:val="auto"/>
                <w:vertAlign w:val="superscript"/>
              </w:rPr>
              <w:t>(3)</w:t>
            </w: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(55,437)</w:t>
            </w:r>
          </w:p>
        </w:tc>
      </w:tr>
      <w:tr>
        <w:trPr>
          <w:trHeight w:val="243"/>
        </w:trPr>
        <w:tc>
          <w:tcPr>
            <w:tcW w:w="5200" w:type="dxa"/>
            <w:vAlign w:val="bottom"/>
          </w:tcPr>
          <w:p>
            <w:pPr>
              <w:ind w:left="200"/>
              <w:spacing w:after="0"/>
              <w:rPr>
                <w:sz w:val="20"/>
                <w:szCs w:val="20"/>
                <w:color w:val="auto"/>
              </w:rPr>
            </w:pPr>
            <w:r>
              <w:rPr>
                <w:rFonts w:ascii="Arial" w:cs="Arial" w:eastAsia="Arial" w:hAnsi="Arial"/>
                <w:sz w:val="18"/>
                <w:szCs w:val="18"/>
                <w:color w:val="auto"/>
              </w:rPr>
              <w:t>Less: HPU/Participating Security allocation</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(1,706)</w:t>
            </w:r>
          </w:p>
        </w:tc>
      </w:tr>
      <w:tr>
        <w:trPr>
          <w:trHeight w:val="27"/>
        </w:trPr>
        <w:tc>
          <w:tcPr>
            <w:tcW w:w="5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520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Adjusted income allocable to common shareholders</w:t>
            </w:r>
            <w:r>
              <w:rPr>
                <w:rFonts w:ascii="Arial" w:cs="Arial" w:eastAsia="Arial" w:hAnsi="Arial"/>
                <w:sz w:val="25"/>
                <w:szCs w:val="25"/>
                <w:color w:val="auto"/>
                <w:vertAlign w:val="superscript"/>
              </w:rPr>
              <w:t>(4)</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112,562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29,684</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3307080</wp:posOffset>
            </wp:positionH>
            <wp:positionV relativeFrom="paragraph">
              <wp:posOffset>-98425</wp:posOffset>
            </wp:positionV>
            <wp:extent cx="16122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ind w:left="660" w:hanging="652"/>
        <w:spacing w:after="0" w:line="241" w:lineRule="auto"/>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Depreciation and amortization also includes our proportionate share of depreciation and amortization expense for equity method investments and excludes the portion of depreciation and amortization expense allocable to noncontrolling interests.</w:t>
      </w:r>
    </w:p>
    <w:p>
      <w:pPr>
        <w:jc w:val="both"/>
        <w:ind w:left="660" w:hanging="652"/>
        <w:spacing w:after="0" w:line="241" w:lineRule="auto"/>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For the year ended December 31, 2016, impairment of assets includes impairments on equity method investments recorded in "Earnings from equity method investments" in our consolidated statements of operations. For the year ended December 31, 2015, impairment of assets includes impairments on cost and equity method investments recorded in "Other income" and "Earnings from equity method investments," respectively, in our consolidated statements of operations.</w:t>
      </w:r>
    </w:p>
    <w:p>
      <w:pPr>
        <w:spacing w:after="0" w:line="1" w:lineRule="exact"/>
        <w:rPr>
          <w:rFonts w:ascii="Arial" w:cs="Arial" w:eastAsia="Arial" w:hAnsi="Arial"/>
          <w:sz w:val="14"/>
          <w:szCs w:val="14"/>
          <w:color w:val="auto"/>
        </w:rPr>
      </w:pPr>
    </w:p>
    <w:p>
      <w:pPr>
        <w:ind w:left="660" w:hanging="652"/>
        <w:spacing w:after="0" w:line="241" w:lineRule="auto"/>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the impact of charge-offs and dispositions realized during the period. These charge-offs and dispositions were on assets that were previously impaired for GAAP and reflected in net income but not in Adjusted Income.</w:t>
      </w:r>
    </w:p>
    <w:p>
      <w:pPr>
        <w:ind w:left="660" w:hanging="652"/>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For the year ended December 31, 2015, Adjusted Income under the previous presentation was $84.0 million.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As of December 31, 2016, we had unrestricted cash of $328.7 million. During the year ended December 31, 2016, we committed to new investments totaling $691.8 million and invested $767.3 million in new investments, prior financing commitments and ongoing development. Total investments included $474.0 million in real estate finance, $135.9 million to develop our land and development assets, $69.9 million of capital to reposition or redevelop our operating properties, $86.9 million to invest in net lease assets and $0.6 million in other investments. Also during the year ended December 31, 2016, we generated $1.3 billion from loan repayments and asset sales within our portfolio, comprised of $614.2 million from real estate finance, $377.2 million from operating properties, $123.4 million from net lease assets, $134.8 million from land and development assets and $32.1 million from other investments. These amounts are inclusive of fundings and proceeds from both consolidated investments and our pro rata share from equity method investments.</w:t>
      </w:r>
    </w:p>
    <w:p>
      <w:pPr>
        <w:spacing w:after="0" w:line="11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outlines our capital expenditures on real estate and land and development assets as reflected in our consolidated statements of cash flows for the years ended December 31, 2016 and 2015, by segment ($ in thousands):</w:t>
      </w:r>
    </w:p>
    <w:p>
      <w:pPr>
        <w:spacing w:after="0" w:line="176"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2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660" w:type="dxa"/>
            <w:vAlign w:val="bottom"/>
            <w:tcBorders>
              <w:bottom w:val="single" w:sz="8" w:color="auto"/>
            </w:tcBorders>
          </w:tcPr>
          <w:p>
            <w:pPr>
              <w:spacing w:after="0"/>
              <w:rPr>
                <w:sz w:val="16"/>
                <w:szCs w:val="16"/>
                <w:color w:val="auto"/>
              </w:rPr>
            </w:pPr>
          </w:p>
        </w:tc>
      </w:tr>
      <w:tr>
        <w:trPr>
          <w:trHeight w:val="264"/>
        </w:trPr>
        <w:tc>
          <w:tcPr>
            <w:tcW w:w="558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22"/>
                <w:szCs w:val="22"/>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Properties</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65,934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74,540</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Net Lease</w:t>
            </w:r>
          </w:p>
        </w:tc>
        <w:tc>
          <w:tcPr>
            <w:tcW w:w="10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3,876</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6,985</w:t>
            </w:r>
          </w:p>
        </w:tc>
      </w:tr>
      <w:tr>
        <w:trPr>
          <w:trHeight w:val="27"/>
        </w:trPr>
        <w:tc>
          <w:tcPr>
            <w:tcW w:w="55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7"/>
        </w:trPr>
        <w:tc>
          <w:tcPr>
            <w:tcW w:w="5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capital expenditures on real estate assets</w:t>
            </w: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69,810</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81,525</w:t>
            </w:r>
          </w:p>
        </w:tc>
      </w:tr>
      <w:tr>
        <w:trPr>
          <w:trHeight w:val="20"/>
        </w:trPr>
        <w:tc>
          <w:tcPr>
            <w:tcW w:w="5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311"/>
        </w:trPr>
        <w:tc>
          <w:tcPr>
            <w:tcW w:w="5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7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Development</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103,806</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88,219</w:t>
            </w:r>
          </w:p>
        </w:tc>
      </w:tr>
      <w:tr>
        <w:trPr>
          <w:trHeight w:val="257"/>
        </w:trPr>
        <w:tc>
          <w:tcPr>
            <w:tcW w:w="5580" w:type="dxa"/>
            <w:vAlign w:val="bottom"/>
          </w:tcPr>
          <w:p>
            <w:pPr>
              <w:ind w:left="160"/>
              <w:spacing w:after="0"/>
              <w:rPr>
                <w:sz w:val="20"/>
                <w:szCs w:val="20"/>
                <w:color w:val="auto"/>
              </w:rPr>
            </w:pPr>
            <w:r>
              <w:rPr>
                <w:rFonts w:ascii="Arial" w:cs="Arial" w:eastAsia="Arial" w:hAnsi="Arial"/>
                <w:sz w:val="18"/>
                <w:szCs w:val="18"/>
                <w:color w:val="auto"/>
              </w:rPr>
              <w:t>Total capital expenditures on land and development assets</w:t>
            </w:r>
          </w:p>
        </w:tc>
        <w:tc>
          <w:tcPr>
            <w:tcW w:w="104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103,806</w:t>
            </w:r>
          </w:p>
        </w:tc>
        <w:tc>
          <w:tcPr>
            <w:tcW w:w="12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894"/>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88,219</w:t>
            </w:r>
          </w:p>
        </w:tc>
      </w:tr>
      <w:tr>
        <w:trPr>
          <w:trHeight w:val="20"/>
        </w:trPr>
        <w:tc>
          <w:tcPr>
            <w:tcW w:w="5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Our primary cash uses over the next 12 months are expected to be repayments of debt, funding of investments, capital expenditures and funding ongoing business operations. Over the next 12 months, we currently expect to fund in the range of approximately $150 million to $200 million of capital expenditures within our portfolio. The majority of these amounts relate to our land and development and operating properties business segments and include multifamily and residential development activities which are expected to include approximately $80 million in vertical construction. The amount spent will depend on the pace of our development activities as well as the extent to which we strategically partner with others to complete these projects. As of December 31, 2016, we also had approximately $452 million of maximum unfunded commitments associated with our investments of which we expect to fund the majority of over the next two years, assuming borrowers and tenants meet all milestones and performance hurdles and all other conditions to fundings are met. See "Unfunded Commitments" below. Our capital sources to meet cash uses through the next 12 months and beyond will primarily be expected to include capital raised through debt and/or equity capital raising transactions, cash on hand, income from our portfolio, loan repayments from borrowers, proceeds from asset sales and sales of interests in business lines.</w:t>
      </w:r>
    </w:p>
    <w:p>
      <w:pPr>
        <w:spacing w:after="0" w:line="13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cannot predict with certainty the specific transactions we will undertake to generate sufficient liquidity to meet our obligations as they come due. We will adjust our plans as appropriate in response to changes in our expectations and changes in market conditions. While economic trends have stabilized, it is not possible for us to predict whether these trends will continue or to quantify the impact of these or other trends on our financial results.</w:t>
      </w:r>
    </w:p>
    <w:p>
      <w:pPr>
        <w:spacing w:after="0" w:line="12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During the year ended December 31, 2016, we repaid in full the $339.7 million 2012 Secured Tranche A-2 Facility, the $265.0 million principal amount of senior unsecured notes due July 2016, the $261.4 million principal amount of senior unsecured notes due March 2016, the $200.0 million principal amount of 1.5% senior unsecured convertible notes due November 2016 and the $200.0 million principal amount of 3.0% senior unsecured convertible notes due November 2016 by repaying $190.4 million principal amount with available cash and issuing 0.8 million shares of common stock on the conversion of $9.6 million principal amount of the notes. We have other debt maturities of $924.7 million due before December 31, 2017.</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b w:val="1"/>
          <w:bCs w:val="1"/>
          <w:i w:val="1"/>
          <w:iCs w:val="1"/>
          <w:color w:val="auto"/>
        </w:rPr>
        <w:t>Contractual Obligations</w:t>
      </w:r>
      <w:r>
        <w:rPr>
          <w:rFonts w:ascii="Arial" w:cs="Arial" w:eastAsia="Arial" w:hAnsi="Arial"/>
          <w:sz w:val="17"/>
          <w:szCs w:val="17"/>
          <w:color w:val="auto"/>
        </w:rPr>
        <w:t>—The following table outlines the contractual obligations related to our long-term debt obligations, loan participations payable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operating lease obligations as of December 31, 2016 (see Item 8—"Financial Statements and Supplemental Data—Note 10").</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Amounts Due By Period</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3"/>
                <w:szCs w:val="13"/>
                <w:color w:val="auto"/>
              </w:rPr>
            </w:pPr>
          </w:p>
        </w:tc>
        <w:tc>
          <w:tcPr>
            <w:tcW w:w="11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Less Than 1</w:t>
            </w:r>
          </w:p>
        </w:tc>
        <w:tc>
          <w:tcPr>
            <w:tcW w:w="240" w:type="dxa"/>
            <w:vAlign w:val="bottom"/>
          </w:tcPr>
          <w:p>
            <w:pPr>
              <w:spacing w:after="0"/>
              <w:rPr>
                <w:sz w:val="13"/>
                <w:szCs w:val="13"/>
                <w:color w:val="auto"/>
              </w:rPr>
            </w:pPr>
          </w:p>
        </w:tc>
        <w:tc>
          <w:tcPr>
            <w:tcW w:w="960" w:type="dxa"/>
            <w:vAlign w:val="bottom"/>
          </w:tcPr>
          <w:p>
            <w:pPr>
              <w:jc w:val="right"/>
              <w:ind w:right="396"/>
              <w:spacing w:after="0" w:line="153" w:lineRule="exact"/>
              <w:rPr>
                <w:sz w:val="20"/>
                <w:szCs w:val="20"/>
                <w:color w:val="auto"/>
              </w:rPr>
            </w:pPr>
            <w:r>
              <w:rPr>
                <w:rFonts w:ascii="Arial" w:cs="Arial" w:eastAsia="Arial" w:hAnsi="Arial"/>
                <w:sz w:val="14"/>
                <w:szCs w:val="14"/>
                <w:b w:val="1"/>
                <w:bCs w:val="1"/>
                <w:color w:val="auto"/>
              </w:rPr>
              <w:t>1 - 3</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jc w:val="right"/>
              <w:ind w:right="453"/>
              <w:spacing w:after="0" w:line="153" w:lineRule="exact"/>
              <w:rPr>
                <w:sz w:val="20"/>
                <w:szCs w:val="20"/>
                <w:color w:val="auto"/>
              </w:rPr>
            </w:pPr>
            <w:r>
              <w:rPr>
                <w:rFonts w:ascii="Arial" w:cs="Arial" w:eastAsia="Arial" w:hAnsi="Arial"/>
                <w:sz w:val="14"/>
                <w:szCs w:val="14"/>
                <w:b w:val="1"/>
                <w:bCs w:val="1"/>
                <w:color w:val="auto"/>
              </w:rPr>
              <w:t>3 - 5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ind w:left="160"/>
              <w:spacing w:after="0" w:line="153" w:lineRule="exact"/>
              <w:rPr>
                <w:sz w:val="20"/>
                <w:szCs w:val="20"/>
                <w:color w:val="auto"/>
              </w:rPr>
            </w:pPr>
            <w:r>
              <w:rPr>
                <w:rFonts w:ascii="Arial" w:cs="Arial" w:eastAsia="Arial" w:hAnsi="Arial"/>
                <w:sz w:val="14"/>
                <w:szCs w:val="14"/>
                <w:b w:val="1"/>
                <w:bCs w:val="1"/>
                <w:color w:val="auto"/>
              </w:rPr>
              <w:t>5 - 10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273"/>
              <w:spacing w:after="0" w:line="153" w:lineRule="exact"/>
              <w:rPr>
                <w:sz w:val="20"/>
                <w:szCs w:val="20"/>
                <w:color w:val="auto"/>
              </w:rPr>
            </w:pPr>
            <w:r>
              <w:rPr>
                <w:rFonts w:ascii="Arial" w:cs="Arial" w:eastAsia="Arial" w:hAnsi="Arial"/>
                <w:sz w:val="14"/>
                <w:szCs w:val="14"/>
                <w:b w:val="1"/>
                <w:bCs w:val="1"/>
                <w:color w:val="auto"/>
              </w:rPr>
              <w:t>After 10</w:t>
            </w: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Year</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Years</w:t>
            </w: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Years</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Debt Obligations</w:t>
            </w: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Unsecured notes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2,569,722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924,722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1,370,000</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275,000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credit facilities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498,648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9,788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483,892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Mortgages</w:t>
            </w:r>
          </w:p>
        </w:tc>
        <w:tc>
          <w:tcPr>
            <w:tcW w:w="3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249,987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10,378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50,574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118,012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59,276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11,747</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Trust preferred securities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37"/>
        </w:trPr>
        <w:tc>
          <w:tcPr>
            <w:tcW w:w="2880" w:type="dxa"/>
            <w:vAlign w:val="bottom"/>
          </w:tcPr>
          <w:p>
            <w:pPr>
              <w:ind w:left="180"/>
              <w:spacing w:after="0"/>
              <w:rPr>
                <w:sz w:val="20"/>
                <w:szCs w:val="20"/>
                <w:color w:val="auto"/>
              </w:rPr>
            </w:pPr>
            <w:r>
              <w:rPr>
                <w:rFonts w:ascii="Arial" w:cs="Arial" w:eastAsia="Arial" w:hAnsi="Arial"/>
                <w:sz w:val="18"/>
                <w:szCs w:val="18"/>
                <w:color w:val="auto"/>
              </w:rPr>
              <w:t>Total principal maturities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3,418,357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940,068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1,430,362</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876,904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59,276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111,747</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Interest Payable</w:t>
            </w:r>
            <w:r>
              <w:rPr>
                <w:rFonts w:ascii="Arial" w:cs="Arial" w:eastAsia="Arial" w:hAnsi="Arial"/>
                <w:sz w:val="25"/>
                <w:szCs w:val="25"/>
                <w:b w:val="1"/>
                <w:bCs w:val="1"/>
                <w:color w:val="auto"/>
                <w:vertAlign w:val="superscript"/>
              </w:rPr>
              <w:t>(1)</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509,676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178,555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220,389</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70,104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17,626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23,002</w:t>
            </w:r>
          </w:p>
        </w:tc>
        <w:tc>
          <w:tcPr>
            <w:tcW w:w="0" w:type="dxa"/>
            <w:vAlign w:val="bottom"/>
          </w:tcPr>
          <w:p>
            <w:pPr>
              <w:spacing w:after="0"/>
              <w:rPr>
                <w:sz w:val="1"/>
                <w:szCs w:val="1"/>
                <w:color w:val="auto"/>
              </w:rPr>
            </w:pPr>
          </w:p>
        </w:tc>
      </w:tr>
      <w:tr>
        <w:trPr>
          <w:trHeight w:val="270"/>
        </w:trPr>
        <w:tc>
          <w:tcPr>
            <w:tcW w:w="2880" w:type="dxa"/>
            <w:vAlign w:val="bottom"/>
          </w:tcPr>
          <w:p>
            <w:pPr>
              <w:ind w:left="40"/>
              <w:spacing w:after="0" w:line="270" w:lineRule="exact"/>
              <w:rPr>
                <w:sz w:val="20"/>
                <w:szCs w:val="20"/>
                <w:color w:val="auto"/>
              </w:rPr>
            </w:pPr>
            <w:r>
              <w:rPr>
                <w:rFonts w:ascii="Arial" w:cs="Arial" w:eastAsia="Arial" w:hAnsi="Arial"/>
                <w:sz w:val="18"/>
                <w:szCs w:val="18"/>
                <w:b w:val="1"/>
                <w:bCs w:val="1"/>
                <w:color w:val="auto"/>
              </w:rPr>
              <w:t>Loan Participations Payable</w:t>
            </w:r>
            <w:r>
              <w:rPr>
                <w:rFonts w:ascii="Arial" w:cs="Arial" w:eastAsia="Arial" w:hAnsi="Arial"/>
                <w:sz w:val="25"/>
                <w:szCs w:val="25"/>
                <w:b w:val="1"/>
                <w:bCs w:val="1"/>
                <w:color w:val="auto"/>
                <w:vertAlign w:val="superscript"/>
              </w:rPr>
              <w:t>(2)</w:t>
            </w:r>
          </w:p>
        </w:tc>
        <w:tc>
          <w:tcPr>
            <w:tcW w:w="30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160,251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157,424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2,827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Lease Obligations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22,594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5,463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8,244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5,135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3,752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88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4,110,878</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1,124,086</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1,816,419</w:t>
            </w:r>
          </w:p>
        </w:tc>
        <w:tc>
          <w:tcPr>
            <w:tcW w:w="100" w:type="dxa"/>
            <w:vAlign w:val="bottom"/>
          </w:tcPr>
          <w:p>
            <w:pPr>
              <w:spacing w:after="0"/>
              <w:rPr>
                <w:sz w:val="21"/>
                <w:szCs w:val="21"/>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954,970</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80,654</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134,749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8890</wp:posOffset>
            </wp:positionV>
            <wp:extent cx="50596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059680"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-98425</wp:posOffset>
            </wp:positionV>
            <wp:extent cx="50596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059680" cy="8890"/>
                    </a:xfrm>
                    <a:prstGeom prst="rect">
                      <a:avLst/>
                    </a:prstGeom>
                    <a:noFill/>
                  </pic:spPr>
                </pic:pic>
              </a:graphicData>
            </a:graphic>
          </wp:anchor>
        </w:drawing>
      </w:r>
    </w:p>
    <w:p>
      <w:pPr>
        <w:ind w:left="660" w:hanging="652"/>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Variable-rate debt assumes 1-month LIBOR of 0.77% and 3-month LIBOR of 0.89% that were in effect as of December 31, 2016.</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Refer to Note 9 to the consolidated financial statements.</w:t>
      </w:r>
    </w:p>
    <w:p>
      <w:pPr>
        <w:spacing w:after="0" w:line="152"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b w:val="1"/>
          <w:bCs w:val="1"/>
          <w:color w:val="auto"/>
        </w:rPr>
        <w:t>2016 Senior Secured Credit Facility</w:t>
      </w:r>
      <w:r>
        <w:rPr>
          <w:rFonts w:ascii="Arial" w:cs="Arial" w:eastAsia="Arial" w:hAnsi="Arial"/>
          <w:sz w:val="17"/>
          <w:szCs w:val="17"/>
          <w:color w:val="auto"/>
        </w:rPr>
        <w:t>—In June 2016, we entered into a senior secured credit facility of $450.0 million (the "2016 Senior Secured</w:t>
      </w:r>
      <w:r>
        <w:rPr>
          <w:rFonts w:ascii="Arial" w:cs="Arial" w:eastAsia="Arial" w:hAnsi="Arial"/>
          <w:sz w:val="17"/>
          <w:szCs w:val="17"/>
          <w:b w:val="1"/>
          <w:bCs w:val="1"/>
          <w:color w:val="auto"/>
        </w:rPr>
        <w:t xml:space="preserve"> </w:t>
      </w:r>
      <w:r>
        <w:rPr>
          <w:rFonts w:ascii="Arial" w:cs="Arial" w:eastAsia="Arial" w:hAnsi="Arial"/>
          <w:sz w:val="17"/>
          <w:szCs w:val="17"/>
          <w:color w:val="auto"/>
        </w:rPr>
        <w:t>Credit Facility"). In August 2016, we upsized the facility to $500.0 million. The initial $450.0 million of the 2016 Senior Secured Credit Facility was issued at 99% of par and the upsize was issued at par. The 2016 Senior Secured Credit Facility bears interest at a floating rate of LIBOR plus 4.50% with a 1.00% LIBOR floor. Subsequent to December 31, 2016, we repriced the 2016 Senior Secured Credit Facility to LIBOR plus 3.75% with a 1.00% LIBOR floor. The 2016 Senior Secured Credit Facility is collateralized 1.25x by a first lien on a fixed pool of assets. Proceeds from principal repayments and sales of collateral are applied to amortize the 2016 Senior Secured Credit Facility. Proceeds received for interest, rent, lease payments and fee income are retained by us. We may also make optional prepayments, subject to prepayment fees, and are required to repay 0.25% of the principal amount outstanding on the first business day of each quarter beginning on October 3, 2016. Proceeds from the 2016 Senior Secured Credit Facility, together with cash on hand, were primarily used to repay in full the remaining $323.2 million 2012 Secured Tranche A-2 Facility and repay the $245.0 million balance outstanding on the 2015 Secured Revolving Credit Facility (as defined below).</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2016 Secured Term Loan</w:t>
      </w:r>
      <w:r>
        <w:rPr>
          <w:rFonts w:ascii="Arial" w:cs="Arial" w:eastAsia="Arial" w:hAnsi="Arial"/>
          <w:sz w:val="16"/>
          <w:szCs w:val="16"/>
          <w:color w:val="auto"/>
        </w:rPr>
        <w:t>—In December 2016, we arranged a $170.0 million delayed draw secured term loan (the "2016 Secured Term Loan"). The</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2016 Secured Term Loan bears interest at a rate of LIBOR + 1.50%. As of December 31, 2016, we had not yet drawn on the 2016 Secured Term Loan.</w:t>
      </w:r>
    </w:p>
    <w:p>
      <w:pPr>
        <w:spacing w:after="0" w:line="218" w:lineRule="exact"/>
        <w:rPr>
          <w:sz w:val="20"/>
          <w:szCs w:val="20"/>
          <w:color w:val="auto"/>
        </w:rPr>
      </w:pPr>
    </w:p>
    <w:p>
      <w:pPr>
        <w:jc w:val="both"/>
        <w:ind w:firstLine="432"/>
        <w:spacing w:after="0" w:line="274" w:lineRule="auto"/>
        <w:rPr>
          <w:sz w:val="20"/>
          <w:szCs w:val="20"/>
          <w:color w:val="auto"/>
        </w:rPr>
      </w:pPr>
      <w:r>
        <w:rPr>
          <w:rFonts w:ascii="Arial" w:cs="Arial" w:eastAsia="Arial" w:hAnsi="Arial"/>
          <w:sz w:val="17"/>
          <w:szCs w:val="17"/>
          <w:b w:val="1"/>
          <w:bCs w:val="1"/>
          <w:color w:val="auto"/>
        </w:rPr>
        <w:t>2015 Secured Revolving Credit Facility</w:t>
      </w:r>
      <w:r>
        <w:rPr>
          <w:rFonts w:ascii="Arial" w:cs="Arial" w:eastAsia="Arial" w:hAnsi="Arial"/>
          <w:sz w:val="17"/>
          <w:szCs w:val="17"/>
          <w:color w:val="auto"/>
        </w:rPr>
        <w:t>—On March 27, 2015, we entered into our 2015 Secured Revolving Credit Facility. Borrowings under this</w:t>
      </w:r>
      <w:r>
        <w:rPr>
          <w:rFonts w:ascii="Arial" w:cs="Arial" w:eastAsia="Arial" w:hAnsi="Arial"/>
          <w:sz w:val="17"/>
          <w:szCs w:val="17"/>
          <w:b w:val="1"/>
          <w:bCs w:val="1"/>
          <w:color w:val="auto"/>
        </w:rPr>
        <w:t xml:space="preserve"> </w:t>
      </w:r>
      <w:r>
        <w:rPr>
          <w:rFonts w:ascii="Arial" w:cs="Arial" w:eastAsia="Arial" w:hAnsi="Arial"/>
          <w:sz w:val="17"/>
          <w:szCs w:val="17"/>
          <w:color w:val="auto"/>
        </w:rPr>
        <w:t>credit facility bear interest at a floating rate indexed to one of several base rates plus a margin which adjusts upward or downward based upon our corporate credit rating. An undrawn credit facility commitment fee ranges from 0.375% to 0.50%, based on average utilization each quarter. During the year ended December 31, 2016, the weighted average cost of the credit facility was 3.19%. Commitments under the revolving facility mature in March 2018. At maturity, we may convert outstanding borrowings to a one year term loan which matures in quarterly installments through March 2019. As of December 31, 2016, we had $250.0 million of borrowing capacity available under the 2015 Secured Revolving Credit Facility.</w:t>
      </w:r>
    </w:p>
    <w:p>
      <w:pPr>
        <w:spacing w:after="0" w:line="17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b w:val="1"/>
          <w:bCs w:val="1"/>
          <w:color w:val="auto"/>
        </w:rPr>
        <w:t>Unsecured Notes</w:t>
      </w:r>
      <w:r>
        <w:rPr>
          <w:rFonts w:ascii="Arial" w:cs="Arial" w:eastAsia="Arial" w:hAnsi="Arial"/>
          <w:sz w:val="18"/>
          <w:szCs w:val="18"/>
          <w:color w:val="auto"/>
        </w:rPr>
        <w:t>—In March 2016, we repaid our $261.4 million principal amount of 5.875% senior unsecured notes at maturity using available cash.</w:t>
      </w:r>
      <w:r>
        <w:rPr>
          <w:rFonts w:ascii="Arial" w:cs="Arial" w:eastAsia="Arial" w:hAnsi="Arial"/>
          <w:sz w:val="18"/>
          <w:szCs w:val="18"/>
          <w:b w:val="1"/>
          <w:bCs w:val="1"/>
          <w:color w:val="auto"/>
        </w:rPr>
        <w:t xml:space="preserve"> </w:t>
      </w:r>
      <w:r>
        <w:rPr>
          <w:rFonts w:ascii="Arial" w:cs="Arial" w:eastAsia="Arial" w:hAnsi="Arial"/>
          <w:sz w:val="18"/>
          <w:szCs w:val="18"/>
          <w:color w:val="auto"/>
        </w:rPr>
        <w:t>In addition, we issued $275.0 million principal amount of 6.50% senior unsecured notes due July 2021. Proceeds from the offering were primarily used to repay in full the $265.0 million principal amount of senior unsecured notes due July 2016 and repay $5.0 million of the 2015 Secured Revolving Credit Facility. In addition, we retired our $200.0 million principal amount of 3.0% senior unsecured convertible notes due November 2016 with available cash after the conversion of $9.6 million principal amount into 0.8 million shares of our common stock. We also retired our $200.0 million principal amount of 1.50% senior unsecured convertible notes due November 2016 using available cash. During the year ended December 31, 2016, repayments of unsecured notes prior to maturity resulted in losses on early extinguishment of debt of $0.4 million. This amount is included in "Loss on early extinguishment of debt, net" in our consolidated statements of operations.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firstLine="432"/>
        <w:spacing w:after="0" w:line="282" w:lineRule="auto"/>
        <w:rPr>
          <w:sz w:val="20"/>
          <w:szCs w:val="20"/>
          <w:color w:val="auto"/>
        </w:rPr>
      </w:pPr>
      <w:r>
        <w:rPr>
          <w:rFonts w:ascii="Arial" w:cs="Arial" w:eastAsia="Arial" w:hAnsi="Arial"/>
          <w:sz w:val="18"/>
          <w:szCs w:val="18"/>
          <w:b w:val="1"/>
          <w:bCs w:val="1"/>
          <w:color w:val="auto"/>
        </w:rPr>
        <w:t>Encumbered/Unencumbered Assets</w:t>
      </w:r>
      <w:r>
        <w:rPr>
          <w:rFonts w:ascii="Arial" w:cs="Arial" w:eastAsia="Arial" w:hAnsi="Arial"/>
          <w:sz w:val="18"/>
          <w:szCs w:val="18"/>
          <w:color w:val="auto"/>
        </w:rPr>
        <w:t>—As of December 31, 2016 and 2015, the carrying value of our encumbered and unencumbered assets by asset</w:t>
      </w:r>
      <w:r>
        <w:rPr>
          <w:rFonts w:ascii="Arial" w:cs="Arial" w:eastAsia="Arial" w:hAnsi="Arial"/>
          <w:sz w:val="18"/>
          <w:szCs w:val="18"/>
          <w:b w:val="1"/>
          <w:bCs w:val="1"/>
          <w:color w:val="auto"/>
        </w:rPr>
        <w:t xml:space="preserve"> </w:t>
      </w:r>
      <w:r>
        <w:rPr>
          <w:rFonts w:ascii="Arial" w:cs="Arial" w:eastAsia="Arial" w:hAnsi="Arial"/>
          <w:sz w:val="18"/>
          <w:szCs w:val="18"/>
          <w:color w:val="auto"/>
        </w:rPr>
        <w:t>type are as follows ($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4"/>
                <w:szCs w:val="14"/>
                <w:b w:val="1"/>
                <w:bCs w:val="1"/>
                <w:color w:val="auto"/>
              </w:rPr>
              <w:t>As of December 31,</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83"/>
              </w:rPr>
              <w:t>2016</w:t>
            </w:r>
          </w:p>
        </w:tc>
        <w:tc>
          <w:tcPr>
            <w:tcW w:w="12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3"/>
              </w:rPr>
              <w:t>2015</w:t>
            </w:r>
          </w:p>
        </w:tc>
        <w:tc>
          <w:tcPr>
            <w:tcW w:w="12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Encumbered Assets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Unencumbered</w:t>
            </w: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Encumbered Assets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4"/>
              </w:rPr>
              <w:t>Unencumbered</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net</w:t>
            </w: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881,212</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610,540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816,721</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777,262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Real estate available and held for sale</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83,764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10,593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126,681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development, net</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35,165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910,400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17,714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984,249</w:t>
            </w:r>
          </w:p>
        </w:tc>
        <w:tc>
          <w:tcPr>
            <w:tcW w:w="0" w:type="dxa"/>
            <w:vAlign w:val="bottom"/>
          </w:tcPr>
          <w:p>
            <w:pPr>
              <w:spacing w:after="0"/>
              <w:rPr>
                <w:sz w:val="1"/>
                <w:szCs w:val="1"/>
                <w:color w:val="auto"/>
              </w:rPr>
            </w:pPr>
          </w:p>
        </w:tc>
      </w:tr>
      <w:tr>
        <w:trPr>
          <w:trHeight w:val="270"/>
        </w:trPr>
        <w:tc>
          <w:tcPr>
            <w:tcW w:w="5620" w:type="dxa"/>
            <w:vAlign w:val="bottom"/>
          </w:tcPr>
          <w:p>
            <w:pPr>
              <w:ind w:left="40"/>
              <w:spacing w:after="0" w:line="270" w:lineRule="exact"/>
              <w:rPr>
                <w:sz w:val="20"/>
                <w:szCs w:val="20"/>
                <w:color w:val="auto"/>
              </w:rPr>
            </w:pPr>
            <w:r>
              <w:rPr>
                <w:rFonts w:ascii="Arial" w:cs="Arial" w:eastAsia="Arial" w:hAnsi="Arial"/>
                <w:sz w:val="18"/>
                <w:szCs w:val="18"/>
                <w:color w:val="auto"/>
              </w:rPr>
              <w:t>Loans receivable and other lending investments, net</w:t>
            </w:r>
            <w:r>
              <w:rPr>
                <w:rFonts w:ascii="Arial" w:cs="Arial" w:eastAsia="Arial" w:hAnsi="Arial"/>
                <w:sz w:val="25"/>
                <w:szCs w:val="25"/>
                <w:color w:val="auto"/>
                <w:vertAlign w:val="superscript"/>
              </w:rPr>
              <w:t>(1)(2)</w:t>
            </w: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172,581</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1,142,050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170,162</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1,314,823</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214,406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22,352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231,820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Cash and other assets</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639,588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1,008,415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1,088,958</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3,600,748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1,037,542</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4,443,250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___________________________________________________________</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As of December 31, 2016 and 2015, the amounts presented exclude general reserves for loan losses of $23.3 million and $36.0 million, respectively.</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As of December 31, 2016 and 2015, the amounts presented exclude loan participations of $159.1 million and $153.0 million,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18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outstanding unsecured debt securities contain corporate level covenants that include a covenant to maintain a ratio of unencumbered assets to unsecured indebtedness of at least 1.2x and a covenant not to incur additional indebtedness (except for incurrences of permitted debt), if on a pro forma basis, our consolidated fixed charge coverage ratio, determined in accordance with the indentures governing our debt securities, is 1.5x or lower. If any of our covenants are breached and not cured within applicable cure periods, the breach could result in acceleration of our debt securities unless a waiver or modification is agreed upon with the requisite percentage of the bondholders. If our ability to incur additional indebtedness under the fixed charge coverage ratio is limited, we are permitted to incur indebtedness for the purpose of refinancing existing indebtedness and for other permitted purposes under the indentures.</w:t>
      </w:r>
    </w:p>
    <w:p>
      <w:pPr>
        <w:spacing w:after="0" w:line="189"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The 2016 Senior Secured Credit Facility and the 2015 Secured Revolving Credit Facility contain certain covenants, including covenants relating to collateral coverage, dividend payments, restrictions on fundamental changes, transactions with affiliates, matters relating to the liens granted to the lenders and the delivery of information to the lenders. In particular, the 2016 Senior Secured Credit Facility requires us to maintain collateral coverage of at least 1.25x outstanding borrowings on the facility. The 2015 Secured Revolving Credit Facility is secured by a borrowing base of assets and requires us to maintain both collateral coverage of at least 1.5x outstanding borrowings on the facility and a consolidated ratio of cash flow to fixed charges of at least 1.5x. The 2015 Secured Revolving Credit Facility does not require that proceeds from the borrowing base be used to pay down outstanding borrowings provided the collateral coverage remains at least 1.5x outstanding borrowings on the facility. To satisfy this covenant, we have the option to pay down outstanding borrowings or substitute assets in the borrowing base. In addition, for so long as we maintain our qualification as a REIT, the 2016 Senior Secured Credit Facility and the 2015 Secured Revolving Credit Facility permit us to distribute 100% of our REIT taxable income on an annual basis (prior to deducting certain cumulative NOL carryforwards).</w:t>
      </w:r>
    </w:p>
    <w:p>
      <w:pPr>
        <w:spacing w:after="0" w:line="191"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Derivatives</w:t>
      </w:r>
      <w:r>
        <w:rPr>
          <w:rFonts w:ascii="Arial" w:cs="Arial" w:eastAsia="Arial" w:hAnsi="Arial"/>
          <w:sz w:val="18"/>
          <w:szCs w:val="18"/>
          <w:color w:val="auto"/>
        </w:rPr>
        <w:t>—Our use of derivative financial instruments is primarily limited to the utilization of interest rate swaps, interest rate caps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instruments to manage interest rate risk exposure and foreign exchange contracts to manage our risk to changes in foreign currencies. See Item 8—"Financial Statements and Supplemental Data—Note 12" for further details.</w:t>
      </w:r>
    </w:p>
    <w:p>
      <w:pPr>
        <w:spacing w:after="0" w:line="176"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b w:val="1"/>
          <w:bCs w:val="1"/>
          <w:color w:val="auto"/>
        </w:rPr>
        <w:t>Off-Balance Sheet Arrangements</w:t>
      </w:r>
      <w:r>
        <w:rPr>
          <w:rFonts w:ascii="Arial" w:cs="Arial" w:eastAsia="Arial" w:hAnsi="Arial"/>
          <w:sz w:val="18"/>
          <w:szCs w:val="18"/>
          <w:color w:val="auto"/>
        </w:rPr>
        <w:t>—We are not dependent on the use of any off-balance sheet financing arrangements for liquidity. We have made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in various unconsolidated ventures. See Item 8—"Financial Statements and Supplemental Data—Note 7" for further details of our unconsolidated investments. Our maximum exposure to loss from these investments is limited to the carrying value of our investments and any unfunded commitments (see below).</w:t>
      </w:r>
    </w:p>
    <w:p>
      <w:pPr>
        <w:spacing w:after="0" w:line="180" w:lineRule="exact"/>
        <w:rPr>
          <w:sz w:val="20"/>
          <w:szCs w:val="20"/>
          <w:color w:val="auto"/>
        </w:rPr>
      </w:pPr>
    </w:p>
    <w:p>
      <w:pPr>
        <w:jc w:val="both"/>
        <w:ind w:firstLine="432"/>
        <w:spacing w:after="0" w:line="295" w:lineRule="auto"/>
        <w:rPr>
          <w:sz w:val="20"/>
          <w:szCs w:val="20"/>
          <w:color w:val="auto"/>
        </w:rPr>
      </w:pPr>
      <w:r>
        <w:rPr>
          <w:rFonts w:ascii="Arial" w:cs="Arial" w:eastAsia="Arial" w:hAnsi="Arial"/>
          <w:sz w:val="16"/>
          <w:szCs w:val="16"/>
          <w:b w:val="1"/>
          <w:bCs w:val="1"/>
          <w:color w:val="auto"/>
        </w:rPr>
        <w:t>Unfunded Commitments</w:t>
      </w:r>
      <w:r>
        <w:rPr>
          <w:rFonts w:ascii="Arial" w:cs="Arial" w:eastAsia="Arial" w:hAnsi="Arial"/>
          <w:sz w:val="16"/>
          <w:szCs w:val="16"/>
          <w:color w:val="auto"/>
        </w:rPr>
        <w:t>—We generally fund construction and development loans and build-outs of space in net lease assets over a period of time if</w:t>
      </w:r>
      <w:r>
        <w:rPr>
          <w:rFonts w:ascii="Arial" w:cs="Arial" w:eastAsia="Arial" w:hAnsi="Arial"/>
          <w:sz w:val="16"/>
          <w:szCs w:val="16"/>
          <w:b w:val="1"/>
          <w:bCs w:val="1"/>
          <w:color w:val="auto"/>
        </w:rPr>
        <w:t xml:space="preserve"> </w:t>
      </w:r>
      <w:r>
        <w:rPr>
          <w:rFonts w:ascii="Arial" w:cs="Arial" w:eastAsia="Arial" w:hAnsi="Arial"/>
          <w:sz w:val="16"/>
          <w:szCs w:val="16"/>
          <w:color w:val="auto"/>
        </w:rPr>
        <w:t>and when the borrowers and tenants meet established milestones and other performance criteria. We refer to these arrangements as Performance-Based Commitments. In addition, we sometimes establish a maximum amount of additional funding which we will make available to a borrower or tenant for an expansion or addition to a project if we approve of the expansion or addition in our sole discretion. We refer to these arrangements as Discretionary Fundings. Finally, we have committed to invest capital in several real estate funds and other ventures. These arrangements are referred to as Strategic Investments. As of December 31, 2016, the maximum amounts of the fundings we may make under each category, assuming all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performance hurdles and milestones are met under the Performance-Based Commitments, that we approve all Discretionary Fundings and that 100% of our capital committed to Strategic Investments is drawn down, are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Loans and Other</w:t>
            </w:r>
          </w:p>
        </w:tc>
        <w:tc>
          <w:tcPr>
            <w:tcW w:w="200" w:type="dxa"/>
            <w:vAlign w:val="bottom"/>
          </w:tcPr>
          <w:p>
            <w:pPr>
              <w:spacing w:after="0"/>
              <w:rPr>
                <w:sz w:val="14"/>
                <w:szCs w:val="14"/>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Real Estate</w:t>
            </w:r>
          </w:p>
        </w:tc>
        <w:tc>
          <w:tcPr>
            <w:tcW w:w="22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340" w:type="dxa"/>
            <w:vAlign w:val="bottom"/>
          </w:tcPr>
          <w:p>
            <w:pPr>
              <w:spacing w:after="0"/>
              <w:rPr>
                <w:sz w:val="14"/>
                <w:szCs w:val="14"/>
                <w:color w:val="auto"/>
              </w:rPr>
            </w:pPr>
          </w:p>
        </w:tc>
        <w:tc>
          <w:tcPr>
            <w:tcW w:w="10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16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Lending Investments</w:t>
            </w:r>
            <w:r>
              <w:rPr>
                <w:rFonts w:ascii="Arial" w:cs="Arial" w:eastAsia="Arial" w:hAnsi="Arial"/>
                <w:sz w:val="8"/>
                <w:szCs w:val="8"/>
                <w:b w:val="1"/>
                <w:bCs w:val="1"/>
                <w:color w:val="auto"/>
                <w:w w:val="93"/>
              </w:rPr>
              <w:t>(1)</w:t>
            </w: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Investments</w:t>
            </w:r>
          </w:p>
        </w:tc>
        <w:tc>
          <w:tcPr>
            <w:tcW w:w="3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Performance-Based Commitments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366,287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406,477</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Strategic Investments</w:t>
            </w:r>
          </w:p>
        </w:tc>
        <w:tc>
          <w:tcPr>
            <w:tcW w:w="16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45,540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45,540</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20" w:type="dxa"/>
            <w:vAlign w:val="bottom"/>
            <w:tcBorders>
              <w:bottom w:val="single" w:sz="8" w:color="CCEEFF"/>
            </w:tcBorders>
            <w:shd w:val="clear" w:color="auto" w:fill="CCEEFF"/>
          </w:tcPr>
          <w:p>
            <w:pPr>
              <w:ind w:left="180"/>
              <w:spacing w:after="0" w:line="264" w:lineRule="exact"/>
              <w:rPr>
                <w:sz w:val="20"/>
                <w:szCs w:val="20"/>
                <w:color w:val="auto"/>
              </w:rPr>
            </w:pPr>
            <w:r>
              <w:rPr>
                <w:rFonts w:ascii="Arial" w:cs="Arial" w:eastAsia="Arial" w:hAnsi="Arial"/>
                <w:sz w:val="18"/>
                <w:szCs w:val="18"/>
                <w:color w:val="auto"/>
              </w:rPr>
              <w:t>Total</w:t>
            </w:r>
            <w:r>
              <w:rPr>
                <w:rFonts w:ascii="Arial" w:cs="Arial" w:eastAsia="Arial" w:hAnsi="Arial"/>
                <w:sz w:val="25"/>
                <w:szCs w:val="25"/>
                <w:color w:val="auto"/>
                <w:vertAlign w:val="superscript"/>
              </w:rPr>
              <w:t>(2)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366,287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71,114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452,017</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-98425</wp:posOffset>
            </wp:positionV>
            <wp:extent cx="37992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799205" cy="8890"/>
                    </a:xfrm>
                    <a:prstGeom prst="rect">
                      <a:avLst/>
                    </a:prstGeom>
                    <a:noFill/>
                  </pic:spPr>
                </pic:pic>
              </a:graphicData>
            </a:graphic>
          </wp:anchor>
        </w:drawing>
      </w:r>
    </w:p>
    <w:p>
      <w:pPr>
        <w:ind w:left="500" w:hanging="492"/>
        <w:spacing w:after="0"/>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Excludes $158.7 million of commitments on loan participations sold that are not our obligation.</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We did not have any Discretionary Fundings as of December 31, 2016.</w:t>
      </w:r>
    </w:p>
    <w:p>
      <w:pPr>
        <w:spacing w:after="0" w:line="206" w:lineRule="exact"/>
        <w:rPr>
          <w:sz w:val="20"/>
          <w:szCs w:val="20"/>
          <w:color w:val="auto"/>
        </w:rPr>
      </w:pPr>
    </w:p>
    <w:p>
      <w:pPr>
        <w:jc w:val="both"/>
        <w:ind w:firstLine="432"/>
        <w:spacing w:after="0" w:line="292" w:lineRule="auto"/>
        <w:rPr>
          <w:sz w:val="20"/>
          <w:szCs w:val="20"/>
          <w:color w:val="auto"/>
        </w:rPr>
      </w:pPr>
      <w:r>
        <w:rPr>
          <w:rFonts w:ascii="Arial" w:cs="Arial" w:eastAsia="Arial" w:hAnsi="Arial"/>
          <w:sz w:val="16"/>
          <w:szCs w:val="16"/>
          <w:b w:val="1"/>
          <w:bCs w:val="1"/>
          <w:color w:val="auto"/>
        </w:rPr>
        <w:t>Stock Repurchase Program</w:t>
      </w:r>
      <w:r>
        <w:rPr>
          <w:rFonts w:ascii="Arial" w:cs="Arial" w:eastAsia="Arial" w:hAnsi="Arial"/>
          <w:sz w:val="16"/>
          <w:szCs w:val="16"/>
          <w:color w:val="auto"/>
        </w:rPr>
        <w:t>—In February 2016, after having substantially utilized the remaining availability previously authorized, our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authorized a new $50.0 million stock repurchase program. After having substantially utilized the availability authorized in February 2016, our Board of Directors authorized an increase to the stock repurchase program to $50.0 million, effective August 4, 2016. The program authorizes the repurchase of common stock from time to time in open market and privately negotiated purchases, including pursuant to one or more trading plans. During the year ended December 31, 2016, we repurchased 10.2 million shares of our common stock for $98.4 million, at an average cost of $9.67 per share. During the year ended December 31, 2015, we repurchased 5.7 million shares of our common stock for $70.4 million, at an average cost of $12.25 per share. As of December 31, 2016, we had remaining authorization to repurchase up to $50.0 million of common stock under our stock repurchase program.</w:t>
      </w:r>
    </w:p>
    <w:p>
      <w:pPr>
        <w:spacing w:after="0" w:line="12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b w:val="1"/>
          <w:bCs w:val="1"/>
          <w:color w:val="auto"/>
        </w:rPr>
        <w:t>HPU Repurchase</w:t>
      </w:r>
      <w:r>
        <w:rPr>
          <w:rFonts w:ascii="Arial" w:cs="Arial" w:eastAsia="Arial" w:hAnsi="Arial"/>
          <w:sz w:val="18"/>
          <w:szCs w:val="18"/>
          <w:color w:val="auto"/>
        </w:rPr>
        <w:t>—In August 2015, we repurchased and retired all of our outstanding 14,888 HPUs, representing 2.8 million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We repurchased these HPUs at fair value from current and former employees through an arms-length exchange offer. HPU holders could have elected to receive $9.30 in cash or 0.7 shares of iStar common stock, or a combination thereof, per common stock equivalent underlying the HPUs. Approximately 37% of the outstanding HPUs were exchanged for $9.8 million in cash and approximately 63% of the outstanding HPUs were exchanged for 1.2 million shares of our common stock with a fair value of $15.2 million, representing the number of shares issued at the closing price of our common stock on August 13, 2015. The transaction value in excess of the HPUs carrying value of $9.8 million was recorded as a reduction to retained earnings (deficit) in our consolidated statements of changes in equity.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83"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judgments in certain circumstances that affect amounts reported as assets, liabilities, revenues and expenses. We have established detailed policies and control procedures intended to ensure that valuation methods, including any judgments made as part of such methods, are well controlled, reviewed and applied consistently from period to period. We base our estimates on historical corporate and industry experience and various other assumptions that we believe to be appropriate under the circumstances. For all of these estimates, we caution that future events rarely develop exactly as forecasted, and, therefore, routinely require adjustment.</w:t>
      </w:r>
    </w:p>
    <w:p>
      <w:pPr>
        <w:spacing w:after="0" w:line="21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2016, management reviewed and evaluated these critical accounting estimates and believes they are appropriate. Our significant accounting policies are described in Item 8—"Financial Statements and Supplemental Data—Note 3." The following is a summary of accounting policies that require more significant management estimates and judgments:</w:t>
      </w:r>
    </w:p>
    <w:p>
      <w:pPr>
        <w:spacing w:after="0" w:line="100"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b w:val="1"/>
          <w:bCs w:val="1"/>
          <w:i w:val="1"/>
          <w:iCs w:val="1"/>
          <w:color w:val="auto"/>
        </w:rPr>
        <w:t>Reserve for loan losses—</w:t>
      </w:r>
      <w:r>
        <w:rPr>
          <w:rFonts w:ascii="Arial" w:cs="Arial" w:eastAsia="Arial" w:hAnsi="Arial"/>
          <w:sz w:val="16"/>
          <w:szCs w:val="16"/>
          <w:color w:val="auto"/>
        </w:rPr>
        <w:t>The reserve for loan losses reflects management's estimate of loan losses inherent in the loan portfolio as of the balance sheet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date. If we determine that the collateral fair value less costs to sell is less than the carrying value of a collateral-dependent loan, we will record a reserve. The reserve is increased (decreased) through "Provision for (recovery of) loan losses" in our consolidated statements of operations and is decreased by charge-offs. During delinquency and the foreclosure process, there are typically numerous points of negotiation with the borrower as we work toward a settlement or other alternative resolution, which can impact the potential for loan repayment or receipt of collateral. Our policy is to charge off a loan when we determine, based on a variety of factors, that all commercially reasonable means of recovering the loan balance have been exhausted. This may occur at different times, including when we receive cash or other assets in a pre-foreclosure sale or take control of the underlying collateral in full satisfaction of the loan upon foreclosure or deed-in-lieu, or when we have otherwise ceased significant collection efforts. We consider circumstances such as the foregoing to be indicators that the final steps in the loan collection process have occurred and that a loan is uncollectible. At this point, a loss is confirmed and the loan and related reserve will be charged off. We have one portfolio segment, represented by commercial real estate lending, whereby we utilize a uniform process for determining our reserves for loan losses. The reserve for loan losses includes a general, formula-based component and an asset-specific component.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general reserve component covers performing loans and reserves for loan losses are recorded when (i) available information as of each balance sheet date indicates that it is probable a loss has occurred in the portfolio and (ii) the amount of the loss can be reasonably estimated. The formula-based general reserve is derived from estimated principal default probabilities and loss severities applied to groups of loans based upon risk ratings assigned to loans with similar risk characteristics during our quarterly loan portfolio assessment. During this assessment, we perform a comprehensive analysis of our loan portfolio and assign risk ratings to loans that incorporate management's current judgments about their credit quality based on all known and relevant internal and external factors that may affect collectability. We consider, among other things, payment status, lien position, borrower financial resources and investment in collateral, collateral type, project economics and geographical location as well as national and regional economic factors. This methodology results in loans being segmented by risk classification into risk rating categories that are associated with estimated probabilities of default and principal loss. Ratings range from "1" to "5" with "1" representing the lowest risk of loss and "5" representing the highest risk of loss. We estimate loss rates based on historical realized losses experienced within our portfolio and take into account current economic conditions affecting the commercial real estate market when establishing appropriate time frames to evaluate loss experience.</w:t>
      </w:r>
    </w:p>
    <w:p>
      <w:pPr>
        <w:spacing w:after="0" w:line="14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asset-specific reserve component relates to reserves for losses on impaired loans. We consider a loan to be impaired when, based upon current information and events, we believe that it is probable that we will be unable to collect all amounts due under the contractual terms of the loan agreement. This assessment is made on a loan-by-loan basis each quarter based on such factors as payment status, lien position, borrower financial resources and investment in collateral, collateral type, project economics and geographical location as well as national and regional economic factors. A reserve is established for an impaired loan when the present value of payments expected to be received, observable market prices, or the estimated fair value of the collateral (for loans that are dependent on the collateral for repayment) is lower than the carrying value of that loan.</w:t>
      </w:r>
    </w:p>
    <w:p>
      <w:pPr>
        <w:spacing w:after="0" w:line="138"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Substantially all of our impaired loans are collateral dependent and impairment is measured using the estimated fair value of collateral, less costs to sell. We generally use the income approach through internally developed valuation models to estimate the fair value of the collateral for such loans. In more limited cases, we obtain external "as is" appraisals for loan collateral, generally when third party participations exist. Valuations are performed or obtained at the time a loan is determined to be impaired and designated non-performing, and they are updated if circumstances indicate that a significant change in value has occurred. In limited cases, appraised values may be discounted when real estate markets rapidly deteriorate.</w:t>
      </w:r>
    </w:p>
    <w:p>
      <w:pPr>
        <w:spacing w:after="0" w:line="13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 loan is also considered impaired if its terms are modified in a troubled debt restructuring ("TDR"). A TDR occurs when we grant a concession to a debtor that is experiencing financial difficulties. Impairments on TDR loans are generally measured based on the present value of expected future cash flows discounted at the effective interest rate of the original loan.</w:t>
      </w:r>
    </w:p>
    <w:p>
      <w:pPr>
        <w:spacing w:after="0" w:line="27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(recovery of) provision for loan losses for the years ended December 31, 2016, 2015 and 2014 were $(12.5) million, $36.6 million and $(1.7) million, respectively. The total reserve for loan losses as of December 31, 2016 and 2015, included asset specific reserves of $62.2 million and $72.2 million, respectively, and general reserves of $23.3 million and $36.0 million, respectively.</w:t>
      </w:r>
    </w:p>
    <w:p>
      <w:pPr>
        <w:spacing w:after="0" w:line="235"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b w:val="1"/>
          <w:bCs w:val="1"/>
          <w:i w:val="1"/>
          <w:iCs w:val="1"/>
          <w:color w:val="auto"/>
        </w:rPr>
        <w:t>Acquisition of real estate</w:t>
      </w:r>
      <w:r>
        <w:rPr>
          <w:rFonts w:ascii="Arial" w:cs="Arial" w:eastAsia="Arial" w:hAnsi="Arial"/>
          <w:sz w:val="17"/>
          <w:szCs w:val="17"/>
          <w:color w:val="auto"/>
        </w:rPr>
        <w:t>—We generally acquire real estate assets or land and development assets through purchases or through foreclosure or deed-in-lieu of foreclosure in full or partial satisfaction of non-performing loans. When we acquire assets these properties are classified as "Real estate, net" or "Land and development, net" on our consolidated balance sheets. When we intend to hold, operate or develop the property for a period of at least 12 months, assets are classified as "Real estate, net," and when we intend to market these properties for sale in the near term, assets are classified as "Real estate available and held for sale." When we purchase assets the properties are recorded at cost. Foreclosed assets classified as real estate and land and development are initially recorded at their estimated fair value and assets classified as assets held for sale are recorded at their estimated fair value less costs to sell. The excess of the carrying value of the loan over these amounts is charged-off against the reserve for loan losses. In both cases, upon acquisition, tangible and intangible assets and liabilities acquired are recorded at their estimated fair values.</w:t>
      </w:r>
    </w:p>
    <w:p>
      <w:pPr>
        <w:spacing w:after="0" w:line="9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During the years ended December 31, 2016, 2015 and 2014, we received title to properties in satisfaction of mortgage loans with fair values of $40.6 million, $13.4 million and $77.9 million, respectively, for which those properties had served as collateral.</w:t>
      </w:r>
    </w:p>
    <w:p>
      <w:pPr>
        <w:spacing w:after="0" w:line="8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b w:val="1"/>
          <w:bCs w:val="1"/>
          <w:i w:val="1"/>
          <w:iCs w:val="1"/>
          <w:color w:val="auto"/>
        </w:rPr>
        <w:t>Impairment or disposal of long-lived assets</w:t>
      </w:r>
      <w:r>
        <w:rPr>
          <w:rFonts w:ascii="Arial" w:cs="Arial" w:eastAsia="Arial" w:hAnsi="Arial"/>
          <w:sz w:val="16"/>
          <w:szCs w:val="16"/>
          <w:color w:val="auto"/>
        </w:rPr>
        <w:t>—Real estate assets to be disposed of are reported at the lower of their carrying amount or estimated fair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value less costs to sell and are included in "Real estate available and held for sale" on our consolidated balance sheets. The difference between the estimated fair value less costs to sell and the carrying value will be recorded as an impairment charge. Impairment for real estate assets are included in "Impairment of assets" in our consolidated statements of operations. Once the asset is classified as held for sale, depreciation expense is no longer recorded.</w:t>
      </w:r>
    </w:p>
    <w:p>
      <w:pPr>
        <w:spacing w:after="0" w:line="20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periodically review real estate to be held and used and land and development assets for impairment in value whenever events or changes in circumstances indicate that the carrying amount of such assets may not be recoverable. The asset's value is impaired only if management's estimate of the aggregate future cash flows (undiscounted and without interest charges) to be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generated by the asset (taking into account the anticipated holding period of the asset) is less than the carrying value. Such estimate of cash flows considers factors such as expected future operating income, trends and prospects, as well as the effects of demand, competition and other economic factors. To the extent impairment has occurred, the loss will be measured as the excess of the carrying amount of the property over the fair value of the asset and reflected as an adjustment to the basis of the asset. Impairments of real estate and land and development assets are recorded in "Impairment of assets" in our consolidated statements of operations.</w:t>
      </w:r>
    </w:p>
    <w:p>
      <w:pPr>
        <w:spacing w:after="0" w:line="10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During the year ended December 31, 2016, we recorded impairments on real estate and land and development assets totaling $14.5 million resulting from a change in business strategy, unfavorable local market conditions for certain assets and sales of net lease assets. During the years ended December 31, 2015 and 2014, we recorded impairments on real estate and land and development assets totaling $10.5 million and $34.6 million, respectively, resulting from unfavorable local market conditions and changes in business strategy for certain assets.</w:t>
      </w:r>
    </w:p>
    <w:p>
      <w:pPr>
        <w:spacing w:after="0" w:line="30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b w:val="1"/>
          <w:bCs w:val="1"/>
          <w:i w:val="1"/>
          <w:iCs w:val="1"/>
          <w:color w:val="auto"/>
        </w:rPr>
        <w:t>Identified intangible assets and liabilities</w:t>
      </w:r>
      <w:r>
        <w:rPr>
          <w:rFonts w:ascii="Arial" w:cs="Arial" w:eastAsia="Arial" w:hAnsi="Arial"/>
          <w:sz w:val="18"/>
          <w:szCs w:val="18"/>
          <w:color w:val="auto"/>
        </w:rPr>
        <w:t>—We record intangible assets and liabilities acquired at their estimated fair values, and determine whether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intangible assets and liabilities have finite or indefinite lives. As of December 31, 2016, all such acquired intangible assets and liabilities have finite lives. We amortize finite lived intangible assets and liabilities over the period which the assets and liabilities are expected to contribute directly or indirectly to the future cash flows of the business acquired. We review finite lived intangible assets for impairment whenever events or changes in circumstances indicate that their carrying amount may not be recoverable. If we determine the carrying value of an intangible asset is not recoverable we will record an impairment charge to the extent its carrying value exceeds its estimated fair value. Impairments of intangibles are recorded in "Impairment of assets" in our consolidated statements of operations.</w:t>
      </w:r>
    </w:p>
    <w:p>
      <w:pPr>
        <w:spacing w:after="0" w:line="243"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b w:val="1"/>
          <w:bCs w:val="1"/>
          <w:i w:val="1"/>
          <w:iCs w:val="1"/>
          <w:color w:val="auto"/>
        </w:rPr>
        <w:t>Valuation of deferred tax assets</w:t>
      </w:r>
      <w:r>
        <w:rPr>
          <w:rFonts w:ascii="Arial" w:cs="Arial" w:eastAsia="Arial" w:hAnsi="Arial"/>
          <w:sz w:val="17"/>
          <w:szCs w:val="17"/>
          <w:color w:val="auto"/>
        </w:rPr>
        <w:t>—Deferred income taxes reflect the net tax effects of temporary differences between the carrying amount of assets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liabilities for financial reporting purposes and the amounts used for income tax purposes, as well as operating loss and tax credit carryforwards. We evaluate the realizability of our deferred tax assets and recognize a valuation allowance if, based on the available evidence, both positive and negative, it is more likely than not that some portion or all of our deferred tax assets will not be realized. When evaluating the realizability of our deferred tax assets, we consider, among other matters, estimates of expected future taxable income, nature of current and cumulative losses, existing and projected book/tax differences, tax planning strategies available, and the general and industry specific economic outlook. This realizability analysis is inherently subjective, as it requires us to forecast our business and general economic environment in future periods. Changes in estimate of deferred tax asset realizability, if any are included in "Income tax (expense) benefit" in the consolidated statements of operations.</w:t>
      </w:r>
    </w:p>
    <w:p>
      <w:pPr>
        <w:spacing w:after="0" w:line="23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While certain entities with NOLs may generate profits in the future, which may allow us to utilize the NOLs, we continue to record a full valuation allowance on the net deferred tax asset due to the history of losses and the uncertainty of the entities' ability to generate such profits. We recorded a full valuation allowance of $66.5 million and $53.9 million as of December 31, 2016 and 2015, respectively.</w:t>
      </w:r>
    </w:p>
    <w:p>
      <w:pPr>
        <w:spacing w:after="0" w:line="23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b w:val="1"/>
          <w:bCs w:val="1"/>
          <w:i w:val="1"/>
          <w:iCs w:val="1"/>
          <w:color w:val="auto"/>
        </w:rPr>
        <w:t>Variable interest entities</w:t>
      </w:r>
      <w:r>
        <w:rPr>
          <w:rFonts w:ascii="Arial" w:cs="Arial" w:eastAsia="Arial" w:hAnsi="Arial"/>
          <w:sz w:val="17"/>
          <w:szCs w:val="17"/>
          <w:color w:val="auto"/>
        </w:rPr>
        <w:t>—We evaluate our investments and other contractual arrangements to determine if our interests constitute variable interests in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variable interest entity ("VIE") and if we are the primary beneficiary. There is a significant amount of judgment required to determine if an entity is considered a VIE and if we are the primary beneficiary. We first perform a qualitative analysis, which requires certain subjective decisions regarding our assessment, including, but not limited to, which interests create or absorb variability, the contractual terms, the key decision making powers, impact on the VIE's economic performance and related party relationships. An iterative quantitative analysis is required if our qualitative analysis proves inconclusive as to whether the entity is a VIE or we are the primary beneficiary and consolidation is required.</w:t>
      </w:r>
    </w:p>
    <w:p>
      <w:pPr>
        <w:spacing w:after="0" w:line="232"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b w:val="1"/>
          <w:bCs w:val="1"/>
          <w:i w:val="1"/>
          <w:iCs w:val="1"/>
          <w:color w:val="auto"/>
        </w:rPr>
        <w:t>Fair value of assets and liabilities</w:t>
      </w:r>
      <w:r>
        <w:rPr>
          <w:rFonts w:ascii="Arial" w:cs="Arial" w:eastAsia="Arial" w:hAnsi="Arial"/>
          <w:sz w:val="17"/>
          <w:szCs w:val="17"/>
          <w:color w:val="auto"/>
        </w:rPr>
        <w:t>—The degree of management judgment involved in determining the fair value of assets and liabilities is dependent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upon the availability of quoted market prices or observable market parameters. For financial and nonfinancial assets and liabilities that trade actively and have quoted market prices or observable market parameters, there is minimal subjectivity involved in measuring fair value. When observable market prices and parameters are not fully available, management judgment is necessary to estimate fair value. In addition, changes in market conditions may reduce the availability of quoted prices or observable data. For example, reduced liquidity in the capital markets or changes in secondary market activities could result in observable market inputs becoming unavailable. Therefore, when market data is not available, we would use valuation techniques requiring more management judgment to estimate the appropriate fair value measurement.</w:t>
      </w:r>
    </w:p>
    <w:p>
      <w:pPr>
        <w:spacing w:after="0" w:line="23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See Item 8—"Financial Statements and Supplemental Data—Note 16" for a complete discussion on how we determine fair value of financial and non-financial assets and financial liabilities and the related measurement techniques and estimates involved.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Risks</w:t>
      </w:r>
    </w:p>
    <w:p>
      <w:pPr>
        <w:spacing w:after="0" w:line="28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Market risk is the exposure to loss resulting from changes in interest rates, foreign currency exchange rates, commodity prices and equity prices. In pursuing our business plan, the primary market risk to which we are exposed is interest rate risk. Our operating results will depend in part on the difference between the interest and related income earned on our assets and the interest expense incurred in connection with our interest-bearing liabilities. Changes in the general level of interest rates prevailing in the financial markets will affect the spread between our floating rate assets and liabilities subject to the net amount of floating rate assets/liabilities and the impact of interest rate floors and caps. Any significant compression of the spreads between interest-earning assets and interest-bearing liabilities could have a material adverse effect on us.</w:t>
      </w:r>
    </w:p>
    <w:p>
      <w:pPr>
        <w:spacing w:after="0" w:line="23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 the event of a significant rising interest rate environment or economic downturn, defaults could increase and cause us to incur additional credit losses which would adversely affect our liquidity and operating results. Such delinquencies or defaults would likely have a material adverse effect on the spreads between interest-earning assets and interest-bearing liabilities. In addition, an increase in interest rates could, among other things, reduce the value of our fixed-rate interest-bearing assets and our ability to realize gains from the sale of such assets.</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Interest rates are highly sensitive to many factors, including governmental monetary and tax policies, domestic and international economic and political conditions, and other factors beyond our control. We monitor the spreads between our interest-earning assets and interest-bearing liabilities and may implement hedging strategies to limit the effects of changes in interest rates on our operations, including engaging in interest rate swaps, interest rate caps and other interest rate-related derivative contracts. Such strategies are designed to reduce our exposure, on specific transactions or on a portfolio basis, to changes in cash flows as a result of interest rate movements in the market. We do not enter into derivative contracts for speculative purposes or as a hedge against changes in our credit risk or the credit risk of our borrowers.</w:t>
      </w:r>
    </w:p>
    <w:p>
      <w:pPr>
        <w:spacing w:after="0" w:line="247"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While a REIT may utilize derivative instruments to hedge interest rate risk on its liabilities incurred to acquire or carry real estate assets without generating non-qualifying income, use of derivatives for other purposes will generate non-qualified income for REIT income test purposes. This includes hedging asset related risks such as credit, foreign exchange and interest rate exposure on our loan assets. As a result our ability to hedge these types of risks is limited. There can be no assurance that our profitability will not be materially adversely affected during any period as a result of changing interest rates.</w:t>
      </w:r>
    </w:p>
    <w:p>
      <w:pPr>
        <w:spacing w:after="0" w:line="20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following table quantifies the potential changes in annual net income should interest rates increase by 10, 50 or 100 basis points and decrease by 10 basis points, assuming no change in our interest earning assets, interest bearing liabilities or the shape of the yield curve (i.e., relative interest rates). The base interest rate scenario assumes the one-month LIBOR rate of 0.77% as of December 31, 2016. Actual results could differ significantly from those estimated in the table.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Change In Net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Change in Interest Rates</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Net Income</w:t>
            </w:r>
            <w:r>
              <w:rPr>
                <w:rFonts w:ascii="Arial" w:cs="Arial" w:eastAsia="Arial" w:hAnsi="Arial"/>
                <w:sz w:val="8"/>
                <w:szCs w:val="8"/>
                <w:b w:val="1"/>
                <w:bCs w:val="1"/>
                <w:color w:val="auto"/>
              </w:rPr>
              <w:t>(1)</w:t>
            </w: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 Basis Points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w:t>
            </w:r>
          </w:p>
        </w:tc>
      </w:tr>
      <w:tr>
        <w:trPr>
          <w:trHeight w:val="243"/>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Base Interest Rate</w:t>
            </w:r>
          </w:p>
        </w:tc>
        <w:tc>
          <w:tcPr>
            <w:tcW w:w="380" w:type="dxa"/>
            <w:vAlign w:val="bottom"/>
          </w:tcPr>
          <w:p>
            <w:pPr>
              <w:spacing w:after="0"/>
              <w:rPr>
                <w:sz w:val="21"/>
                <w:szCs w:val="21"/>
                <w:color w:val="auto"/>
              </w:rPr>
            </w:pP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 Basis Points</w:t>
            </w:r>
          </w:p>
        </w:tc>
        <w:tc>
          <w:tcPr>
            <w:tcW w:w="3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1,096</w:t>
            </w:r>
          </w:p>
        </w:tc>
      </w:tr>
      <w:tr>
        <w:trPr>
          <w:trHeight w:val="243"/>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+50 Basis Points</w:t>
            </w:r>
          </w:p>
        </w:tc>
        <w:tc>
          <w:tcPr>
            <w:tcW w:w="380" w:type="dxa"/>
            <w:vAlign w:val="bottom"/>
          </w:tcPr>
          <w:p>
            <w:pPr>
              <w:spacing w:after="0"/>
              <w:rPr>
                <w:sz w:val="21"/>
                <w:szCs w:val="21"/>
                <w:color w:val="auto"/>
              </w:rPr>
            </w:pP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5,485</w:t>
            </w:r>
          </w:p>
        </w:tc>
      </w:tr>
      <w:tr>
        <w:trPr>
          <w:trHeight w:val="270"/>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+100 Basis Points</w:t>
            </w:r>
          </w:p>
        </w:tc>
        <w:tc>
          <w:tcPr>
            <w:tcW w:w="380" w:type="dxa"/>
            <w:vAlign w:val="bottom"/>
          </w:tcPr>
          <w:p>
            <w:pPr>
              <w:spacing w:after="0"/>
              <w:rPr>
                <w:sz w:val="23"/>
                <w:szCs w:val="23"/>
                <w:color w:val="auto"/>
              </w:rPr>
            </w:pP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10,974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353314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33140" cy="1714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______________________________________________________________________________</w:t>
      </w:r>
    </w:p>
    <w:p>
      <w:pPr>
        <w:spacing w:after="0" w:line="13" w:lineRule="exact"/>
        <w:rPr>
          <w:sz w:val="20"/>
          <w:szCs w:val="20"/>
          <w:color w:val="auto"/>
        </w:rPr>
      </w:pPr>
    </w:p>
    <w:p>
      <w:pPr>
        <w:jc w:val="both"/>
        <w:ind w:left="420" w:hanging="412"/>
        <w:spacing w:after="0" w:line="248" w:lineRule="auto"/>
        <w:tabs>
          <w:tab w:leader="none" w:pos="4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We have an overall net variable-rate asset position, which results in an increase in net income when rates increase and a decrease in net income when rates decrease. As of December 31, 2016, $657.9 million of our floating rate loans have a cumulative weighted average interest rate floor of 0.2% and $658.9 million of our floating rate debt has a cumulative weighted average interest rate floor of 0.8%.</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Supplemental Data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Financial Statements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31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76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Page</w:t>
            </w:r>
          </w:p>
        </w:tc>
      </w:tr>
      <w:tr>
        <w:trPr>
          <w:trHeight w:val="209"/>
        </w:trPr>
        <w:tc>
          <w:tcPr>
            <w:tcW w:w="10320" w:type="dxa"/>
            <w:vAlign w:val="bottom"/>
            <w:gridSpan w:val="13"/>
            <w:shd w:val="clear" w:color="auto" w:fill="CCEEFF"/>
          </w:tcPr>
          <w:p>
            <w:pPr>
              <w:ind w:left="40"/>
              <w:spacing w:after="0" w:line="169" w:lineRule="exact"/>
              <w:rPr>
                <w:rFonts w:ascii="Arial" w:cs="Arial" w:eastAsia="Arial" w:hAnsi="Arial"/>
                <w:sz w:val="18"/>
                <w:szCs w:val="18"/>
                <w:color w:val="0000EE"/>
              </w:rPr>
            </w:pPr>
            <w:hyperlink w:anchor="page55">
              <w:r>
                <w:rPr>
                  <w:rFonts w:ascii="Arial" w:cs="Arial" w:eastAsia="Arial" w:hAnsi="Arial"/>
                  <w:sz w:val="18"/>
                  <w:szCs w:val="18"/>
                  <w:color w:val="0000EE"/>
                </w:rPr>
                <w:t>Report of Independent Registered Public Accounting Firm</w:t>
              </w:r>
            </w:hyperlink>
          </w:p>
        </w:tc>
        <w:tc>
          <w:tcPr>
            <w:tcW w:w="640" w:type="dxa"/>
            <w:vAlign w:val="bottom"/>
            <w:gridSpan w:val="4"/>
            <w:shd w:val="clear" w:color="auto" w:fill="CCEEFF"/>
          </w:tcPr>
          <w:p>
            <w:pPr>
              <w:jc w:val="right"/>
              <w:ind w:right="20"/>
              <w:spacing w:after="0" w:line="170" w:lineRule="exact"/>
              <w:rPr>
                <w:rFonts w:ascii="Arial" w:cs="Arial" w:eastAsia="Arial" w:hAnsi="Arial"/>
                <w:sz w:val="18"/>
                <w:szCs w:val="18"/>
                <w:color w:val="0000EE"/>
              </w:rPr>
            </w:pPr>
            <w:hyperlink w:anchor="page55">
              <w:r>
                <w:rPr>
                  <w:rFonts w:ascii="Arial" w:cs="Arial" w:eastAsia="Arial" w:hAnsi="Arial"/>
                  <w:sz w:val="18"/>
                  <w:szCs w:val="18"/>
                  <w:color w:val="0000EE"/>
                </w:rPr>
                <w:t>52</w:t>
              </w:r>
            </w:hyperlink>
          </w:p>
        </w:tc>
      </w:tr>
      <w:tr>
        <w:trPr>
          <w:trHeight w:val="41"/>
        </w:trPr>
        <w:tc>
          <w:tcPr>
            <w:tcW w:w="4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0000EE"/>
              <w:right w:val="single" w:sz="8" w:color="CCEEFF"/>
            </w:tcBorders>
            <w:shd w:val="clear" w:color="auto" w:fill="CCEEFF"/>
          </w:tcPr>
          <w:p>
            <w:pPr>
              <w:spacing w:after="0"/>
              <w:rPr>
                <w:sz w:val="3"/>
                <w:szCs w:val="3"/>
                <w:color w:val="auto"/>
              </w:rPr>
            </w:pPr>
          </w:p>
        </w:tc>
        <w:tc>
          <w:tcPr>
            <w:tcW w:w="3120" w:type="dxa"/>
            <w:vAlign w:val="bottom"/>
            <w:tcBorders>
              <w:top w:val="single" w:sz="8" w:color="0000EE"/>
            </w:tcBorders>
            <w:shd w:val="clear" w:color="auto" w:fill="CCEEFF"/>
          </w:tcPr>
          <w:p>
            <w:pPr>
              <w:spacing w:after="0"/>
              <w:rPr>
                <w:sz w:val="3"/>
                <w:szCs w:val="3"/>
                <w:color w:val="auto"/>
              </w:rPr>
            </w:pPr>
          </w:p>
        </w:tc>
        <w:tc>
          <w:tcPr>
            <w:tcW w:w="200" w:type="dxa"/>
            <w:vAlign w:val="bottom"/>
            <w:tcBorders>
              <w:top w:val="single" w:sz="8" w:color="0000EE"/>
            </w:tcBorders>
            <w:shd w:val="clear" w:color="auto" w:fill="CCEEFF"/>
          </w:tcPr>
          <w:p>
            <w:pPr>
              <w:spacing w:after="0"/>
              <w:rPr>
                <w:sz w:val="3"/>
                <w:szCs w:val="3"/>
                <w:color w:val="auto"/>
              </w:rPr>
            </w:pPr>
          </w:p>
        </w:tc>
        <w:tc>
          <w:tcPr>
            <w:tcW w:w="66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2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900" w:type="dxa"/>
            <w:vAlign w:val="bottom"/>
            <w:tcBorders>
              <w:top w:val="single" w:sz="8" w:color="CCEEFF"/>
            </w:tcBorders>
            <w:shd w:val="clear" w:color="auto" w:fill="CCEEFF"/>
          </w:tcPr>
          <w:p>
            <w:pPr>
              <w:spacing w:after="0"/>
              <w:rPr>
                <w:sz w:val="3"/>
                <w:szCs w:val="3"/>
                <w:color w:val="auto"/>
              </w:rPr>
            </w:pPr>
          </w:p>
        </w:tc>
        <w:tc>
          <w:tcPr>
            <w:tcW w:w="176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243"/>
        </w:trPr>
        <w:tc>
          <w:tcPr>
            <w:tcW w:w="10320" w:type="dxa"/>
            <w:vAlign w:val="bottom"/>
            <w:gridSpan w:val="13"/>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40" w:type="dxa"/>
            <w:vAlign w:val="bottom"/>
            <w:gridSpan w:val="11"/>
            <w:shd w:val="clear" w:color="auto" w:fill="CCEEFF"/>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Consolidated Balance Sheets as of December 31, 2016 and 2015</w:t>
              </w:r>
            </w:hyperlink>
          </w:p>
        </w:tc>
        <w:tc>
          <w:tcPr>
            <w:tcW w:w="64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53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right w:val="single" w:sz="8" w:color="CCEEFF"/>
            </w:tcBorders>
            <w:shd w:val="clear" w:color="auto" w:fill="CCEEFF"/>
          </w:tcPr>
          <w:p>
            <w:pPr>
              <w:spacing w:after="0"/>
              <w:rPr>
                <w:sz w:val="4"/>
                <w:szCs w:val="4"/>
                <w:color w:val="auto"/>
              </w:rPr>
            </w:pPr>
          </w:p>
        </w:tc>
        <w:tc>
          <w:tcPr>
            <w:tcW w:w="31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40" w:type="dxa"/>
            <w:vAlign w:val="bottom"/>
            <w:gridSpan w:val="11"/>
          </w:tcPr>
          <w:p>
            <w:pPr>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Consolidated Statements of Operations for the years ended December 31, 2016, 2015 and 2014</w:t>
              </w:r>
            </w:hyperlink>
          </w:p>
        </w:tc>
        <w:tc>
          <w:tcPr>
            <w:tcW w:w="640" w:type="dxa"/>
            <w:vAlign w:val="bottom"/>
            <w:gridSpan w:val="4"/>
          </w:tcPr>
          <w:p>
            <w:pPr>
              <w:jc w:val="right"/>
              <w:ind w:right="20"/>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54</w:t>
              </w:r>
            </w:hyperlink>
          </w:p>
        </w:tc>
      </w:tr>
      <w:tr>
        <w:trPr>
          <w:trHeight w:val="48"/>
        </w:trPr>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1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40" w:type="dxa"/>
            <w:vAlign w:val="bottom"/>
            <w:gridSpan w:val="11"/>
            <w:shd w:val="clear" w:color="auto" w:fill="CCEEFF"/>
          </w:tcPr>
          <w:p>
            <w:pPr>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Consolidated Statements of Comprehensive Income (Loss) for the years ended December 31, 2016, 2015 and 2014</w:t>
              </w:r>
            </w:hyperlink>
          </w:p>
        </w:tc>
        <w:tc>
          <w:tcPr>
            <w:tcW w:w="64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55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right w:val="single" w:sz="8" w:color="CCEEFF"/>
            </w:tcBorders>
            <w:shd w:val="clear" w:color="auto" w:fill="CCEEFF"/>
          </w:tcPr>
          <w:p>
            <w:pPr>
              <w:spacing w:after="0"/>
              <w:rPr>
                <w:sz w:val="4"/>
                <w:szCs w:val="4"/>
                <w:color w:val="auto"/>
              </w:rPr>
            </w:pPr>
          </w:p>
        </w:tc>
        <w:tc>
          <w:tcPr>
            <w:tcW w:w="31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900" w:type="dxa"/>
            <w:vAlign w:val="bottom"/>
            <w:tcBorders>
              <w:top w:val="single" w:sz="8" w:color="0000EE"/>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40" w:type="dxa"/>
            <w:vAlign w:val="bottom"/>
            <w:gridSpan w:val="11"/>
          </w:tcPr>
          <w:p>
            <w:pPr>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Consolidated Statements of Changes in Equity for the years ended December 31, 2016, 2015 and 2014</w:t>
              </w:r>
            </w:hyperlink>
          </w:p>
        </w:tc>
        <w:tc>
          <w:tcPr>
            <w:tcW w:w="640" w:type="dxa"/>
            <w:vAlign w:val="bottom"/>
            <w:gridSpan w:val="4"/>
          </w:tcPr>
          <w:p>
            <w:pPr>
              <w:jc w:val="right"/>
              <w:ind w:right="20"/>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56</w:t>
              </w:r>
            </w:hyperlink>
          </w:p>
        </w:tc>
      </w:tr>
      <w:tr>
        <w:trPr>
          <w:trHeight w:val="48"/>
        </w:trPr>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1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9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40" w:type="dxa"/>
            <w:vAlign w:val="bottom"/>
            <w:gridSpan w:val="11"/>
            <w:shd w:val="clear" w:color="auto" w:fill="CCEEFF"/>
          </w:tcPr>
          <w:p>
            <w:pPr>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Consolidated Statements of Cash Flows for the years ended December 31, 2016, 2015 and 2014</w:t>
              </w:r>
            </w:hyperlink>
          </w:p>
        </w:tc>
        <w:tc>
          <w:tcPr>
            <w:tcW w:w="64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58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right w:val="single" w:sz="8" w:color="CCEEFF"/>
            </w:tcBorders>
            <w:shd w:val="clear" w:color="auto" w:fill="CCEEFF"/>
          </w:tcPr>
          <w:p>
            <w:pPr>
              <w:spacing w:after="0"/>
              <w:rPr>
                <w:sz w:val="4"/>
                <w:szCs w:val="4"/>
                <w:color w:val="auto"/>
              </w:rPr>
            </w:pPr>
          </w:p>
        </w:tc>
        <w:tc>
          <w:tcPr>
            <w:tcW w:w="31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80" w:type="dxa"/>
            <w:vAlign w:val="bottom"/>
            <w:gridSpan w:val="8"/>
          </w:tcPr>
          <w:p>
            <w:pPr>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Notes to Consolidated Financial Statements</w:t>
              </w:r>
            </w:hyperlink>
          </w:p>
        </w:tc>
        <w:tc>
          <w:tcPr>
            <w:tcW w:w="3160" w:type="dxa"/>
            <w:vAlign w:val="bottom"/>
            <w:gridSpan w:val="3"/>
          </w:tcPr>
          <w:p>
            <w:pPr>
              <w:spacing w:after="0"/>
              <w:rPr>
                <w:sz w:val="17"/>
                <w:szCs w:val="17"/>
                <w:color w:val="auto"/>
              </w:rPr>
            </w:pPr>
          </w:p>
        </w:tc>
        <w:tc>
          <w:tcPr>
            <w:tcW w:w="640" w:type="dxa"/>
            <w:vAlign w:val="bottom"/>
            <w:gridSpan w:val="4"/>
          </w:tcPr>
          <w:p>
            <w:pPr>
              <w:jc w:val="right"/>
              <w:ind w:right="2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59</w:t>
              </w:r>
            </w:hyperlink>
          </w:p>
        </w:tc>
      </w:tr>
      <w:tr>
        <w:trPr>
          <w:trHeight w:val="48"/>
        </w:trPr>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12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320" w:type="dxa"/>
            <w:vAlign w:val="bottom"/>
            <w:tcBorders>
              <w:bottom w:val="single" w:sz="8" w:color="CCEEFF"/>
            </w:tcBorders>
            <w:gridSpan w:val="13"/>
            <w:shd w:val="clear" w:color="auto" w:fill="CCEEFF"/>
          </w:tcPr>
          <w:p>
            <w:pPr>
              <w:ind w:left="40"/>
              <w:spacing w:after="0"/>
              <w:rPr>
                <w:sz w:val="20"/>
                <w:szCs w:val="20"/>
                <w:color w:val="auto"/>
              </w:rPr>
            </w:pPr>
            <w:r>
              <w:rPr>
                <w:rFonts w:ascii="Arial" w:cs="Arial" w:eastAsia="Arial" w:hAnsi="Arial"/>
                <w:sz w:val="18"/>
                <w:szCs w:val="18"/>
                <w:b w:val="1"/>
                <w:bCs w:val="1"/>
                <w:color w:val="auto"/>
              </w:rPr>
              <w:t>Financial Statement Schedules:</w:t>
            </w: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40" w:type="dxa"/>
            <w:vAlign w:val="bottom"/>
            <w:gridSpan w:val="11"/>
          </w:tcPr>
          <w:p>
            <w:pPr>
              <w:spacing w:after="0" w:line="202" w:lineRule="exact"/>
              <w:rPr>
                <w:rFonts w:ascii="Arial" w:cs="Arial" w:eastAsia="Arial" w:hAnsi="Arial"/>
                <w:sz w:val="18"/>
                <w:szCs w:val="18"/>
                <w:color w:val="0000EE"/>
              </w:rPr>
            </w:pPr>
            <w:hyperlink w:anchor="page109">
              <w:r>
                <w:rPr>
                  <w:rFonts w:ascii="Arial" w:cs="Arial" w:eastAsia="Arial" w:hAnsi="Arial"/>
                  <w:sz w:val="18"/>
                  <w:szCs w:val="18"/>
                  <w:color w:val="0000EE"/>
                </w:rPr>
                <w:t>Schedule II—Valuation and Qualifying Accounts and Reserves</w:t>
              </w:r>
            </w:hyperlink>
          </w:p>
        </w:tc>
        <w:tc>
          <w:tcPr>
            <w:tcW w:w="640" w:type="dxa"/>
            <w:vAlign w:val="bottom"/>
            <w:gridSpan w:val="4"/>
          </w:tcPr>
          <w:p>
            <w:pPr>
              <w:jc w:val="right"/>
              <w:ind w:right="20"/>
              <w:spacing w:after="0" w:line="202" w:lineRule="exact"/>
              <w:rPr>
                <w:rFonts w:ascii="Arial" w:cs="Arial" w:eastAsia="Arial" w:hAnsi="Arial"/>
                <w:sz w:val="18"/>
                <w:szCs w:val="18"/>
                <w:color w:val="0000EE"/>
              </w:rPr>
            </w:pPr>
            <w:hyperlink w:anchor="page109">
              <w:r>
                <w:rPr>
                  <w:rFonts w:ascii="Arial" w:cs="Arial" w:eastAsia="Arial" w:hAnsi="Arial"/>
                  <w:sz w:val="18"/>
                  <w:szCs w:val="18"/>
                  <w:color w:val="0000EE"/>
                </w:rPr>
                <w:t>105</w:t>
              </w:r>
            </w:hyperlink>
          </w:p>
        </w:tc>
      </w:tr>
      <w:tr>
        <w:trPr>
          <w:trHeight w:val="48"/>
        </w:trPr>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1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2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40" w:type="dxa"/>
            <w:vAlign w:val="bottom"/>
            <w:gridSpan w:val="11"/>
            <w:shd w:val="clear" w:color="auto" w:fill="CCEEFF"/>
          </w:tcPr>
          <w:p>
            <w:pPr>
              <w:spacing w:after="0" w:line="202" w:lineRule="exact"/>
              <w:rPr>
                <w:rFonts w:ascii="Arial" w:cs="Arial" w:eastAsia="Arial" w:hAnsi="Arial"/>
                <w:sz w:val="18"/>
                <w:szCs w:val="18"/>
                <w:color w:val="0000EE"/>
              </w:rPr>
            </w:pPr>
            <w:hyperlink w:anchor="page110">
              <w:r>
                <w:rPr>
                  <w:rFonts w:ascii="Arial" w:cs="Arial" w:eastAsia="Arial" w:hAnsi="Arial"/>
                  <w:sz w:val="18"/>
                  <w:szCs w:val="18"/>
                  <w:color w:val="0000EE"/>
                </w:rPr>
                <w:t>Schedule III—Real Estate and Accumulated Depreciation</w:t>
              </w:r>
            </w:hyperlink>
          </w:p>
        </w:tc>
        <w:tc>
          <w:tcPr>
            <w:tcW w:w="64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110">
              <w:r>
                <w:rPr>
                  <w:rFonts w:ascii="Arial" w:cs="Arial" w:eastAsia="Arial" w:hAnsi="Arial"/>
                  <w:sz w:val="18"/>
                  <w:szCs w:val="18"/>
                  <w:color w:val="0000EE"/>
                </w:rPr>
                <w:t>106</w:t>
              </w:r>
            </w:hyperlink>
          </w:p>
        </w:tc>
      </w:tr>
      <w:tr>
        <w:trPr>
          <w:trHeight w:val="203"/>
        </w:trPr>
        <w:tc>
          <w:tcPr>
            <w:tcW w:w="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4140" w:type="dxa"/>
            <w:vAlign w:val="bottom"/>
            <w:tcBorders>
              <w:top w:val="single" w:sz="8" w:color="0000EE"/>
            </w:tcBorders>
            <w:gridSpan w:val="4"/>
          </w:tcPr>
          <w:p>
            <w:pPr>
              <w:spacing w:after="0" w:line="202" w:lineRule="exact"/>
              <w:rPr>
                <w:rFonts w:ascii="Arial" w:cs="Arial" w:eastAsia="Arial" w:hAnsi="Arial"/>
                <w:sz w:val="18"/>
                <w:szCs w:val="18"/>
                <w:color w:val="0000EE"/>
              </w:rPr>
            </w:pPr>
            <w:hyperlink w:anchor="page124">
              <w:r>
                <w:rPr>
                  <w:rFonts w:ascii="Arial" w:cs="Arial" w:eastAsia="Arial" w:hAnsi="Arial"/>
                  <w:sz w:val="18"/>
                  <w:szCs w:val="18"/>
                  <w:color w:val="0000EE"/>
                </w:rPr>
                <w:t>Schedule IV—Mortgage Loans on Real Estate</w:t>
              </w:r>
            </w:hyperlink>
          </w:p>
        </w:tc>
        <w:tc>
          <w:tcPr>
            <w:tcW w:w="5900" w:type="dxa"/>
            <w:vAlign w:val="bottom"/>
            <w:tcBorders>
              <w:top w:val="single" w:sz="8" w:color="CCEEFF"/>
            </w:tcBorders>
            <w:gridSpan w:val="7"/>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86"/>
              </w:rPr>
            </w:pPr>
            <w:hyperlink w:anchor="page124">
              <w:r>
                <w:rPr>
                  <w:rFonts w:ascii="Arial" w:cs="Arial" w:eastAsia="Arial" w:hAnsi="Arial"/>
                  <w:sz w:val="18"/>
                  <w:szCs w:val="18"/>
                  <w:color w:val="0000EE"/>
                  <w:w w:val="86"/>
                </w:rPr>
                <w:t>120</w:t>
              </w:r>
            </w:hyperlink>
          </w:p>
        </w:tc>
        <w:tc>
          <w:tcPr>
            <w:tcW w:w="20" w:type="dxa"/>
            <w:vAlign w:val="bottom"/>
            <w:tcBorders>
              <w:top w:val="single" w:sz="8" w:color="CCEEFF"/>
            </w:tcBorders>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9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All other schedules are omitted because they are not applicable or the required information is shown in the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60"/>
          </w:cols>
          <w:pgMar w:left="240" w:top="122" w:right="699" w:bottom="1440" w:gutter="0" w:footer="0" w:header="0"/>
        </w:sectPr>
      </w:pPr>
    </w:p>
    <w:bookmarkStart w:id="54" w:name="page55"/>
    <w:bookmarkEnd w:id="54"/>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iStar Inc.</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our opinion, the consolidated financial statements listed in the accompanying index present fairly, in all material respects, the financial position of iStar Inc. and its subsidiaries at December 31, 2016 and December 31, 2015, and the results of their operations and their cash flows for each of the three years in the period ended December 31, 2016 in conformity with accounting principles generally accepted in the United States of America. In addition, in our opinion, the financial statement schedules listed in the accompanying index present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2016,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Committee of Sponsoring Organizations of the Treadway Commission (COSO). The Company's management is responsible for these financial statements and financial statement schedules,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2017</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64"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iStar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4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 at cost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1,906,592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2,050,541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Less: accumulated depreciation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(414,840)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(456,558)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1,491,752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1,593,983</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Real estate available and held for sale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83,764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137,274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real estate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1,575,516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1,731,257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Land and development,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945,565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w w:val="97"/>
              </w:rPr>
              <w:t>1,001,963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receivable and other lending investments,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1,450,439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1,601,985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214,406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254,172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328,744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711,101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interest and operating lease income receivable,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14,775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18,436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operating lease income receivable,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96,420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97,421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expenses and other assets,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199,649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181,457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4,825,514</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5,597,792</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3020"/>
              <w:spacing w:after="0"/>
              <w:rPr>
                <w:sz w:val="20"/>
                <w:szCs w:val="20"/>
                <w:color w:val="auto"/>
              </w:rPr>
            </w:pPr>
            <w:r>
              <w:rPr>
                <w:rFonts w:ascii="Arial" w:cs="Arial" w:eastAsia="Arial" w:hAnsi="Arial"/>
                <w:sz w:val="18"/>
                <w:szCs w:val="18"/>
                <w:b w:val="1"/>
                <w:bCs w:val="1"/>
                <w:color w:val="auto"/>
              </w:rPr>
              <w:t>LIABILITIES AND EQUITY</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Accounts payable, accrued expenses and other liabilities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211,570</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214,835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 participations payable,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159,321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152,086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Debt obligations,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3,389,908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w w:val="97"/>
              </w:rPr>
              <w:t>4,118,823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3,760,799</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4,485,744</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 (refer to Note 11)</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interests (refer to Note 5)</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10,718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Equity:</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iStar Inc. shareholders'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Preferred Stock Series D, E, F, G and I, liquidation preference $25.00 per share (refer to Note 13)</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Preferred Stock Series J, liquidation preference $50.00 per share (refer to Note 13)</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8340" w:type="dxa"/>
            <w:vAlign w:val="bottom"/>
          </w:tcPr>
          <w:p>
            <w:pPr>
              <w:ind w:left="40"/>
              <w:spacing w:after="0"/>
              <w:rPr>
                <w:sz w:val="20"/>
                <w:szCs w:val="20"/>
                <w:color w:val="auto"/>
              </w:rPr>
            </w:pPr>
            <w:r>
              <w:rPr>
                <w:rFonts w:ascii="Arial" w:cs="Arial" w:eastAsia="Arial" w:hAnsi="Arial"/>
                <w:sz w:val="18"/>
                <w:szCs w:val="18"/>
                <w:color w:val="auto"/>
                <w:w w:val="89"/>
              </w:rPr>
              <w:t>Common Stock, $0.001 par value, 200,000 shares authorized, 72,042 and 81,109 shares issued and outstanding as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40"/>
              <w:spacing w:after="0"/>
              <w:rPr>
                <w:sz w:val="20"/>
                <w:szCs w:val="20"/>
                <w:color w:val="auto"/>
              </w:rPr>
            </w:pPr>
            <w:r>
              <w:rPr>
                <w:rFonts w:ascii="Arial" w:cs="Arial" w:eastAsia="Arial" w:hAnsi="Arial"/>
                <w:sz w:val="18"/>
                <w:szCs w:val="18"/>
                <w:color w:val="auto"/>
              </w:rPr>
              <w:t>of December 31, 2016 and 2015, respectively</w:t>
            </w:r>
          </w:p>
        </w:tc>
        <w:tc>
          <w:tcPr>
            <w:tcW w:w="36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3,602,172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3,689,330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Retained earnings (deficit)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(2,581,488)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1"/>
              </w:rPr>
              <w:t>(2,625,474)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 (loss) (refer to Note 13)</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(4,851)</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iStar Inc. shareholders' equity</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1,016,564</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7"/>
              </w:rPr>
              <w:t>1,059,112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43,120</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42,218</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equity</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1,059,684</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7"/>
              </w:rPr>
              <w:t>1,101,330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equity</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4,825,514</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5,597,792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80"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ind w:right="43"/>
              <w:spacing w:after="0"/>
              <w:rPr>
                <w:sz w:val="20"/>
                <w:szCs w:val="20"/>
                <w:color w:val="auto"/>
              </w:rPr>
            </w:pPr>
            <w:r>
              <w:rPr>
                <w:rFonts w:ascii="Arial" w:cs="Arial" w:eastAsia="Arial" w:hAnsi="Arial"/>
                <w:sz w:val="14"/>
                <w:szCs w:val="14"/>
                <w:b w:val="1"/>
                <w:bCs w:val="1"/>
                <w:color w:val="auto"/>
              </w:rPr>
              <w:t>For the Years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Revenues: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7080" w:type="dxa"/>
            <w:vAlign w:val="bottom"/>
          </w:tcPr>
          <w:p>
            <w:pPr>
              <w:ind w:left="180"/>
              <w:spacing w:after="0"/>
              <w:rPr>
                <w:sz w:val="20"/>
                <w:szCs w:val="20"/>
                <w:color w:val="auto"/>
              </w:rPr>
            </w:pPr>
            <w:r>
              <w:rPr>
                <w:rFonts w:ascii="Arial" w:cs="Arial" w:eastAsia="Arial" w:hAnsi="Arial"/>
                <w:sz w:val="15"/>
                <w:szCs w:val="15"/>
                <w:color w:val="auto"/>
              </w:rPr>
              <w:t>Operating lease income</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213,018</w:t>
            </w:r>
          </w:p>
        </w:tc>
        <w:tc>
          <w:tcPr>
            <w:tcW w:w="120" w:type="dxa"/>
            <w:vAlign w:val="bottom"/>
          </w:tcPr>
          <w:p>
            <w:pPr>
              <w:spacing w:after="0"/>
              <w:rPr>
                <w:sz w:val="23"/>
                <w:szCs w:val="23"/>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ind w:right="24"/>
              <w:spacing w:after="0"/>
              <w:rPr>
                <w:sz w:val="20"/>
                <w:szCs w:val="20"/>
                <w:color w:val="auto"/>
              </w:rPr>
            </w:pPr>
            <w:r>
              <w:rPr>
                <w:rFonts w:ascii="Arial" w:cs="Arial" w:eastAsia="Arial" w:hAnsi="Arial"/>
                <w:sz w:val="15"/>
                <w:szCs w:val="15"/>
                <w:color w:val="auto"/>
              </w:rPr>
              <w:t>229,720</w:t>
            </w:r>
          </w:p>
        </w:tc>
        <w:tc>
          <w:tcPr>
            <w:tcW w:w="100" w:type="dxa"/>
            <w:vAlign w:val="bottom"/>
          </w:tcPr>
          <w:p>
            <w:pPr>
              <w:spacing w:after="0"/>
              <w:rPr>
                <w:sz w:val="23"/>
                <w:szCs w:val="23"/>
                <w:color w:val="auto"/>
              </w:rPr>
            </w:pPr>
          </w:p>
        </w:tc>
        <w:tc>
          <w:tcPr>
            <w:tcW w:w="40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243,100</w:t>
            </w:r>
          </w:p>
        </w:tc>
        <w:tc>
          <w:tcPr>
            <w:tcW w:w="0" w:type="dxa"/>
            <w:vAlign w:val="bottom"/>
          </w:tcPr>
          <w:p>
            <w:pPr>
              <w:spacing w:after="0"/>
              <w:rPr>
                <w:sz w:val="1"/>
                <w:szCs w:val="1"/>
                <w:color w:val="auto"/>
              </w:rPr>
            </w:pPr>
          </w:p>
        </w:tc>
      </w:tr>
      <w:tr>
        <w:trPr>
          <w:trHeight w:val="274"/>
        </w:trPr>
        <w:tc>
          <w:tcPr>
            <w:tcW w:w="70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Interest income</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129,153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134,687</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122,704</w:t>
            </w:r>
          </w:p>
        </w:tc>
        <w:tc>
          <w:tcPr>
            <w:tcW w:w="0" w:type="dxa"/>
            <w:vAlign w:val="bottom"/>
          </w:tcPr>
          <w:p>
            <w:pPr>
              <w:spacing w:after="0"/>
              <w:rPr>
                <w:sz w:val="1"/>
                <w:szCs w:val="1"/>
                <w:color w:val="auto"/>
              </w:rPr>
            </w:pPr>
          </w:p>
        </w:tc>
      </w:tr>
      <w:tr>
        <w:trPr>
          <w:trHeight w:val="266"/>
        </w:trPr>
        <w:tc>
          <w:tcPr>
            <w:tcW w:w="7080" w:type="dxa"/>
            <w:vAlign w:val="bottom"/>
          </w:tcPr>
          <w:p>
            <w:pPr>
              <w:ind w:left="180"/>
              <w:spacing w:after="0"/>
              <w:rPr>
                <w:sz w:val="20"/>
                <w:szCs w:val="20"/>
                <w:color w:val="auto"/>
              </w:rPr>
            </w:pPr>
            <w:r>
              <w:rPr>
                <w:rFonts w:ascii="Arial" w:cs="Arial" w:eastAsia="Arial" w:hAnsi="Arial"/>
                <w:sz w:val="15"/>
                <w:szCs w:val="15"/>
                <w:color w:val="auto"/>
              </w:rPr>
              <w:t>Other income</w:t>
            </w:r>
          </w:p>
        </w:tc>
        <w:tc>
          <w:tcPr>
            <w:tcW w:w="340" w:type="dxa"/>
            <w:vAlign w:val="bottom"/>
          </w:tcPr>
          <w:p>
            <w:pPr>
              <w:spacing w:after="0"/>
              <w:rPr>
                <w:sz w:val="23"/>
                <w:szCs w:val="23"/>
                <w:color w:val="auto"/>
              </w:rPr>
            </w:pP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46,515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4"/>
              <w:spacing w:after="0"/>
              <w:rPr>
                <w:sz w:val="20"/>
                <w:szCs w:val="20"/>
                <w:color w:val="auto"/>
              </w:rPr>
            </w:pPr>
            <w:r>
              <w:rPr>
                <w:rFonts w:ascii="Arial" w:cs="Arial" w:eastAsia="Arial" w:hAnsi="Arial"/>
                <w:sz w:val="15"/>
                <w:szCs w:val="15"/>
                <w:color w:val="auto"/>
              </w:rPr>
              <w:t>49,931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81,033</w:t>
            </w: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Land development revenue</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88,340</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100,216</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15,191</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Total revenues</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477,026</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514,554</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462,028</w:t>
            </w:r>
          </w:p>
        </w:tc>
        <w:tc>
          <w:tcPr>
            <w:tcW w:w="0" w:type="dxa"/>
            <w:vAlign w:val="bottom"/>
          </w:tcPr>
          <w:p>
            <w:pPr>
              <w:spacing w:after="0"/>
              <w:rPr>
                <w:sz w:val="1"/>
                <w:szCs w:val="1"/>
                <w:color w:val="auto"/>
              </w:rPr>
            </w:pPr>
          </w:p>
        </w:tc>
      </w:tr>
      <w:tr>
        <w:trPr>
          <w:trHeight w:val="268"/>
        </w:trPr>
        <w:tc>
          <w:tcPr>
            <w:tcW w:w="708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Costs and expenses: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7080" w:type="dxa"/>
            <w:vAlign w:val="bottom"/>
          </w:tcPr>
          <w:p>
            <w:pPr>
              <w:ind w:left="180"/>
              <w:spacing w:after="0"/>
              <w:rPr>
                <w:sz w:val="20"/>
                <w:szCs w:val="20"/>
                <w:color w:val="auto"/>
              </w:rPr>
            </w:pPr>
            <w:r>
              <w:rPr>
                <w:rFonts w:ascii="Arial" w:cs="Arial" w:eastAsia="Arial" w:hAnsi="Arial"/>
                <w:sz w:val="15"/>
                <w:szCs w:val="15"/>
                <w:color w:val="auto"/>
              </w:rPr>
              <w:t>Interest expense</w:t>
            </w:r>
          </w:p>
        </w:tc>
        <w:tc>
          <w:tcPr>
            <w:tcW w:w="340" w:type="dxa"/>
            <w:vAlign w:val="bottom"/>
          </w:tcPr>
          <w:p>
            <w:pPr>
              <w:spacing w:after="0"/>
              <w:rPr>
                <w:sz w:val="23"/>
                <w:szCs w:val="23"/>
                <w:color w:val="auto"/>
              </w:rPr>
            </w:pP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221,398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4"/>
              <w:spacing w:after="0"/>
              <w:rPr>
                <w:sz w:val="20"/>
                <w:szCs w:val="20"/>
                <w:color w:val="auto"/>
              </w:rPr>
            </w:pPr>
            <w:r>
              <w:rPr>
                <w:rFonts w:ascii="Arial" w:cs="Arial" w:eastAsia="Arial" w:hAnsi="Arial"/>
                <w:sz w:val="15"/>
                <w:szCs w:val="15"/>
                <w:color w:val="auto"/>
              </w:rPr>
              <w:t>224,639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224,483</w:t>
            </w:r>
          </w:p>
        </w:tc>
        <w:tc>
          <w:tcPr>
            <w:tcW w:w="0" w:type="dxa"/>
            <w:vAlign w:val="bottom"/>
          </w:tcPr>
          <w:p>
            <w:pPr>
              <w:spacing w:after="0"/>
              <w:rPr>
                <w:sz w:val="1"/>
                <w:szCs w:val="1"/>
                <w:color w:val="auto"/>
              </w:rPr>
            </w:pPr>
          </w:p>
        </w:tc>
      </w:tr>
      <w:tr>
        <w:trPr>
          <w:trHeight w:val="274"/>
        </w:trPr>
        <w:tc>
          <w:tcPr>
            <w:tcW w:w="70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Real estate expense</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138,422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146,750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163,389</w:t>
            </w:r>
          </w:p>
        </w:tc>
        <w:tc>
          <w:tcPr>
            <w:tcW w:w="0" w:type="dxa"/>
            <w:vAlign w:val="bottom"/>
          </w:tcPr>
          <w:p>
            <w:pPr>
              <w:spacing w:after="0"/>
              <w:rPr>
                <w:sz w:val="1"/>
                <w:szCs w:val="1"/>
                <w:color w:val="auto"/>
              </w:rPr>
            </w:pPr>
          </w:p>
        </w:tc>
      </w:tr>
      <w:tr>
        <w:trPr>
          <w:trHeight w:val="266"/>
        </w:trPr>
        <w:tc>
          <w:tcPr>
            <w:tcW w:w="7080" w:type="dxa"/>
            <w:vAlign w:val="bottom"/>
          </w:tcPr>
          <w:p>
            <w:pPr>
              <w:ind w:left="180"/>
              <w:spacing w:after="0"/>
              <w:rPr>
                <w:sz w:val="20"/>
                <w:szCs w:val="20"/>
                <w:color w:val="auto"/>
              </w:rPr>
            </w:pPr>
            <w:r>
              <w:rPr>
                <w:rFonts w:ascii="Arial" w:cs="Arial" w:eastAsia="Arial" w:hAnsi="Arial"/>
                <w:sz w:val="15"/>
                <w:szCs w:val="15"/>
                <w:color w:val="auto"/>
              </w:rPr>
              <w:t>Land development cost of sales</w:t>
            </w:r>
          </w:p>
        </w:tc>
        <w:tc>
          <w:tcPr>
            <w:tcW w:w="340" w:type="dxa"/>
            <w:vAlign w:val="bottom"/>
          </w:tcPr>
          <w:p>
            <w:pPr>
              <w:spacing w:after="0"/>
              <w:rPr>
                <w:sz w:val="23"/>
                <w:szCs w:val="23"/>
                <w:color w:val="auto"/>
              </w:rPr>
            </w:pP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62,007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4"/>
              <w:spacing w:after="0"/>
              <w:rPr>
                <w:sz w:val="20"/>
                <w:szCs w:val="20"/>
                <w:color w:val="auto"/>
              </w:rPr>
            </w:pPr>
            <w:r>
              <w:rPr>
                <w:rFonts w:ascii="Arial" w:cs="Arial" w:eastAsia="Arial" w:hAnsi="Arial"/>
                <w:sz w:val="15"/>
                <w:szCs w:val="15"/>
                <w:color w:val="auto"/>
              </w:rPr>
              <w:t>67,382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12,840</w:t>
            </w:r>
          </w:p>
        </w:tc>
        <w:tc>
          <w:tcPr>
            <w:tcW w:w="0" w:type="dxa"/>
            <w:vAlign w:val="bottom"/>
          </w:tcPr>
          <w:p>
            <w:pPr>
              <w:spacing w:after="0"/>
              <w:rPr>
                <w:sz w:val="1"/>
                <w:szCs w:val="1"/>
                <w:color w:val="auto"/>
              </w:rPr>
            </w:pPr>
          </w:p>
        </w:tc>
      </w:tr>
      <w:tr>
        <w:trPr>
          <w:trHeight w:val="274"/>
        </w:trPr>
        <w:tc>
          <w:tcPr>
            <w:tcW w:w="70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Depreciation and amortization</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54,329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65,247</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73,571</w:t>
            </w:r>
          </w:p>
        </w:tc>
        <w:tc>
          <w:tcPr>
            <w:tcW w:w="0" w:type="dxa"/>
            <w:vAlign w:val="bottom"/>
          </w:tcPr>
          <w:p>
            <w:pPr>
              <w:spacing w:after="0"/>
              <w:rPr>
                <w:sz w:val="1"/>
                <w:szCs w:val="1"/>
                <w:color w:val="auto"/>
              </w:rPr>
            </w:pPr>
          </w:p>
        </w:tc>
      </w:tr>
      <w:tr>
        <w:trPr>
          <w:trHeight w:val="266"/>
        </w:trPr>
        <w:tc>
          <w:tcPr>
            <w:tcW w:w="7080" w:type="dxa"/>
            <w:vAlign w:val="bottom"/>
          </w:tcPr>
          <w:p>
            <w:pPr>
              <w:ind w:left="180"/>
              <w:spacing w:after="0"/>
              <w:rPr>
                <w:sz w:val="20"/>
                <w:szCs w:val="20"/>
                <w:color w:val="auto"/>
              </w:rPr>
            </w:pPr>
            <w:r>
              <w:rPr>
                <w:rFonts w:ascii="Arial" w:cs="Arial" w:eastAsia="Arial" w:hAnsi="Arial"/>
                <w:sz w:val="15"/>
                <w:szCs w:val="15"/>
                <w:color w:val="auto"/>
              </w:rPr>
              <w:t>General and administrative</w:t>
            </w:r>
          </w:p>
        </w:tc>
        <w:tc>
          <w:tcPr>
            <w:tcW w:w="340" w:type="dxa"/>
            <w:vAlign w:val="bottom"/>
          </w:tcPr>
          <w:p>
            <w:pPr>
              <w:spacing w:after="0"/>
              <w:rPr>
                <w:sz w:val="23"/>
                <w:szCs w:val="23"/>
                <w:color w:val="auto"/>
              </w:rPr>
            </w:pP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84,027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4"/>
              <w:spacing w:after="0"/>
              <w:rPr>
                <w:sz w:val="20"/>
                <w:szCs w:val="20"/>
                <w:color w:val="auto"/>
              </w:rPr>
            </w:pPr>
            <w:r>
              <w:rPr>
                <w:rFonts w:ascii="Arial" w:cs="Arial" w:eastAsia="Arial" w:hAnsi="Arial"/>
                <w:sz w:val="15"/>
                <w:szCs w:val="15"/>
                <w:color w:val="auto"/>
              </w:rPr>
              <w:t>81,277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88,287</w:t>
            </w:r>
          </w:p>
        </w:tc>
        <w:tc>
          <w:tcPr>
            <w:tcW w:w="0" w:type="dxa"/>
            <w:vAlign w:val="bottom"/>
          </w:tcPr>
          <w:p>
            <w:pPr>
              <w:spacing w:after="0"/>
              <w:rPr>
                <w:sz w:val="1"/>
                <w:szCs w:val="1"/>
                <w:color w:val="auto"/>
              </w:rPr>
            </w:pPr>
          </w:p>
        </w:tc>
      </w:tr>
      <w:tr>
        <w:trPr>
          <w:trHeight w:val="274"/>
        </w:trPr>
        <w:tc>
          <w:tcPr>
            <w:tcW w:w="70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(Recovery of) provision for loan losses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(12,514)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36,567</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(1,714)</w:t>
            </w:r>
          </w:p>
        </w:tc>
        <w:tc>
          <w:tcPr>
            <w:tcW w:w="0" w:type="dxa"/>
            <w:vAlign w:val="bottom"/>
          </w:tcPr>
          <w:p>
            <w:pPr>
              <w:spacing w:after="0"/>
              <w:rPr>
                <w:sz w:val="1"/>
                <w:szCs w:val="1"/>
                <w:color w:val="auto"/>
              </w:rPr>
            </w:pPr>
          </w:p>
        </w:tc>
      </w:tr>
      <w:tr>
        <w:trPr>
          <w:trHeight w:val="266"/>
        </w:trPr>
        <w:tc>
          <w:tcPr>
            <w:tcW w:w="7080" w:type="dxa"/>
            <w:vAlign w:val="bottom"/>
          </w:tcPr>
          <w:p>
            <w:pPr>
              <w:ind w:left="180"/>
              <w:spacing w:after="0"/>
              <w:rPr>
                <w:sz w:val="20"/>
                <w:szCs w:val="20"/>
                <w:color w:val="auto"/>
              </w:rPr>
            </w:pPr>
            <w:r>
              <w:rPr>
                <w:rFonts w:ascii="Arial" w:cs="Arial" w:eastAsia="Arial" w:hAnsi="Arial"/>
                <w:sz w:val="15"/>
                <w:szCs w:val="15"/>
                <w:color w:val="auto"/>
              </w:rPr>
              <w:t>Impairment of assets</w:t>
            </w:r>
          </w:p>
        </w:tc>
        <w:tc>
          <w:tcPr>
            <w:tcW w:w="340" w:type="dxa"/>
            <w:vAlign w:val="bottom"/>
          </w:tcPr>
          <w:p>
            <w:pPr>
              <w:spacing w:after="0"/>
              <w:rPr>
                <w:sz w:val="23"/>
                <w:szCs w:val="23"/>
                <w:color w:val="auto"/>
              </w:rPr>
            </w:pP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14,484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4"/>
              <w:spacing w:after="0"/>
              <w:rPr>
                <w:sz w:val="20"/>
                <w:szCs w:val="20"/>
                <w:color w:val="auto"/>
              </w:rPr>
            </w:pPr>
            <w:r>
              <w:rPr>
                <w:rFonts w:ascii="Arial" w:cs="Arial" w:eastAsia="Arial" w:hAnsi="Arial"/>
                <w:sz w:val="15"/>
                <w:szCs w:val="15"/>
                <w:color w:val="auto"/>
              </w:rPr>
              <w:t>10,524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34,634</w:t>
            </w: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expense</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5,883</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6,374</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6,340</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Total costs and expenses</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568,036</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638,760</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601,830</w:t>
            </w:r>
          </w:p>
        </w:tc>
        <w:tc>
          <w:tcPr>
            <w:tcW w:w="0" w:type="dxa"/>
            <w:vAlign w:val="bottom"/>
          </w:tcPr>
          <w:p>
            <w:pPr>
              <w:spacing w:after="0"/>
              <w:rPr>
                <w:sz w:val="1"/>
                <w:szCs w:val="1"/>
                <w:color w:val="auto"/>
              </w:rPr>
            </w:pPr>
          </w:p>
        </w:tc>
      </w:tr>
      <w:tr>
        <w:trPr>
          <w:trHeight w:val="254"/>
        </w:trPr>
        <w:tc>
          <w:tcPr>
            <w:tcW w:w="7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Income (loss) before earnings from equity method investments and other items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(91,010)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(124,206)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(139,802)</w:t>
            </w:r>
          </w:p>
        </w:tc>
        <w:tc>
          <w:tcPr>
            <w:tcW w:w="0" w:type="dxa"/>
            <w:vAlign w:val="bottom"/>
          </w:tcPr>
          <w:p>
            <w:pPr>
              <w:spacing w:after="0"/>
              <w:rPr>
                <w:sz w:val="1"/>
                <w:szCs w:val="1"/>
                <w:color w:val="auto"/>
              </w:rPr>
            </w:pPr>
          </w:p>
        </w:tc>
      </w:tr>
      <w:tr>
        <w:trPr>
          <w:trHeight w:val="266"/>
        </w:trPr>
        <w:tc>
          <w:tcPr>
            <w:tcW w:w="7080" w:type="dxa"/>
            <w:vAlign w:val="bottom"/>
          </w:tcPr>
          <w:p>
            <w:pPr>
              <w:ind w:left="180"/>
              <w:spacing w:after="0"/>
              <w:rPr>
                <w:sz w:val="20"/>
                <w:szCs w:val="20"/>
                <w:color w:val="auto"/>
              </w:rPr>
            </w:pPr>
            <w:r>
              <w:rPr>
                <w:rFonts w:ascii="Arial" w:cs="Arial" w:eastAsia="Arial" w:hAnsi="Arial"/>
                <w:sz w:val="15"/>
                <w:szCs w:val="15"/>
                <w:color w:val="auto"/>
              </w:rPr>
              <w:t>Loss on early extinguishment of debt, net</w:t>
            </w:r>
          </w:p>
        </w:tc>
        <w:tc>
          <w:tcPr>
            <w:tcW w:w="340" w:type="dxa"/>
            <w:vAlign w:val="bottom"/>
          </w:tcPr>
          <w:p>
            <w:pPr>
              <w:spacing w:after="0"/>
              <w:rPr>
                <w:sz w:val="23"/>
                <w:szCs w:val="23"/>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(1,619)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(281)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(25,369)</w:t>
            </w: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Earnings from equity method investments</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77,349</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32,153</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94,905</w:t>
            </w:r>
          </w:p>
        </w:tc>
        <w:tc>
          <w:tcPr>
            <w:tcW w:w="0" w:type="dxa"/>
            <w:vAlign w:val="bottom"/>
          </w:tcPr>
          <w:p>
            <w:pPr>
              <w:spacing w:after="0"/>
              <w:rPr>
                <w:sz w:val="1"/>
                <w:szCs w:val="1"/>
                <w:color w:val="auto"/>
              </w:rPr>
            </w:pPr>
          </w:p>
        </w:tc>
      </w:tr>
      <w:tr>
        <w:trPr>
          <w:trHeight w:val="250"/>
        </w:trPr>
        <w:tc>
          <w:tcPr>
            <w:tcW w:w="7080" w:type="dxa"/>
            <w:vAlign w:val="bottom"/>
          </w:tcPr>
          <w:p>
            <w:pPr>
              <w:ind w:left="40"/>
              <w:spacing w:after="0"/>
              <w:rPr>
                <w:sz w:val="20"/>
                <w:szCs w:val="20"/>
                <w:color w:val="auto"/>
              </w:rPr>
            </w:pPr>
            <w:r>
              <w:rPr>
                <w:rFonts w:ascii="Arial" w:cs="Arial" w:eastAsia="Arial" w:hAnsi="Arial"/>
                <w:sz w:val="15"/>
                <w:szCs w:val="15"/>
                <w:color w:val="auto"/>
              </w:rPr>
              <w:t>Income (loss) from operations before income taxes</w:t>
            </w:r>
          </w:p>
        </w:tc>
        <w:tc>
          <w:tcPr>
            <w:tcW w:w="340" w:type="dxa"/>
            <w:vAlign w:val="bottom"/>
          </w:tcPr>
          <w:p>
            <w:pPr>
              <w:spacing w:after="0"/>
              <w:rPr>
                <w:sz w:val="21"/>
                <w:szCs w:val="21"/>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(15,280)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(92,334)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(70,266)</w:t>
            </w: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Income tax benefit (expense)</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10,166</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(7,639)</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(3,912)</w:t>
            </w:r>
          </w:p>
        </w:tc>
        <w:tc>
          <w:tcPr>
            <w:tcW w:w="0" w:type="dxa"/>
            <w:vAlign w:val="bottom"/>
          </w:tcPr>
          <w:p>
            <w:pPr>
              <w:spacing w:after="0"/>
              <w:rPr>
                <w:sz w:val="1"/>
                <w:szCs w:val="1"/>
                <w:color w:val="auto"/>
              </w:rPr>
            </w:pPr>
          </w:p>
        </w:tc>
      </w:tr>
      <w:tr>
        <w:trPr>
          <w:trHeight w:val="250"/>
        </w:trPr>
        <w:tc>
          <w:tcPr>
            <w:tcW w:w="7080" w:type="dxa"/>
            <w:vAlign w:val="bottom"/>
          </w:tcPr>
          <w:p>
            <w:pPr>
              <w:ind w:left="40"/>
              <w:spacing w:after="0"/>
              <w:rPr>
                <w:sz w:val="20"/>
                <w:szCs w:val="20"/>
                <w:color w:val="auto"/>
              </w:rPr>
            </w:pPr>
            <w:r>
              <w:rPr>
                <w:rFonts w:ascii="Arial" w:cs="Arial" w:eastAsia="Arial" w:hAnsi="Arial"/>
                <w:sz w:val="15"/>
                <w:szCs w:val="15"/>
                <w:color w:val="auto"/>
              </w:rPr>
              <w:t>Income (loss) from operations</w:t>
            </w:r>
          </w:p>
        </w:tc>
        <w:tc>
          <w:tcPr>
            <w:tcW w:w="340" w:type="dxa"/>
            <w:vAlign w:val="bottom"/>
          </w:tcPr>
          <w:p>
            <w:pPr>
              <w:spacing w:after="0"/>
              <w:rPr>
                <w:sz w:val="21"/>
                <w:szCs w:val="21"/>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(5,114)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(99,973)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(74,178)</w:t>
            </w: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Income from sales of real estate</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105,296</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93,816</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89,943</w:t>
            </w:r>
          </w:p>
        </w:tc>
        <w:tc>
          <w:tcPr>
            <w:tcW w:w="0" w:type="dxa"/>
            <w:vAlign w:val="bottom"/>
          </w:tcPr>
          <w:p>
            <w:pPr>
              <w:spacing w:after="0"/>
              <w:rPr>
                <w:sz w:val="1"/>
                <w:szCs w:val="1"/>
                <w:color w:val="auto"/>
              </w:rPr>
            </w:pPr>
          </w:p>
        </w:tc>
      </w:tr>
      <w:tr>
        <w:trPr>
          <w:trHeight w:val="250"/>
        </w:trPr>
        <w:tc>
          <w:tcPr>
            <w:tcW w:w="7080" w:type="dxa"/>
            <w:vAlign w:val="bottom"/>
          </w:tcPr>
          <w:p>
            <w:pPr>
              <w:ind w:left="40"/>
              <w:spacing w:after="0"/>
              <w:rPr>
                <w:sz w:val="20"/>
                <w:szCs w:val="20"/>
                <w:color w:val="auto"/>
              </w:rPr>
            </w:pPr>
            <w:r>
              <w:rPr>
                <w:rFonts w:ascii="Arial" w:cs="Arial" w:eastAsia="Arial" w:hAnsi="Arial"/>
                <w:sz w:val="15"/>
                <w:szCs w:val="15"/>
                <w:color w:val="auto"/>
              </w:rPr>
              <w:t>Net income (loss)</w:t>
            </w:r>
          </w:p>
        </w:tc>
        <w:tc>
          <w:tcPr>
            <w:tcW w:w="340" w:type="dxa"/>
            <w:vAlign w:val="bottom"/>
          </w:tcPr>
          <w:p>
            <w:pPr>
              <w:spacing w:after="0"/>
              <w:rPr>
                <w:sz w:val="21"/>
                <w:szCs w:val="21"/>
                <w:color w:val="auto"/>
              </w:rPr>
            </w:pP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100,182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(6,157)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15,765</w:t>
            </w: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 (income) loss attributable to noncontrolling interests</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(4,876)</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3,722</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704</w:t>
            </w:r>
          </w:p>
        </w:tc>
        <w:tc>
          <w:tcPr>
            <w:tcW w:w="0" w:type="dxa"/>
            <w:vAlign w:val="bottom"/>
          </w:tcPr>
          <w:p>
            <w:pPr>
              <w:spacing w:after="0"/>
              <w:rPr>
                <w:sz w:val="1"/>
                <w:szCs w:val="1"/>
                <w:color w:val="auto"/>
              </w:rPr>
            </w:pPr>
          </w:p>
        </w:tc>
      </w:tr>
      <w:tr>
        <w:trPr>
          <w:trHeight w:val="250"/>
        </w:trPr>
        <w:tc>
          <w:tcPr>
            <w:tcW w:w="7080" w:type="dxa"/>
            <w:vAlign w:val="bottom"/>
          </w:tcPr>
          <w:p>
            <w:pPr>
              <w:ind w:left="40"/>
              <w:spacing w:after="0"/>
              <w:rPr>
                <w:sz w:val="20"/>
                <w:szCs w:val="20"/>
                <w:color w:val="auto"/>
              </w:rPr>
            </w:pPr>
            <w:r>
              <w:rPr>
                <w:rFonts w:ascii="Arial" w:cs="Arial" w:eastAsia="Arial" w:hAnsi="Arial"/>
                <w:sz w:val="15"/>
                <w:szCs w:val="15"/>
                <w:color w:val="auto"/>
              </w:rPr>
              <w:t>Net income (loss) attributable to iStar Inc.</w:t>
            </w:r>
          </w:p>
        </w:tc>
        <w:tc>
          <w:tcPr>
            <w:tcW w:w="340" w:type="dxa"/>
            <w:vAlign w:val="bottom"/>
          </w:tcPr>
          <w:p>
            <w:pPr>
              <w:spacing w:after="0"/>
              <w:rPr>
                <w:sz w:val="21"/>
                <w:szCs w:val="21"/>
                <w:color w:val="auto"/>
              </w:rPr>
            </w:pP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95,306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(2,435)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16,469</w:t>
            </w:r>
          </w:p>
        </w:tc>
        <w:tc>
          <w:tcPr>
            <w:tcW w:w="0" w:type="dxa"/>
            <w:vAlign w:val="bottom"/>
          </w:tcPr>
          <w:p>
            <w:pPr>
              <w:spacing w:after="0"/>
              <w:rPr>
                <w:sz w:val="1"/>
                <w:szCs w:val="1"/>
                <w:color w:val="auto"/>
              </w:rPr>
            </w:pPr>
          </w:p>
        </w:tc>
      </w:tr>
      <w:tr>
        <w:trPr>
          <w:trHeight w:val="274"/>
        </w:trPr>
        <w:tc>
          <w:tcPr>
            <w:tcW w:w="70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Preferred dividends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(51,320)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(51,320)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(51,320)</w:t>
            </w:r>
          </w:p>
        </w:tc>
        <w:tc>
          <w:tcPr>
            <w:tcW w:w="0" w:type="dxa"/>
            <w:vAlign w:val="bottom"/>
          </w:tcPr>
          <w:p>
            <w:pPr>
              <w:spacing w:after="0"/>
              <w:rPr>
                <w:sz w:val="1"/>
                <w:szCs w:val="1"/>
                <w:color w:val="auto"/>
              </w:rPr>
            </w:pPr>
          </w:p>
        </w:tc>
      </w:tr>
      <w:tr>
        <w:trPr>
          <w:trHeight w:val="270"/>
        </w:trPr>
        <w:tc>
          <w:tcPr>
            <w:tcW w:w="708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5"/>
                <w:szCs w:val="15"/>
                <w:color w:val="auto"/>
              </w:rPr>
              <w:t>Net (income) loss allocable to HPU holders and Participating Security holders</w:t>
            </w:r>
            <w:r>
              <w:rPr>
                <w:rFonts w:ascii="Arial" w:cs="Arial" w:eastAsia="Arial" w:hAnsi="Arial"/>
                <w:sz w:val="25"/>
                <w:szCs w:val="25"/>
                <w:color w:val="auto"/>
                <w:vertAlign w:val="superscript"/>
              </w:rPr>
              <w:t>(1)(2)</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(14)</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1,080</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1,129</w:t>
            </w: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Net income (loss) allocable to common shareholders</w:t>
            </w: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43,972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(52,675)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(33,722)</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Per common share data:</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708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70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Income (loss) attributable to iStar Inc. from operations: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7080" w:type="dxa"/>
            <w:vAlign w:val="bottom"/>
          </w:tcPr>
          <w:p>
            <w:pPr>
              <w:ind w:left="280"/>
              <w:spacing w:after="0"/>
              <w:rPr>
                <w:sz w:val="20"/>
                <w:szCs w:val="20"/>
                <w:color w:val="auto"/>
              </w:rPr>
            </w:pPr>
            <w:r>
              <w:rPr>
                <w:rFonts w:ascii="Arial" w:cs="Arial" w:eastAsia="Arial" w:hAnsi="Arial"/>
                <w:sz w:val="15"/>
                <w:szCs w:val="15"/>
                <w:color w:val="auto"/>
              </w:rPr>
              <w:t>Basic</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0.60</w:t>
            </w:r>
          </w:p>
        </w:tc>
        <w:tc>
          <w:tcPr>
            <w:tcW w:w="120" w:type="dxa"/>
            <w:vAlign w:val="bottom"/>
          </w:tcPr>
          <w:p>
            <w:pPr>
              <w:spacing w:after="0"/>
              <w:rPr>
                <w:sz w:val="23"/>
                <w:szCs w:val="23"/>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(0.62)</w:t>
            </w:r>
          </w:p>
        </w:tc>
        <w:tc>
          <w:tcPr>
            <w:tcW w:w="100" w:type="dxa"/>
            <w:vAlign w:val="bottom"/>
          </w:tcPr>
          <w:p>
            <w:pPr>
              <w:spacing w:after="0"/>
              <w:rPr>
                <w:sz w:val="23"/>
                <w:szCs w:val="23"/>
                <w:color w:val="auto"/>
              </w:rPr>
            </w:pPr>
          </w:p>
        </w:tc>
        <w:tc>
          <w:tcPr>
            <w:tcW w:w="40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(0.40)</w:t>
            </w:r>
          </w:p>
        </w:tc>
        <w:tc>
          <w:tcPr>
            <w:tcW w:w="0" w:type="dxa"/>
            <w:vAlign w:val="bottom"/>
          </w:tcPr>
          <w:p>
            <w:pPr>
              <w:spacing w:after="0"/>
              <w:rPr>
                <w:sz w:val="1"/>
                <w:szCs w:val="1"/>
                <w:color w:val="auto"/>
              </w:rPr>
            </w:pPr>
          </w:p>
        </w:tc>
      </w:tr>
      <w:tr>
        <w:trPr>
          <w:trHeight w:val="274"/>
        </w:trPr>
        <w:tc>
          <w:tcPr>
            <w:tcW w:w="70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Diluted</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0.55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(0.40)</w:t>
            </w:r>
          </w:p>
        </w:tc>
        <w:tc>
          <w:tcPr>
            <w:tcW w:w="0" w:type="dxa"/>
            <w:vAlign w:val="bottom"/>
          </w:tcPr>
          <w:p>
            <w:pPr>
              <w:spacing w:after="0"/>
              <w:rPr>
                <w:sz w:val="1"/>
                <w:szCs w:val="1"/>
                <w:color w:val="auto"/>
              </w:rPr>
            </w:pPr>
          </w:p>
        </w:tc>
      </w:tr>
      <w:tr>
        <w:trPr>
          <w:trHeight w:val="266"/>
        </w:trPr>
        <w:tc>
          <w:tcPr>
            <w:tcW w:w="7080" w:type="dxa"/>
            <w:vAlign w:val="bottom"/>
          </w:tcPr>
          <w:p>
            <w:pPr>
              <w:ind w:left="180"/>
              <w:spacing w:after="0"/>
              <w:rPr>
                <w:sz w:val="20"/>
                <w:szCs w:val="20"/>
                <w:color w:val="auto"/>
              </w:rPr>
            </w:pPr>
            <w:r>
              <w:rPr>
                <w:rFonts w:ascii="Arial" w:cs="Arial" w:eastAsia="Arial" w:hAnsi="Arial"/>
                <w:sz w:val="15"/>
                <w:szCs w:val="15"/>
                <w:color w:val="auto"/>
              </w:rPr>
              <w:t>Net income (loss) attributable to iStar Inc.:</w:t>
            </w: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70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Basic</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0.60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(0.40)</w:t>
            </w:r>
          </w:p>
        </w:tc>
        <w:tc>
          <w:tcPr>
            <w:tcW w:w="0" w:type="dxa"/>
            <w:vAlign w:val="bottom"/>
          </w:tcPr>
          <w:p>
            <w:pPr>
              <w:spacing w:after="0"/>
              <w:rPr>
                <w:sz w:val="1"/>
                <w:szCs w:val="1"/>
                <w:color w:val="auto"/>
              </w:rPr>
            </w:pPr>
          </w:p>
        </w:tc>
      </w:tr>
      <w:tr>
        <w:trPr>
          <w:trHeight w:val="266"/>
        </w:trPr>
        <w:tc>
          <w:tcPr>
            <w:tcW w:w="7080" w:type="dxa"/>
            <w:vAlign w:val="bottom"/>
          </w:tcPr>
          <w:p>
            <w:pPr>
              <w:ind w:left="280"/>
              <w:spacing w:after="0"/>
              <w:rPr>
                <w:sz w:val="20"/>
                <w:szCs w:val="20"/>
                <w:color w:val="auto"/>
              </w:rPr>
            </w:pPr>
            <w:r>
              <w:rPr>
                <w:rFonts w:ascii="Arial" w:cs="Arial" w:eastAsia="Arial" w:hAnsi="Arial"/>
                <w:sz w:val="15"/>
                <w:szCs w:val="15"/>
                <w:color w:val="auto"/>
              </w:rPr>
              <w:t>Diluted</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0.55</w:t>
            </w:r>
          </w:p>
        </w:tc>
        <w:tc>
          <w:tcPr>
            <w:tcW w:w="120" w:type="dxa"/>
            <w:vAlign w:val="bottom"/>
          </w:tcPr>
          <w:p>
            <w:pPr>
              <w:spacing w:after="0"/>
              <w:rPr>
                <w:sz w:val="23"/>
                <w:szCs w:val="23"/>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(0.62)</w:t>
            </w:r>
          </w:p>
        </w:tc>
        <w:tc>
          <w:tcPr>
            <w:tcW w:w="100" w:type="dxa"/>
            <w:vAlign w:val="bottom"/>
          </w:tcPr>
          <w:p>
            <w:pPr>
              <w:spacing w:after="0"/>
              <w:rPr>
                <w:sz w:val="23"/>
                <w:szCs w:val="23"/>
                <w:color w:val="auto"/>
              </w:rPr>
            </w:pPr>
          </w:p>
        </w:tc>
        <w:tc>
          <w:tcPr>
            <w:tcW w:w="40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(0.40)</w:t>
            </w:r>
          </w:p>
        </w:tc>
        <w:tc>
          <w:tcPr>
            <w:tcW w:w="0" w:type="dxa"/>
            <w:vAlign w:val="bottom"/>
          </w:tcPr>
          <w:p>
            <w:pPr>
              <w:spacing w:after="0"/>
              <w:rPr>
                <w:sz w:val="1"/>
                <w:szCs w:val="1"/>
                <w:color w:val="auto"/>
              </w:rPr>
            </w:pPr>
          </w:p>
        </w:tc>
      </w:tr>
      <w:tr>
        <w:trPr>
          <w:trHeight w:val="274"/>
        </w:trPr>
        <w:tc>
          <w:tcPr>
            <w:tcW w:w="70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Weighted average number of common shares: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7080" w:type="dxa"/>
            <w:vAlign w:val="bottom"/>
          </w:tcPr>
          <w:p>
            <w:pPr>
              <w:ind w:left="280"/>
              <w:spacing w:after="0"/>
              <w:rPr>
                <w:sz w:val="20"/>
                <w:szCs w:val="20"/>
                <w:color w:val="auto"/>
              </w:rPr>
            </w:pPr>
            <w:r>
              <w:rPr>
                <w:rFonts w:ascii="Arial" w:cs="Arial" w:eastAsia="Arial" w:hAnsi="Arial"/>
                <w:sz w:val="15"/>
                <w:szCs w:val="15"/>
                <w:color w:val="auto"/>
              </w:rPr>
              <w:t>Basic</w:t>
            </w:r>
          </w:p>
        </w:tc>
        <w:tc>
          <w:tcPr>
            <w:tcW w:w="340" w:type="dxa"/>
            <w:vAlign w:val="bottom"/>
          </w:tcPr>
          <w:p>
            <w:pPr>
              <w:spacing w:after="0"/>
              <w:rPr>
                <w:sz w:val="23"/>
                <w:szCs w:val="23"/>
                <w:color w:val="auto"/>
              </w:rPr>
            </w:pP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73,453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4"/>
              <w:spacing w:after="0"/>
              <w:rPr>
                <w:sz w:val="20"/>
                <w:szCs w:val="20"/>
                <w:color w:val="auto"/>
              </w:rPr>
            </w:pPr>
            <w:r>
              <w:rPr>
                <w:rFonts w:ascii="Arial" w:cs="Arial" w:eastAsia="Arial" w:hAnsi="Arial"/>
                <w:sz w:val="15"/>
                <w:szCs w:val="15"/>
                <w:color w:val="auto"/>
              </w:rPr>
              <w:t>84,987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85,031</w:t>
            </w:r>
          </w:p>
        </w:tc>
        <w:tc>
          <w:tcPr>
            <w:tcW w:w="0" w:type="dxa"/>
            <w:vAlign w:val="bottom"/>
          </w:tcPr>
          <w:p>
            <w:pPr>
              <w:spacing w:after="0"/>
              <w:rPr>
                <w:sz w:val="1"/>
                <w:szCs w:val="1"/>
                <w:color w:val="auto"/>
              </w:rPr>
            </w:pPr>
          </w:p>
        </w:tc>
      </w:tr>
      <w:tr>
        <w:trPr>
          <w:trHeight w:val="274"/>
        </w:trPr>
        <w:tc>
          <w:tcPr>
            <w:tcW w:w="70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Diluted</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98,467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84,987</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85,031</w:t>
            </w:r>
          </w:p>
        </w:tc>
        <w:tc>
          <w:tcPr>
            <w:tcW w:w="0" w:type="dxa"/>
            <w:vAlign w:val="bottom"/>
          </w:tcPr>
          <w:p>
            <w:pPr>
              <w:spacing w:after="0"/>
              <w:rPr>
                <w:sz w:val="1"/>
                <w:szCs w:val="1"/>
                <w:color w:val="auto"/>
              </w:rPr>
            </w:pPr>
          </w:p>
        </w:tc>
      </w:tr>
      <w:tr>
        <w:trPr>
          <w:trHeight w:val="270"/>
        </w:trPr>
        <w:tc>
          <w:tcPr>
            <w:tcW w:w="7080" w:type="dxa"/>
            <w:vAlign w:val="bottom"/>
          </w:tcPr>
          <w:p>
            <w:pPr>
              <w:ind w:left="40"/>
              <w:spacing w:after="0" w:line="270" w:lineRule="exact"/>
              <w:rPr>
                <w:sz w:val="20"/>
                <w:szCs w:val="20"/>
                <w:color w:val="auto"/>
              </w:rPr>
            </w:pPr>
            <w:r>
              <w:rPr>
                <w:rFonts w:ascii="Arial" w:cs="Arial" w:eastAsia="Arial" w:hAnsi="Arial"/>
                <w:sz w:val="15"/>
                <w:szCs w:val="15"/>
                <w:b w:val="1"/>
                <w:bCs w:val="1"/>
                <w:color w:val="auto"/>
              </w:rPr>
              <w:t>Per HPU share data</w:t>
            </w:r>
            <w:r>
              <w:rPr>
                <w:rFonts w:ascii="Arial" w:cs="Arial" w:eastAsia="Arial" w:hAnsi="Arial"/>
                <w:sz w:val="25"/>
                <w:szCs w:val="25"/>
                <w:b w:val="1"/>
                <w:bCs w:val="1"/>
                <w:color w:val="auto"/>
                <w:vertAlign w:val="superscript"/>
              </w:rPr>
              <w:t>(1)</w:t>
            </w:r>
            <w:r>
              <w:rPr>
                <w:rFonts w:ascii="Arial" w:cs="Arial" w:eastAsia="Arial" w:hAnsi="Arial"/>
                <w:sz w:val="15"/>
                <w:szCs w:val="15"/>
                <w:b w:val="1"/>
                <w:bCs w:val="1"/>
                <w:color w:val="auto"/>
              </w:rPr>
              <w:t>:</w:t>
            </w: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Income (loss) attributable to iStar Inc. from operations—Basic and diluted</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(120.00)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(75.27)</w:t>
            </w:r>
          </w:p>
        </w:tc>
        <w:tc>
          <w:tcPr>
            <w:tcW w:w="0" w:type="dxa"/>
            <w:vAlign w:val="bottom"/>
          </w:tcPr>
          <w:p>
            <w:pPr>
              <w:spacing w:after="0"/>
              <w:rPr>
                <w:sz w:val="1"/>
                <w:szCs w:val="1"/>
                <w:color w:val="auto"/>
              </w:rPr>
            </w:pPr>
          </w:p>
        </w:tc>
      </w:tr>
      <w:tr>
        <w:trPr>
          <w:trHeight w:val="266"/>
        </w:trPr>
        <w:tc>
          <w:tcPr>
            <w:tcW w:w="7080" w:type="dxa"/>
            <w:vAlign w:val="bottom"/>
          </w:tcPr>
          <w:p>
            <w:pPr>
              <w:ind w:left="180"/>
              <w:spacing w:after="0"/>
              <w:rPr>
                <w:sz w:val="20"/>
                <w:szCs w:val="20"/>
                <w:color w:val="auto"/>
              </w:rPr>
            </w:pPr>
            <w:r>
              <w:rPr>
                <w:rFonts w:ascii="Arial" w:cs="Arial" w:eastAsia="Arial" w:hAnsi="Arial"/>
                <w:sz w:val="15"/>
                <w:szCs w:val="15"/>
                <w:color w:val="auto"/>
              </w:rPr>
              <w:t>Net income (loss) attributable to iStar Inc.—Basic and diluted</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(120.00)</w:t>
            </w:r>
          </w:p>
        </w:tc>
        <w:tc>
          <w:tcPr>
            <w:tcW w:w="100" w:type="dxa"/>
            <w:vAlign w:val="bottom"/>
          </w:tcPr>
          <w:p>
            <w:pPr>
              <w:spacing w:after="0"/>
              <w:rPr>
                <w:sz w:val="23"/>
                <w:szCs w:val="23"/>
                <w:color w:val="auto"/>
              </w:rPr>
            </w:pPr>
          </w:p>
        </w:tc>
        <w:tc>
          <w:tcPr>
            <w:tcW w:w="40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(75.27)</w:t>
            </w:r>
          </w:p>
        </w:tc>
        <w:tc>
          <w:tcPr>
            <w:tcW w:w="0" w:type="dxa"/>
            <w:vAlign w:val="bottom"/>
          </w:tcPr>
          <w:p>
            <w:pPr>
              <w:spacing w:after="0"/>
              <w:rPr>
                <w:sz w:val="1"/>
                <w:szCs w:val="1"/>
                <w:color w:val="auto"/>
              </w:rPr>
            </w:pPr>
          </w:p>
        </w:tc>
      </w:tr>
      <w:tr>
        <w:trPr>
          <w:trHeight w:val="274"/>
        </w:trPr>
        <w:tc>
          <w:tcPr>
            <w:tcW w:w="70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Weighted average number of HPU share—Basic and diluted</w:t>
            </w:r>
          </w:p>
        </w:tc>
        <w:tc>
          <w:tcPr>
            <w:tcW w:w="3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9</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155"/>
        </w:trPr>
        <w:tc>
          <w:tcPr>
            <w:tcW w:w="7080" w:type="dxa"/>
            <w:vAlign w:val="bottom"/>
          </w:tcPr>
          <w:p>
            <w:pPr>
              <w:spacing w:after="0" w:line="155" w:lineRule="exact"/>
              <w:rPr>
                <w:sz w:val="20"/>
                <w:szCs w:val="20"/>
                <w:color w:val="auto"/>
              </w:rPr>
            </w:pPr>
            <w:r>
              <w:rPr>
                <w:rFonts w:ascii="Arial" w:cs="Arial" w:eastAsia="Arial" w:hAnsi="Arial"/>
                <w:sz w:val="14"/>
                <w:szCs w:val="14"/>
                <w:color w:val="auto"/>
              </w:rPr>
              <w:t>_______________________________________________________________________________</w:t>
            </w: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All of the Company's outstanding High Performance Units ("HPUs") were repurchased and retired on August 13, 2015 (refer to Note 13).</w:t>
      </w:r>
    </w:p>
    <w:p>
      <w:pPr>
        <w:spacing w:after="0" w:line="1" w:lineRule="exact"/>
        <w:rPr>
          <w:rFonts w:ascii="Arial" w:cs="Arial" w:eastAsia="Arial" w:hAnsi="Arial"/>
          <w:sz w:val="14"/>
          <w:szCs w:val="14"/>
          <w:color w:val="auto"/>
        </w:rPr>
      </w:pPr>
    </w:p>
    <w:p>
      <w:pPr>
        <w:ind w:left="660" w:right="20" w:hanging="652"/>
        <w:spacing w:after="0" w:line="255" w:lineRule="auto"/>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Participating Security holders are non-employee directors who hold common stock equivalents ("CSEs") and restricted stock awards granted under the Company's Long Term Incentive Plans that are eligible to participate in dividends (refer to Note 14 and Note 15).</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22" w:right="239" w:bottom="1440" w:gutter="0" w:footer="0" w:header="0"/>
          <w:type w:val="continuous"/>
        </w:sectPr>
      </w:pPr>
    </w:p>
    <w:bookmarkStart w:id="57" w:name="page58"/>
    <w:bookmarkEnd w:id="5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For the Years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100,182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15,765</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Reclassification of (gains)/losses on available-for-sale securities into earnings upon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180"/>
              <w:spacing w:after="0" w:line="257" w:lineRule="exact"/>
              <w:rPr>
                <w:sz w:val="20"/>
                <w:szCs w:val="20"/>
                <w:color w:val="auto"/>
              </w:rPr>
            </w:pPr>
            <w:r>
              <w:rPr>
                <w:rFonts w:ascii="Arial" w:cs="Arial" w:eastAsia="Arial" w:hAnsi="Arial"/>
                <w:sz w:val="18"/>
                <w:szCs w:val="18"/>
                <w:color w:val="auto"/>
              </w:rPr>
              <w:t>realization</w:t>
            </w:r>
            <w:r>
              <w:rPr>
                <w:rFonts w:ascii="Arial" w:cs="Arial" w:eastAsia="Arial" w:hAnsi="Arial"/>
                <w:sz w:val="25"/>
                <w:szCs w:val="25"/>
                <w:color w:val="auto"/>
                <w:vertAlign w:val="superscript"/>
              </w:rPr>
              <w:t>(1)</w:t>
            </w:r>
          </w:p>
        </w:tc>
        <w:tc>
          <w:tcPr>
            <w:tcW w:w="3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0"/>
        </w:trPr>
        <w:tc>
          <w:tcPr>
            <w:tcW w:w="7080" w:type="dxa"/>
            <w:vAlign w:val="bottom"/>
          </w:tcPr>
          <w:p>
            <w:pPr>
              <w:ind w:left="180"/>
              <w:spacing w:after="0" w:line="270" w:lineRule="exact"/>
              <w:rPr>
                <w:sz w:val="20"/>
                <w:szCs w:val="20"/>
                <w:color w:val="auto"/>
              </w:rPr>
            </w:pPr>
            <w:r>
              <w:rPr>
                <w:rFonts w:ascii="Arial" w:cs="Arial" w:eastAsia="Arial" w:hAnsi="Arial"/>
                <w:sz w:val="18"/>
                <w:szCs w:val="18"/>
                <w:color w:val="auto"/>
                <w:w w:val="99"/>
              </w:rPr>
              <w:t>Reclassification of (gains)/losses on cash flow hedges into earnings upon realization</w:t>
            </w:r>
            <w:r>
              <w:rPr>
                <w:rFonts w:ascii="Arial" w:cs="Arial" w:eastAsia="Arial" w:hAnsi="Arial"/>
                <w:sz w:val="25"/>
                <w:szCs w:val="25"/>
                <w:color w:val="auto"/>
                <w:w w:val="99"/>
                <w:vertAlign w:val="superscript"/>
              </w:rPr>
              <w:t>(2)</w:t>
            </w:r>
          </w:p>
        </w:tc>
        <w:tc>
          <w:tcPr>
            <w:tcW w:w="340" w:type="dxa"/>
            <w:vAlign w:val="bottom"/>
          </w:tcPr>
          <w:p>
            <w:pPr>
              <w:spacing w:after="0"/>
              <w:rPr>
                <w:sz w:val="23"/>
                <w:szCs w:val="23"/>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921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4,116</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Realization of (gains)/losses on cumulative translation adjustment into earnings upon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180"/>
              <w:spacing w:after="0" w:line="257" w:lineRule="exact"/>
              <w:rPr>
                <w:sz w:val="20"/>
                <w:szCs w:val="20"/>
                <w:color w:val="auto"/>
              </w:rPr>
            </w:pPr>
            <w:r>
              <w:rPr>
                <w:rFonts w:ascii="Arial" w:cs="Arial" w:eastAsia="Arial" w:hAnsi="Arial"/>
                <w:sz w:val="18"/>
                <w:szCs w:val="18"/>
                <w:color w:val="auto"/>
              </w:rPr>
              <w:t>realization</w:t>
            </w:r>
            <w:r>
              <w:rPr>
                <w:rFonts w:ascii="Arial" w:cs="Arial" w:eastAsia="Arial" w:hAnsi="Arial"/>
                <w:sz w:val="25"/>
                <w:szCs w:val="25"/>
                <w:color w:val="auto"/>
                <w:vertAlign w:val="superscript"/>
              </w:rPr>
              <w:t>(3)</w:t>
            </w:r>
          </w:p>
        </w:tc>
        <w:tc>
          <w:tcPr>
            <w:tcW w:w="3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Unrealized gains/(losses) on available-for-sale securities</w:t>
            </w:r>
          </w:p>
        </w:tc>
        <w:tc>
          <w:tcPr>
            <w:tcW w:w="3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3,367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gains/(losses) on cash flow hedges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(5,187)</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Unrealized gains/(losses) on cumulative translation adjustment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3,305</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100,815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(10,037)</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19,070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Comprehensive income (loss) attributable to iStar Inc.</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95,939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(6,315)</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19,780</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0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Reclassified to "Other income" in the Company's consolidated statements of operations.</w:t>
      </w:r>
    </w:p>
    <w:p>
      <w:pPr>
        <w:spacing w:after="0" w:line="1" w:lineRule="exact"/>
        <w:rPr>
          <w:rFonts w:ascii="Arial" w:cs="Arial" w:eastAsia="Arial" w:hAnsi="Arial"/>
          <w:sz w:val="14"/>
          <w:szCs w:val="14"/>
          <w:color w:val="auto"/>
        </w:rPr>
      </w:pPr>
    </w:p>
    <w:p>
      <w:pPr>
        <w:jc w:val="both"/>
        <w:ind w:left="660" w:hanging="652"/>
        <w:spacing w:after="0" w:line="260" w:lineRule="auto"/>
        <w:tabs>
          <w:tab w:leader="none" w:pos="660" w:val="left"/>
        </w:tabs>
        <w:numPr>
          <w:ilvl w:val="0"/>
          <w:numId w:val="32"/>
        </w:numPr>
        <w:rPr>
          <w:rFonts w:ascii="Arial" w:cs="Arial" w:eastAsia="Arial" w:hAnsi="Arial"/>
          <w:sz w:val="13"/>
          <w:szCs w:val="13"/>
          <w:color w:val="auto"/>
        </w:rPr>
      </w:pPr>
      <w:r>
        <w:rPr>
          <w:rFonts w:ascii="Arial" w:cs="Arial" w:eastAsia="Arial" w:hAnsi="Arial"/>
          <w:sz w:val="13"/>
          <w:szCs w:val="13"/>
          <w:color w:val="auto"/>
        </w:rPr>
        <w:t>Reclassified to "Interest expense" in the Company's consolidated statements of operations are $217, $456 and $62 for the years ended December 31, 2016, 2015 and 2014, respectively. Reclassified to "Other Expense" in the Company's consolidated statements of operations is $3,634 for the year ended December 31, 2014 (refer to Note 12). Reclassified to "Earnings from equity method investments" in the Company's consolidated statements of operations are $381, $465 and $420, respectively, for the years ended December 31, 2016, 2015 and 2014.</w:t>
      </w:r>
    </w:p>
    <w:p>
      <w:pPr>
        <w:ind w:left="660" w:hanging="652"/>
        <w:spacing w:after="0"/>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Reclassified to "Earnings from equity method investments" in the Company's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8" w:name="page59"/>
    <w:bookmarkEnd w:id="58"/>
    <w:p>
      <w:pPr>
        <w:jc w:val="center"/>
        <w:ind w:right="-799"/>
        <w:spacing w:after="0"/>
        <w:rPr>
          <w:sz w:val="20"/>
          <w:szCs w:val="20"/>
          <w:color w:val="auto"/>
        </w:rPr>
      </w:pPr>
      <w:r>
        <w:rPr>
          <w:rFonts w:ascii="Arial" w:cs="Arial" w:eastAsia="Arial" w:hAnsi="Arial"/>
          <w:sz w:val="18"/>
          <w:szCs w:val="18"/>
          <w:b w:val="1"/>
          <w:bCs w:val="1"/>
          <w:color w:val="auto"/>
        </w:rPr>
        <w:t>iStar Inc.</w:t>
      </w:r>
    </w:p>
    <w:p>
      <w:pPr>
        <w:spacing w:after="0" w:line="63"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63"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For the Years Ended December 31, 2015 and 2014</w:t>
      </w:r>
    </w:p>
    <w:p>
      <w:pPr>
        <w:spacing w:after="0" w:line="63"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w w:val="94"/>
              </w:rPr>
              <w:t>iStar Inc. Shareholders' Equity</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Preferred</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Common</w:t>
            </w: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Additional</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Retained</w:t>
            </w:r>
          </w:p>
        </w:tc>
        <w:tc>
          <w:tcPr>
            <w:tcW w:w="114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8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6"/>
              </w:rPr>
              <w:t>Preferred</w:t>
            </w:r>
          </w:p>
        </w:tc>
        <w:tc>
          <w:tcPr>
            <w:tcW w:w="840" w:type="dxa"/>
            <w:vAlign w:val="bottom"/>
            <w:gridSpan w:val="3"/>
            <w:vMerge w:val="continue"/>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10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94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Stock</w:t>
            </w: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HPU's</w:t>
            </w:r>
            <w:r>
              <w:rPr>
                <w:rFonts w:ascii="Arial" w:cs="Arial" w:eastAsia="Arial" w:hAnsi="Arial"/>
                <w:sz w:val="8"/>
                <w:szCs w:val="8"/>
                <w:b w:val="1"/>
                <w:bCs w:val="1"/>
                <w:color w:val="auto"/>
              </w:rPr>
              <w:t>(2)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Stock at</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Paid-In</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Earnings</w:t>
            </w:r>
          </w:p>
        </w:tc>
        <w:tc>
          <w:tcPr>
            <w:tcW w:w="11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Comprehensive</w:t>
            </w:r>
          </w:p>
        </w:tc>
        <w:tc>
          <w:tcPr>
            <w:tcW w:w="1100" w:type="dxa"/>
            <w:vAlign w:val="bottom"/>
            <w:tcBorders>
              <w:right w:val="single" w:sz="8" w:color="auto"/>
            </w:tcBorders>
            <w:gridSpan w:val="3"/>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Stock</w:t>
            </w:r>
            <w:r>
              <w:rPr>
                <w:rFonts w:ascii="Arial" w:cs="Arial" w:eastAsia="Arial" w:hAnsi="Arial"/>
                <w:sz w:val="8"/>
                <w:szCs w:val="8"/>
                <w:b w:val="1"/>
                <w:bCs w:val="1"/>
                <w:color w:val="auto"/>
                <w:w w:val="95"/>
              </w:rPr>
              <w:t>(1)</w:t>
            </w:r>
          </w:p>
        </w:tc>
        <w:tc>
          <w:tcPr>
            <w:tcW w:w="8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Series J</w:t>
            </w:r>
            <w:r>
              <w:rPr>
                <w:rFonts w:ascii="Arial" w:cs="Arial" w:eastAsia="Arial" w:hAnsi="Arial"/>
                <w:sz w:val="8"/>
                <w:szCs w:val="8"/>
                <w:b w:val="1"/>
                <w:bCs w:val="1"/>
                <w:color w:val="auto"/>
                <w:w w:val="91"/>
              </w:rPr>
              <w:t>(1)</w:t>
            </w:r>
          </w:p>
        </w:tc>
        <w:tc>
          <w:tcPr>
            <w:tcW w:w="6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Par</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Capital</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(Deficit)</w:t>
            </w: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6"/>
                <w:szCs w:val="16"/>
                <w:color w:val="auto"/>
              </w:rPr>
            </w:pPr>
          </w:p>
        </w:tc>
        <w:tc>
          <w:tcPr>
            <w:tcW w:w="94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940" w:type="dxa"/>
            <w:vAlign w:val="bottom"/>
          </w:tcPr>
          <w:p>
            <w:pPr>
              <w:jc w:val="right"/>
              <w:ind w:right="17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5"/>
        </w:trPr>
        <w:tc>
          <w:tcPr>
            <w:tcW w:w="2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w:t>
            </w: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31, 2013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$9,800</w:t>
            </w:r>
          </w:p>
        </w:tc>
        <w:tc>
          <w:tcPr>
            <w:tcW w:w="3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3"/>
              </w:rPr>
              <w:t>$3,759,245</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$(2,521,618)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58,205</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0"/>
              </w:rPr>
              <w:t>$1,301,465</w:t>
            </w:r>
          </w:p>
        </w:tc>
        <w:tc>
          <w:tcPr>
            <w:tcW w:w="0" w:type="dxa"/>
            <w:vAlign w:val="bottom"/>
          </w:tcPr>
          <w:p>
            <w:pPr>
              <w:spacing w:after="0"/>
              <w:rPr>
                <w:sz w:val="1"/>
                <w:szCs w:val="1"/>
                <w:color w:val="auto"/>
              </w:rPr>
            </w:pPr>
          </w:p>
        </w:tc>
      </w:tr>
      <w:tr>
        <w:trPr>
          <w:trHeight w:val="229"/>
        </w:trPr>
        <w:tc>
          <w:tcPr>
            <w:tcW w:w="2120" w:type="dxa"/>
            <w:vAlign w:val="bottom"/>
          </w:tcPr>
          <w:p>
            <w:pPr>
              <w:ind w:left="40"/>
              <w:spacing w:after="0"/>
              <w:rPr>
                <w:sz w:val="20"/>
                <w:szCs w:val="20"/>
                <w:color w:val="auto"/>
              </w:rPr>
            </w:pPr>
            <w:r>
              <w:rPr>
                <w:rFonts w:ascii="Arial" w:cs="Arial" w:eastAsia="Arial" w:hAnsi="Arial"/>
                <w:sz w:val="18"/>
                <w:szCs w:val="18"/>
                <w:color w:val="auto"/>
              </w:rPr>
              <w:t>Dividends declared—</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40"/>
              <w:spacing w:after="0"/>
              <w:rPr>
                <w:sz w:val="20"/>
                <w:szCs w:val="20"/>
                <w:color w:val="auto"/>
              </w:rPr>
            </w:pPr>
            <w:r>
              <w:rPr>
                <w:rFonts w:ascii="Arial" w:cs="Arial" w:eastAsia="Arial" w:hAnsi="Arial"/>
                <w:sz w:val="18"/>
                <w:szCs w:val="18"/>
                <w:color w:val="auto"/>
              </w:rPr>
              <w:t>preferred</w:t>
            </w:r>
          </w:p>
        </w:tc>
        <w:tc>
          <w:tcPr>
            <w:tcW w:w="14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(51,320)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(51,320)</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Issuance of</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stock/restricted stock unit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net</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(13,091)</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(13,089)</w:t>
            </w:r>
          </w:p>
        </w:tc>
        <w:tc>
          <w:tcPr>
            <w:tcW w:w="0" w:type="dxa"/>
            <w:vAlign w:val="bottom"/>
          </w:tcPr>
          <w:p>
            <w:pPr>
              <w:spacing w:after="0"/>
              <w:rPr>
                <w:sz w:val="1"/>
                <w:szCs w:val="1"/>
                <w:color w:val="auto"/>
              </w:rPr>
            </w:pPr>
          </w:p>
        </w:tc>
      </w:tr>
      <w:tr>
        <w:trPr>
          <w:trHeight w:val="229"/>
        </w:trPr>
        <w:tc>
          <w:tcPr>
            <w:tcW w:w="2120" w:type="dxa"/>
            <w:vAlign w:val="bottom"/>
          </w:tcPr>
          <w:p>
            <w:pPr>
              <w:ind w:left="40"/>
              <w:spacing w:after="0"/>
              <w:rPr>
                <w:sz w:val="20"/>
                <w:szCs w:val="20"/>
                <w:color w:val="auto"/>
              </w:rPr>
            </w:pPr>
            <w:r>
              <w:rPr>
                <w:rFonts w:ascii="Arial" w:cs="Arial" w:eastAsia="Arial" w:hAnsi="Arial"/>
                <w:sz w:val="18"/>
                <w:szCs w:val="18"/>
                <w:color w:val="auto"/>
              </w:rPr>
              <w:t>Net income (loss) for the</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120" w:type="dxa"/>
            <w:vAlign w:val="bottom"/>
          </w:tcPr>
          <w:p>
            <w:pPr>
              <w:ind w:left="40"/>
              <w:spacing w:after="0" w:line="257" w:lineRule="exact"/>
              <w:rPr>
                <w:sz w:val="20"/>
                <w:szCs w:val="20"/>
                <w:color w:val="auto"/>
              </w:rPr>
            </w:pPr>
            <w:r>
              <w:rPr>
                <w:rFonts w:ascii="Arial" w:cs="Arial" w:eastAsia="Arial" w:hAnsi="Arial"/>
                <w:sz w:val="18"/>
                <w:szCs w:val="18"/>
                <w:color w:val="auto"/>
              </w:rPr>
              <w:t>period</w:t>
            </w:r>
            <w:r>
              <w:rPr>
                <w:rFonts w:ascii="Arial" w:cs="Arial" w:eastAsia="Arial" w:hAnsi="Arial"/>
                <w:sz w:val="25"/>
                <w:szCs w:val="25"/>
                <w:color w:val="auto"/>
                <w:vertAlign w:val="superscript"/>
              </w:rPr>
              <w:t>(3)</w:t>
            </w:r>
          </w:p>
        </w:tc>
        <w:tc>
          <w:tcPr>
            <w:tcW w:w="14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16,469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1,221</w:t>
            </w:r>
          </w:p>
        </w:tc>
        <w:tc>
          <w:tcPr>
            <w:tcW w:w="120" w:type="dxa"/>
            <w:vAlign w:val="bottom"/>
            <w:tcBorders>
              <w:right w:val="single" w:sz="8" w:color="auto"/>
            </w:tcBorders>
          </w:tcPr>
          <w:p>
            <w:pPr>
              <w:spacing w:after="0"/>
              <w:rPr>
                <w:sz w:val="22"/>
                <w:szCs w:val="22"/>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17,690</w:t>
            </w:r>
          </w:p>
        </w:tc>
        <w:tc>
          <w:tcPr>
            <w:tcW w:w="0" w:type="dxa"/>
            <w:vAlign w:val="bottom"/>
          </w:tcPr>
          <w:p>
            <w:pPr>
              <w:spacing w:after="0"/>
              <w:rPr>
                <w:sz w:val="1"/>
                <w:szCs w:val="1"/>
                <w:color w:val="auto"/>
              </w:rPr>
            </w:pPr>
          </w:p>
        </w:tc>
      </w:tr>
      <w:tr>
        <w:trPr>
          <w:trHeight w:val="229"/>
        </w:trPr>
        <w:tc>
          <w:tcPr>
            <w:tcW w:w="2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 in accumulated</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3,305</w:t>
            </w:r>
          </w:p>
        </w:tc>
        <w:tc>
          <w:tcPr>
            <w:tcW w:w="0" w:type="dxa"/>
            <w:vAlign w:val="bottom"/>
          </w:tcPr>
          <w:p>
            <w:pPr>
              <w:spacing w:after="0"/>
              <w:rPr>
                <w:sz w:val="1"/>
                <w:szCs w:val="1"/>
                <w:color w:val="auto"/>
              </w:rPr>
            </w:pPr>
          </w:p>
        </w:tc>
      </w:tr>
      <w:tr>
        <w:trPr>
          <w:trHeight w:val="229"/>
        </w:trPr>
        <w:tc>
          <w:tcPr>
            <w:tcW w:w="2120" w:type="dxa"/>
            <w:vAlign w:val="bottom"/>
          </w:tcPr>
          <w:p>
            <w:pPr>
              <w:ind w:left="40"/>
              <w:spacing w:after="0"/>
              <w:rPr>
                <w:sz w:val="20"/>
                <w:szCs w:val="20"/>
                <w:color w:val="auto"/>
              </w:rPr>
            </w:pPr>
            <w:r>
              <w:rPr>
                <w:rFonts w:ascii="Arial" w:cs="Arial" w:eastAsia="Arial" w:hAnsi="Arial"/>
                <w:sz w:val="18"/>
                <w:szCs w:val="18"/>
                <w:color w:val="auto"/>
              </w:rPr>
              <w:t>Change in additional paid</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20" w:type="dxa"/>
            <w:vAlign w:val="bottom"/>
          </w:tcPr>
          <w:p>
            <w:pPr>
              <w:ind w:left="40"/>
              <w:spacing w:after="0"/>
              <w:rPr>
                <w:sz w:val="20"/>
                <w:szCs w:val="20"/>
                <w:color w:val="auto"/>
              </w:rPr>
            </w:pPr>
            <w:r>
              <w:rPr>
                <w:rFonts w:ascii="Arial" w:cs="Arial" w:eastAsia="Arial" w:hAnsi="Arial"/>
                <w:sz w:val="18"/>
                <w:szCs w:val="18"/>
                <w:color w:val="auto"/>
              </w:rPr>
              <w:t>in capital attributable to</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ind w:left="40"/>
              <w:spacing w:after="0"/>
              <w:rPr>
                <w:sz w:val="20"/>
                <w:szCs w:val="20"/>
                <w:color w:val="auto"/>
              </w:rPr>
            </w:pPr>
            <w:r>
              <w:rPr>
                <w:rFonts w:ascii="Arial" w:cs="Arial" w:eastAsia="Arial" w:hAnsi="Arial"/>
                <w:sz w:val="18"/>
                <w:szCs w:val="18"/>
                <w:color w:val="auto"/>
                <w:w w:val="97"/>
              </w:rPr>
              <w:t>redeemable noncontrolling</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40"/>
              <w:spacing w:after="0"/>
              <w:rPr>
                <w:sz w:val="20"/>
                <w:szCs w:val="20"/>
                <w:color w:val="auto"/>
              </w:rPr>
            </w:pPr>
            <w:r>
              <w:rPr>
                <w:rFonts w:ascii="Arial" w:cs="Arial" w:eastAsia="Arial" w:hAnsi="Arial"/>
                <w:sz w:val="18"/>
                <w:szCs w:val="18"/>
                <w:color w:val="auto"/>
              </w:rPr>
              <w:t>interest</w:t>
            </w:r>
          </w:p>
        </w:tc>
        <w:tc>
          <w:tcPr>
            <w:tcW w:w="14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Contributions from</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565</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29"/>
        </w:trPr>
        <w:tc>
          <w:tcPr>
            <w:tcW w:w="2120" w:type="dxa"/>
            <w:vAlign w:val="bottom"/>
          </w:tcPr>
          <w:p>
            <w:pPr>
              <w:ind w:left="40"/>
              <w:spacing w:after="0"/>
              <w:rPr>
                <w:sz w:val="20"/>
                <w:szCs w:val="20"/>
                <w:color w:val="auto"/>
              </w:rPr>
            </w:pPr>
            <w:r>
              <w:rPr>
                <w:rFonts w:ascii="Arial" w:cs="Arial" w:eastAsia="Arial" w:hAnsi="Arial"/>
                <w:sz w:val="18"/>
                <w:szCs w:val="18"/>
                <w:color w:val="auto"/>
              </w:rPr>
              <w:t>Distributions to</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(4,820)</w:t>
            </w:r>
          </w:p>
        </w:tc>
        <w:tc>
          <w:tcPr>
            <w:tcW w:w="120" w:type="dxa"/>
            <w:vAlign w:val="bottom"/>
            <w:tcBorders>
              <w:right w:val="single" w:sz="8" w:color="auto"/>
            </w:tcBorders>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(4,820)</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 in noncontrolling</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12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interest</w:t>
            </w:r>
            <w:r>
              <w:rPr>
                <w:rFonts w:ascii="Arial" w:cs="Arial" w:eastAsia="Arial" w:hAnsi="Arial"/>
                <w:sz w:val="25"/>
                <w:szCs w:val="25"/>
                <w:color w:val="auto"/>
                <w:vertAlign w:val="superscript"/>
              </w:rPr>
              <w:t>(4)</w:t>
            </w:r>
          </w:p>
        </w:tc>
        <w:tc>
          <w:tcPr>
            <w:tcW w:w="14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w:t>
            </w:r>
          </w:p>
        </w:tc>
        <w:tc>
          <w:tcPr>
            <w:tcW w:w="120" w:type="dxa"/>
            <w:vAlign w:val="bottom"/>
            <w:tcBorders>
              <w:right w:val="single" w:sz="8" w:color="auto"/>
            </w:tcBorders>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w:t>
            </w:r>
          </w:p>
        </w:tc>
        <w:tc>
          <w:tcPr>
            <w:tcW w:w="0" w:type="dxa"/>
            <w:vAlign w:val="bottom"/>
          </w:tcPr>
          <w:p>
            <w:pPr>
              <w:spacing w:after="0"/>
              <w:rPr>
                <w:sz w:val="1"/>
                <w:szCs w:val="1"/>
                <w:color w:val="auto"/>
              </w:rPr>
            </w:pPr>
          </w:p>
        </w:tc>
      </w:tr>
      <w:tr>
        <w:trPr>
          <w:trHeight w:val="209"/>
        </w:trPr>
        <w:tc>
          <w:tcPr>
            <w:tcW w:w="2120" w:type="dxa"/>
            <w:vAlign w:val="bottom"/>
          </w:tcPr>
          <w:p>
            <w:pPr>
              <w:ind w:left="40"/>
              <w:spacing w:after="0"/>
              <w:rPr>
                <w:sz w:val="20"/>
                <w:szCs w:val="20"/>
                <w:color w:val="auto"/>
              </w:rPr>
            </w:pPr>
            <w:r>
              <w:rPr>
                <w:rFonts w:ascii="Arial" w:cs="Arial" w:eastAsia="Arial" w:hAnsi="Arial"/>
                <w:sz w:val="18"/>
                <w:szCs w:val="18"/>
                <w:color w:val="auto"/>
              </w:rPr>
              <w:t>Balance as of December</w:t>
            </w: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40"/>
              <w:spacing w:after="0"/>
              <w:rPr>
                <w:sz w:val="20"/>
                <w:szCs w:val="20"/>
                <w:color w:val="auto"/>
              </w:rPr>
            </w:pPr>
            <w:r>
              <w:rPr>
                <w:rFonts w:ascii="Arial" w:cs="Arial" w:eastAsia="Arial" w:hAnsi="Arial"/>
                <w:sz w:val="18"/>
                <w:szCs w:val="18"/>
                <w:color w:val="auto"/>
              </w:rPr>
              <w:t>31, 2014</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$9,800</w:t>
            </w:r>
          </w:p>
        </w:tc>
        <w:tc>
          <w:tcPr>
            <w:tcW w:w="300" w:type="dxa"/>
            <w:vAlign w:val="bottom"/>
            <w:gridSpan w:val="3"/>
          </w:tcPr>
          <w:p>
            <w:pPr>
              <w:ind w:left="18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w w:val="93"/>
              </w:rPr>
              <w:t>$3,744,621</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2"/>
              </w:rPr>
              <w:t>$(2,556,469)</w:t>
            </w:r>
          </w:p>
        </w:tc>
        <w:tc>
          <w:tcPr>
            <w:tcW w:w="100" w:type="dxa"/>
            <w:vAlign w:val="bottom"/>
          </w:tcPr>
          <w:p>
            <w:pPr>
              <w:spacing w:after="0"/>
              <w:rPr>
                <w:sz w:val="20"/>
                <w:szCs w:val="20"/>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51,256</w:t>
            </w:r>
          </w:p>
        </w:tc>
        <w:tc>
          <w:tcPr>
            <w:tcW w:w="120" w:type="dxa"/>
            <w:vAlign w:val="bottom"/>
            <w:tcBorders>
              <w:right w:val="single" w:sz="8" w:color="auto"/>
            </w:tcBorders>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w w:val="90"/>
              </w:rPr>
              <w:t>$1,248,348</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declared—</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(51,320)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(51,320)</w:t>
            </w:r>
          </w:p>
        </w:tc>
        <w:tc>
          <w:tcPr>
            <w:tcW w:w="0" w:type="dxa"/>
            <w:vAlign w:val="bottom"/>
          </w:tcPr>
          <w:p>
            <w:pPr>
              <w:spacing w:after="0"/>
              <w:rPr>
                <w:sz w:val="1"/>
                <w:szCs w:val="1"/>
                <w:color w:val="auto"/>
              </w:rPr>
            </w:pPr>
          </w:p>
        </w:tc>
      </w:tr>
      <w:tr>
        <w:trPr>
          <w:trHeight w:val="229"/>
        </w:trPr>
        <w:tc>
          <w:tcPr>
            <w:tcW w:w="2120" w:type="dxa"/>
            <w:vAlign w:val="bottom"/>
          </w:tcPr>
          <w:p>
            <w:pPr>
              <w:ind w:left="40"/>
              <w:spacing w:after="0"/>
              <w:rPr>
                <w:sz w:val="20"/>
                <w:szCs w:val="20"/>
                <w:color w:val="auto"/>
              </w:rPr>
            </w:pPr>
            <w:r>
              <w:rPr>
                <w:rFonts w:ascii="Arial" w:cs="Arial" w:eastAsia="Arial" w:hAnsi="Arial"/>
                <w:sz w:val="18"/>
                <w:szCs w:val="18"/>
                <w:color w:val="auto"/>
              </w:rPr>
              <w:t>Issuance of</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20" w:type="dxa"/>
            <w:vAlign w:val="bottom"/>
          </w:tcPr>
          <w:p>
            <w:pPr>
              <w:ind w:left="40"/>
              <w:spacing w:after="0"/>
              <w:rPr>
                <w:sz w:val="20"/>
                <w:szCs w:val="20"/>
                <w:color w:val="auto"/>
              </w:rPr>
            </w:pPr>
            <w:r>
              <w:rPr>
                <w:rFonts w:ascii="Arial" w:cs="Arial" w:eastAsia="Arial" w:hAnsi="Arial"/>
                <w:sz w:val="18"/>
                <w:szCs w:val="18"/>
                <w:color w:val="auto"/>
              </w:rPr>
              <w:t>stock/restricted stock unit</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40"/>
              <w:spacing w:after="0"/>
              <w:rPr>
                <w:sz w:val="20"/>
                <w:szCs w:val="20"/>
                <w:color w:val="auto"/>
              </w:rPr>
            </w:pPr>
            <w:r>
              <w:rPr>
                <w:rFonts w:ascii="Arial" w:cs="Arial" w:eastAsia="Arial" w:hAnsi="Arial"/>
                <w:sz w:val="18"/>
                <w:szCs w:val="18"/>
                <w:color w:val="auto"/>
              </w:rPr>
              <w:t>amortization, net</w:t>
            </w:r>
          </w:p>
        </w:tc>
        <w:tc>
          <w:tcPr>
            <w:tcW w:w="14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4,961</w:t>
            </w:r>
          </w:p>
        </w:tc>
        <w:tc>
          <w:tcPr>
            <w:tcW w:w="10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4,961</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for the</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12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period</w:t>
            </w:r>
            <w:r>
              <w:rPr>
                <w:rFonts w:ascii="Arial" w:cs="Arial" w:eastAsia="Arial" w:hAnsi="Arial"/>
                <w:sz w:val="25"/>
                <w:szCs w:val="25"/>
                <w:color w:val="auto"/>
                <w:vertAlign w:val="superscript"/>
              </w:rPr>
              <w:t>(3)</w:t>
            </w:r>
          </w:p>
        </w:tc>
        <w:tc>
          <w:tcPr>
            <w:tcW w:w="14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Borders>
              <w:right w:val="single" w:sz="8" w:color="auto"/>
            </w:tcBorders>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0" w:type="dxa"/>
            <w:vAlign w:val="bottom"/>
          </w:tcPr>
          <w:p>
            <w:pPr>
              <w:spacing w:after="0"/>
              <w:rPr>
                <w:sz w:val="1"/>
                <w:szCs w:val="1"/>
                <w:color w:val="auto"/>
              </w:rPr>
            </w:pPr>
          </w:p>
        </w:tc>
      </w:tr>
      <w:tr>
        <w:trPr>
          <w:trHeight w:val="229"/>
        </w:trPr>
        <w:tc>
          <w:tcPr>
            <w:tcW w:w="2120" w:type="dxa"/>
            <w:vAlign w:val="bottom"/>
          </w:tcPr>
          <w:p>
            <w:pPr>
              <w:ind w:left="40"/>
              <w:spacing w:after="0"/>
              <w:rPr>
                <w:sz w:val="20"/>
                <w:szCs w:val="20"/>
                <w:color w:val="auto"/>
              </w:rPr>
            </w:pPr>
            <w:r>
              <w:rPr>
                <w:rFonts w:ascii="Arial" w:cs="Arial" w:eastAsia="Arial" w:hAnsi="Arial"/>
                <w:sz w:val="18"/>
                <w:szCs w:val="18"/>
                <w:color w:val="auto"/>
              </w:rPr>
              <w:t>Change in accumulated</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20" w:type="dxa"/>
            <w:vAlign w:val="bottom"/>
          </w:tcPr>
          <w:p>
            <w:pPr>
              <w:ind w:left="40"/>
              <w:spacing w:after="0"/>
              <w:rPr>
                <w:sz w:val="20"/>
                <w:szCs w:val="20"/>
                <w:color w:val="auto"/>
              </w:rPr>
            </w:pPr>
            <w:r>
              <w:rPr>
                <w:rFonts w:ascii="Arial" w:cs="Arial" w:eastAsia="Arial" w:hAnsi="Arial"/>
                <w:sz w:val="18"/>
                <w:szCs w:val="18"/>
                <w:color w:val="auto"/>
              </w:rPr>
              <w:t>other comprehensive</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40"/>
              <w:spacing w:after="0"/>
              <w:rPr>
                <w:sz w:val="20"/>
                <w:szCs w:val="20"/>
                <w:color w:val="auto"/>
              </w:rPr>
            </w:pPr>
            <w:r>
              <w:rPr>
                <w:rFonts w:ascii="Arial" w:cs="Arial" w:eastAsia="Arial" w:hAnsi="Arial"/>
                <w:sz w:val="18"/>
                <w:szCs w:val="18"/>
                <w:color w:val="auto"/>
              </w:rPr>
              <w:t>income (loss)</w:t>
            </w:r>
          </w:p>
        </w:tc>
        <w:tc>
          <w:tcPr>
            <w:tcW w:w="14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(3,880)</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stock</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(70,411)</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(70,416)</w:t>
            </w:r>
          </w:p>
        </w:tc>
        <w:tc>
          <w:tcPr>
            <w:tcW w:w="0" w:type="dxa"/>
            <w:vAlign w:val="bottom"/>
          </w:tcPr>
          <w:p>
            <w:pPr>
              <w:spacing w:after="0"/>
              <w:rPr>
                <w:sz w:val="1"/>
                <w:szCs w:val="1"/>
                <w:color w:val="auto"/>
              </w:rPr>
            </w:pPr>
          </w:p>
        </w:tc>
      </w:tr>
      <w:tr>
        <w:trPr>
          <w:trHeight w:val="243"/>
        </w:trPr>
        <w:tc>
          <w:tcPr>
            <w:tcW w:w="2120" w:type="dxa"/>
            <w:vAlign w:val="bottom"/>
          </w:tcPr>
          <w:p>
            <w:pPr>
              <w:ind w:left="40"/>
              <w:spacing w:after="0"/>
              <w:rPr>
                <w:sz w:val="20"/>
                <w:szCs w:val="20"/>
                <w:color w:val="auto"/>
              </w:rPr>
            </w:pPr>
            <w:r>
              <w:rPr>
                <w:rFonts w:ascii="Arial" w:cs="Arial" w:eastAsia="Arial" w:hAnsi="Arial"/>
                <w:sz w:val="18"/>
                <w:szCs w:val="18"/>
                <w:color w:val="auto"/>
              </w:rPr>
              <w:t>Redemption of HPUs</w:t>
            </w:r>
          </w:p>
        </w:tc>
        <w:tc>
          <w:tcPr>
            <w:tcW w:w="14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(9,800)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15,238</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(9,811)</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 in additional paid</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 capital attributable to</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12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noncontrolling interests</w:t>
            </w:r>
            <w:r>
              <w:rPr>
                <w:rFonts w:ascii="Arial" w:cs="Arial" w:eastAsia="Arial" w:hAnsi="Arial"/>
                <w:sz w:val="25"/>
                <w:szCs w:val="25"/>
                <w:color w:val="auto"/>
                <w:vertAlign w:val="superscript"/>
              </w:rPr>
              <w:t>(5)</w:t>
            </w:r>
          </w:p>
        </w:tc>
        <w:tc>
          <w:tcPr>
            <w:tcW w:w="14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(5,079)</w:t>
            </w: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9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(5,079)</w:t>
            </w:r>
          </w:p>
        </w:tc>
        <w:tc>
          <w:tcPr>
            <w:tcW w:w="0" w:type="dxa"/>
            <w:vAlign w:val="bottom"/>
          </w:tcPr>
          <w:p>
            <w:pPr>
              <w:spacing w:after="0"/>
              <w:rPr>
                <w:sz w:val="1"/>
                <w:szCs w:val="1"/>
                <w:color w:val="auto"/>
              </w:rPr>
            </w:pPr>
          </w:p>
        </w:tc>
      </w:tr>
      <w:tr>
        <w:trPr>
          <w:trHeight w:val="229"/>
        </w:trPr>
        <w:tc>
          <w:tcPr>
            <w:tcW w:w="2120" w:type="dxa"/>
            <w:vAlign w:val="bottom"/>
          </w:tcPr>
          <w:p>
            <w:pPr>
              <w:ind w:left="40"/>
              <w:spacing w:after="0"/>
              <w:rPr>
                <w:sz w:val="20"/>
                <w:szCs w:val="20"/>
                <w:color w:val="auto"/>
              </w:rPr>
            </w:pPr>
            <w:r>
              <w:rPr>
                <w:rFonts w:ascii="Arial" w:cs="Arial" w:eastAsia="Arial" w:hAnsi="Arial"/>
                <w:sz w:val="18"/>
                <w:szCs w:val="18"/>
                <w:color w:val="auto"/>
              </w:rPr>
              <w:t>Contributions from</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205</w:t>
            </w:r>
          </w:p>
        </w:tc>
        <w:tc>
          <w:tcPr>
            <w:tcW w:w="120" w:type="dxa"/>
            <w:vAlign w:val="bottom"/>
            <w:tcBorders>
              <w:right w:val="single" w:sz="8" w:color="auto"/>
            </w:tcBorders>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Distributions to</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12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noncontrolling interests</w:t>
            </w:r>
            <w:r>
              <w:rPr>
                <w:rFonts w:ascii="Arial" w:cs="Arial" w:eastAsia="Arial" w:hAnsi="Arial"/>
                <w:sz w:val="25"/>
                <w:szCs w:val="25"/>
                <w:color w:val="auto"/>
                <w:vertAlign w:val="superscript"/>
              </w:rPr>
              <w:t>(5)</w:t>
            </w:r>
          </w:p>
        </w:tc>
        <w:tc>
          <w:tcPr>
            <w:tcW w:w="14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(8,977)</w:t>
            </w:r>
          </w:p>
        </w:tc>
        <w:tc>
          <w:tcPr>
            <w:tcW w:w="120" w:type="dxa"/>
            <w:vAlign w:val="bottom"/>
            <w:tcBorders>
              <w:right w:val="single" w:sz="8" w:color="auto"/>
            </w:tcBorders>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(8,977)</w:t>
            </w:r>
          </w:p>
        </w:tc>
        <w:tc>
          <w:tcPr>
            <w:tcW w:w="0" w:type="dxa"/>
            <w:vAlign w:val="bottom"/>
          </w:tcPr>
          <w:p>
            <w:pPr>
              <w:spacing w:after="0"/>
              <w:rPr>
                <w:sz w:val="1"/>
                <w:szCs w:val="1"/>
                <w:color w:val="auto"/>
              </w:rPr>
            </w:pPr>
          </w:p>
        </w:tc>
      </w:tr>
      <w:tr>
        <w:trPr>
          <w:trHeight w:val="209"/>
        </w:trPr>
        <w:tc>
          <w:tcPr>
            <w:tcW w:w="2120" w:type="dxa"/>
            <w:vAlign w:val="bottom"/>
          </w:tcPr>
          <w:p>
            <w:pPr>
              <w:ind w:left="40"/>
              <w:spacing w:after="0"/>
              <w:rPr>
                <w:sz w:val="20"/>
                <w:szCs w:val="20"/>
                <w:color w:val="auto"/>
              </w:rPr>
            </w:pPr>
            <w:r>
              <w:rPr>
                <w:rFonts w:ascii="Arial" w:cs="Arial" w:eastAsia="Arial" w:hAnsi="Arial"/>
                <w:sz w:val="18"/>
                <w:szCs w:val="18"/>
                <w:color w:val="auto"/>
              </w:rPr>
              <w:t>Balance as of December</w:t>
            </w: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40"/>
              <w:spacing w:after="0"/>
              <w:rPr>
                <w:sz w:val="20"/>
                <w:szCs w:val="20"/>
                <w:color w:val="auto"/>
              </w:rPr>
            </w:pPr>
            <w:r>
              <w:rPr>
                <w:rFonts w:ascii="Arial" w:cs="Arial" w:eastAsia="Arial" w:hAnsi="Arial"/>
                <w:sz w:val="18"/>
                <w:szCs w:val="18"/>
                <w:color w:val="auto"/>
              </w:rPr>
              <w:t>31, 2015</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   —</w:t>
            </w:r>
          </w:p>
        </w:tc>
        <w:tc>
          <w:tcPr>
            <w:tcW w:w="300" w:type="dxa"/>
            <w:vAlign w:val="bottom"/>
            <w:gridSpan w:val="3"/>
          </w:tcPr>
          <w:p>
            <w:pPr>
              <w:ind w:left="18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w w:val="93"/>
              </w:rPr>
              <w:t>$3,689,330</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2"/>
              </w:rPr>
              <w:t>$(2,625,474)</w:t>
            </w:r>
          </w:p>
        </w:tc>
        <w:tc>
          <w:tcPr>
            <w:tcW w:w="100" w:type="dxa"/>
            <w:vAlign w:val="bottom"/>
          </w:tcPr>
          <w:p>
            <w:pPr>
              <w:spacing w:after="0"/>
              <w:rPr>
                <w:sz w:val="20"/>
                <w:szCs w:val="20"/>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(4,851)</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42,218</w:t>
            </w:r>
          </w:p>
        </w:tc>
        <w:tc>
          <w:tcPr>
            <w:tcW w:w="120" w:type="dxa"/>
            <w:vAlign w:val="bottom"/>
            <w:tcBorders>
              <w:right w:val="single" w:sz="8" w:color="auto"/>
            </w:tcBorders>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w w:val="90"/>
              </w:rPr>
              <w:t>$1,101,330</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620"/>
          </w:cols>
          <w:pgMar w:left="240" w:top="445" w:right="1039" w:bottom="1440" w:gutter="0" w:footer="0" w:header="0"/>
        </w:sectPr>
      </w:pPr>
    </w:p>
    <w:p>
      <w:pPr>
        <w:spacing w:after="0" w:line="2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0620"/>
          </w:cols>
          <w:pgMar w:left="240" w:top="445" w:right="1039" w:bottom="1440" w:gutter="0" w:footer="0" w:header="0"/>
          <w:type w:val="continuous"/>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iStar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2016</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4"/>
              </w:rPr>
              <w:t>iStar Inc. Shareholders' Equity</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Preferred</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Common</w:t>
            </w: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Additional</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Retained</w:t>
            </w:r>
          </w:p>
        </w:tc>
        <w:tc>
          <w:tcPr>
            <w:tcW w:w="114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8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6"/>
              </w:rPr>
              <w:t>Preferred</w:t>
            </w:r>
          </w:p>
        </w:tc>
        <w:tc>
          <w:tcPr>
            <w:tcW w:w="8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10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9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Stock</w:t>
            </w:r>
          </w:p>
        </w:tc>
        <w:tc>
          <w:tcPr>
            <w:tcW w:w="5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9"/>
              </w:rPr>
              <w:t>HPU's</w:t>
            </w:r>
            <w:r>
              <w:rPr>
                <w:rFonts w:ascii="Arial" w:cs="Arial" w:eastAsia="Arial" w:hAnsi="Arial"/>
                <w:sz w:val="8"/>
                <w:szCs w:val="8"/>
                <w:b w:val="1"/>
                <w:bCs w:val="1"/>
                <w:color w:val="auto"/>
                <w:w w:val="99"/>
              </w:rPr>
              <w:t>(2)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Stock at</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Paid-In</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Earnings</w:t>
            </w: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100" w:type="dxa"/>
            <w:vAlign w:val="bottom"/>
            <w:tcBorders>
              <w:right w:val="single" w:sz="8" w:color="auto"/>
            </w:tcBorders>
            <w:gridSpan w:val="3"/>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Stock</w:t>
            </w:r>
            <w:r>
              <w:rPr>
                <w:rFonts w:ascii="Arial" w:cs="Arial" w:eastAsia="Arial" w:hAnsi="Arial"/>
                <w:sz w:val="8"/>
                <w:szCs w:val="8"/>
                <w:b w:val="1"/>
                <w:bCs w:val="1"/>
                <w:color w:val="auto"/>
                <w:w w:val="95"/>
              </w:rPr>
              <w:t>(1)</w:t>
            </w:r>
          </w:p>
        </w:tc>
        <w:tc>
          <w:tcPr>
            <w:tcW w:w="8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Series J</w:t>
            </w:r>
            <w:r>
              <w:rPr>
                <w:rFonts w:ascii="Arial" w:cs="Arial" w:eastAsia="Arial" w:hAnsi="Arial"/>
                <w:sz w:val="8"/>
                <w:szCs w:val="8"/>
                <w:b w:val="1"/>
                <w:bCs w:val="1"/>
                <w:color w:val="auto"/>
                <w:w w:val="91"/>
              </w:rPr>
              <w:t>(1)</w:t>
            </w:r>
          </w:p>
        </w:tc>
        <w:tc>
          <w:tcPr>
            <w:tcW w:w="5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Par</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Capital</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(Deficit)</w:t>
            </w: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6"/>
                <w:szCs w:val="16"/>
                <w:color w:val="auto"/>
              </w:rPr>
            </w:pPr>
          </w:p>
        </w:tc>
        <w:tc>
          <w:tcPr>
            <w:tcW w:w="94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940" w:type="dxa"/>
            <w:vAlign w:val="bottom"/>
          </w:tcPr>
          <w:p>
            <w:pPr>
              <w:jc w:val="right"/>
              <w:ind w:right="173"/>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5"/>
        </w:trPr>
        <w:tc>
          <w:tcPr>
            <w:tcW w:w="2120" w:type="dxa"/>
            <w:vAlign w:val="bottom"/>
          </w:tcPr>
          <w:p>
            <w:pPr>
              <w:ind w:left="40"/>
              <w:spacing w:after="0"/>
              <w:rPr>
                <w:sz w:val="20"/>
                <w:szCs w:val="20"/>
                <w:color w:val="auto"/>
              </w:rPr>
            </w:pPr>
            <w:r>
              <w:rPr>
                <w:rFonts w:ascii="Arial" w:cs="Arial" w:eastAsia="Arial" w:hAnsi="Arial"/>
                <w:sz w:val="18"/>
                <w:szCs w:val="18"/>
                <w:color w:val="auto"/>
              </w:rPr>
              <w:t>Balance as of December</w:t>
            </w: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40"/>
              <w:spacing w:after="0"/>
              <w:rPr>
                <w:sz w:val="20"/>
                <w:szCs w:val="20"/>
                <w:color w:val="auto"/>
              </w:rPr>
            </w:pPr>
            <w:r>
              <w:rPr>
                <w:rFonts w:ascii="Arial" w:cs="Arial" w:eastAsia="Arial" w:hAnsi="Arial"/>
                <w:sz w:val="18"/>
                <w:szCs w:val="18"/>
                <w:color w:val="auto"/>
              </w:rPr>
              <w:t>31, 2015</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40" w:type="dxa"/>
            <w:vAlign w:val="bottom"/>
          </w:tcPr>
          <w:p>
            <w:pPr>
              <w:jc w:val="right"/>
              <w:ind w:right="36"/>
              <w:spacing w:after="0"/>
              <w:rPr>
                <w:sz w:val="20"/>
                <w:szCs w:val="20"/>
                <w:color w:val="auto"/>
              </w:rPr>
            </w:pPr>
            <w:r>
              <w:rPr>
                <w:rFonts w:ascii="Arial" w:cs="Arial" w:eastAsia="Arial" w:hAnsi="Arial"/>
                <w:sz w:val="18"/>
                <w:szCs w:val="18"/>
                <w:color w:val="auto"/>
                <w:w w:val="99"/>
              </w:rPr>
              <w:t>$</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320" w:type="dxa"/>
            <w:vAlign w:val="bottom"/>
            <w:gridSpan w:val="3"/>
          </w:tcPr>
          <w:p>
            <w:pPr>
              <w:ind w:left="20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w w:val="93"/>
              </w:rPr>
              <w:t>$3,689,330</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2"/>
              </w:rPr>
              <w:t>$(2,625,474)</w:t>
            </w:r>
          </w:p>
        </w:tc>
        <w:tc>
          <w:tcPr>
            <w:tcW w:w="100" w:type="dxa"/>
            <w:vAlign w:val="bottom"/>
          </w:tcPr>
          <w:p>
            <w:pPr>
              <w:spacing w:after="0"/>
              <w:rPr>
                <w:sz w:val="20"/>
                <w:szCs w:val="20"/>
                <w:color w:val="auto"/>
              </w:rPr>
            </w:pPr>
          </w:p>
        </w:tc>
        <w:tc>
          <w:tcPr>
            <w:tcW w:w="220" w:type="dxa"/>
            <w:vAlign w:val="bottom"/>
          </w:tcPr>
          <w:p>
            <w:pPr>
              <w:jc w:val="right"/>
              <w:ind w:right="2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(4,851)</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42,218</w:t>
            </w:r>
          </w:p>
        </w:tc>
        <w:tc>
          <w:tcPr>
            <w:tcW w:w="120" w:type="dxa"/>
            <w:vAlign w:val="bottom"/>
            <w:tcBorders>
              <w:right w:val="single" w:sz="8" w:color="auto"/>
            </w:tcBorders>
          </w:tcPr>
          <w:p>
            <w:pPr>
              <w:spacing w:after="0"/>
              <w:rPr>
                <w:sz w:val="20"/>
                <w:szCs w:val="20"/>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w w:val="90"/>
              </w:rPr>
              <w:t>$1,101,330</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declared—</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(51,320)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(51,320)</w:t>
            </w:r>
          </w:p>
        </w:tc>
        <w:tc>
          <w:tcPr>
            <w:tcW w:w="0" w:type="dxa"/>
            <w:vAlign w:val="bottom"/>
          </w:tcPr>
          <w:p>
            <w:pPr>
              <w:spacing w:after="0"/>
              <w:rPr>
                <w:sz w:val="1"/>
                <w:szCs w:val="1"/>
                <w:color w:val="auto"/>
              </w:rPr>
            </w:pPr>
          </w:p>
        </w:tc>
      </w:tr>
      <w:tr>
        <w:trPr>
          <w:trHeight w:val="229"/>
        </w:trPr>
        <w:tc>
          <w:tcPr>
            <w:tcW w:w="2120" w:type="dxa"/>
            <w:vAlign w:val="bottom"/>
          </w:tcPr>
          <w:p>
            <w:pPr>
              <w:ind w:left="40"/>
              <w:spacing w:after="0"/>
              <w:rPr>
                <w:sz w:val="20"/>
                <w:szCs w:val="20"/>
                <w:color w:val="auto"/>
              </w:rPr>
            </w:pPr>
            <w:r>
              <w:rPr>
                <w:rFonts w:ascii="Arial" w:cs="Arial" w:eastAsia="Arial" w:hAnsi="Arial"/>
                <w:sz w:val="18"/>
                <w:szCs w:val="18"/>
                <w:color w:val="auto"/>
              </w:rPr>
              <w:t>Issuance of</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20" w:type="dxa"/>
            <w:vAlign w:val="bottom"/>
          </w:tcPr>
          <w:p>
            <w:pPr>
              <w:ind w:left="40"/>
              <w:spacing w:after="0"/>
              <w:rPr>
                <w:sz w:val="20"/>
                <w:szCs w:val="20"/>
                <w:color w:val="auto"/>
              </w:rPr>
            </w:pPr>
            <w:r>
              <w:rPr>
                <w:rFonts w:ascii="Arial" w:cs="Arial" w:eastAsia="Arial" w:hAnsi="Arial"/>
                <w:sz w:val="18"/>
                <w:szCs w:val="18"/>
                <w:color w:val="auto"/>
              </w:rPr>
              <w:t>stock/restricted stock unit</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40"/>
              <w:spacing w:after="0"/>
              <w:rPr>
                <w:sz w:val="20"/>
                <w:szCs w:val="20"/>
                <w:color w:val="auto"/>
              </w:rPr>
            </w:pPr>
            <w:r>
              <w:rPr>
                <w:rFonts w:ascii="Arial" w:cs="Arial" w:eastAsia="Arial" w:hAnsi="Arial"/>
                <w:sz w:val="18"/>
                <w:szCs w:val="18"/>
                <w:color w:val="auto"/>
              </w:rPr>
              <w:t>amortization, net</w:t>
            </w:r>
          </w:p>
        </w:tc>
        <w:tc>
          <w:tcPr>
            <w:tcW w:w="14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2,031</w:t>
            </w:r>
          </w:p>
        </w:tc>
        <w:tc>
          <w:tcPr>
            <w:tcW w:w="10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Issuance of common stock</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 conversion of senior</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unsecured convertible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9,595</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9,596</w:t>
            </w:r>
          </w:p>
        </w:tc>
        <w:tc>
          <w:tcPr>
            <w:tcW w:w="0" w:type="dxa"/>
            <w:vAlign w:val="bottom"/>
          </w:tcPr>
          <w:p>
            <w:pPr>
              <w:spacing w:after="0"/>
              <w:rPr>
                <w:sz w:val="1"/>
                <w:szCs w:val="1"/>
                <w:color w:val="auto"/>
              </w:rPr>
            </w:pPr>
          </w:p>
        </w:tc>
      </w:tr>
      <w:tr>
        <w:trPr>
          <w:trHeight w:val="229"/>
        </w:trPr>
        <w:tc>
          <w:tcPr>
            <w:tcW w:w="2120" w:type="dxa"/>
            <w:vAlign w:val="bottom"/>
          </w:tcPr>
          <w:p>
            <w:pPr>
              <w:ind w:left="40"/>
              <w:spacing w:after="0"/>
              <w:rPr>
                <w:sz w:val="20"/>
                <w:szCs w:val="20"/>
                <w:color w:val="auto"/>
              </w:rPr>
            </w:pPr>
            <w:r>
              <w:rPr>
                <w:rFonts w:ascii="Arial" w:cs="Arial" w:eastAsia="Arial" w:hAnsi="Arial"/>
                <w:sz w:val="18"/>
                <w:szCs w:val="18"/>
                <w:color w:val="auto"/>
              </w:rPr>
              <w:t>Net income (loss) for the</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120" w:type="dxa"/>
            <w:vAlign w:val="bottom"/>
          </w:tcPr>
          <w:p>
            <w:pPr>
              <w:ind w:left="40"/>
              <w:spacing w:after="0" w:line="257" w:lineRule="exact"/>
              <w:rPr>
                <w:sz w:val="20"/>
                <w:szCs w:val="20"/>
                <w:color w:val="auto"/>
              </w:rPr>
            </w:pPr>
            <w:r>
              <w:rPr>
                <w:rFonts w:ascii="Arial" w:cs="Arial" w:eastAsia="Arial" w:hAnsi="Arial"/>
                <w:sz w:val="18"/>
                <w:szCs w:val="18"/>
                <w:color w:val="auto"/>
              </w:rPr>
              <w:t>period</w:t>
            </w:r>
            <w:r>
              <w:rPr>
                <w:rFonts w:ascii="Arial" w:cs="Arial" w:eastAsia="Arial" w:hAnsi="Arial"/>
                <w:sz w:val="25"/>
                <w:szCs w:val="25"/>
                <w:color w:val="auto"/>
                <w:vertAlign w:val="superscript"/>
              </w:rPr>
              <w:t>(3)</w:t>
            </w:r>
          </w:p>
        </w:tc>
        <w:tc>
          <w:tcPr>
            <w:tcW w:w="14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95,306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10,927</w:t>
            </w:r>
          </w:p>
        </w:tc>
        <w:tc>
          <w:tcPr>
            <w:tcW w:w="120" w:type="dxa"/>
            <w:vAlign w:val="bottom"/>
            <w:tcBorders>
              <w:right w:val="single" w:sz="8" w:color="auto"/>
            </w:tcBorders>
          </w:tcPr>
          <w:p>
            <w:pPr>
              <w:spacing w:after="0"/>
              <w:rPr>
                <w:sz w:val="22"/>
                <w:szCs w:val="22"/>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106,233</w:t>
            </w:r>
          </w:p>
        </w:tc>
        <w:tc>
          <w:tcPr>
            <w:tcW w:w="0" w:type="dxa"/>
            <w:vAlign w:val="bottom"/>
          </w:tcPr>
          <w:p>
            <w:pPr>
              <w:spacing w:after="0"/>
              <w:rPr>
                <w:sz w:val="1"/>
                <w:szCs w:val="1"/>
                <w:color w:val="auto"/>
              </w:rPr>
            </w:pPr>
          </w:p>
        </w:tc>
      </w:tr>
      <w:tr>
        <w:trPr>
          <w:trHeight w:val="229"/>
        </w:trPr>
        <w:tc>
          <w:tcPr>
            <w:tcW w:w="2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 in accumulated</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43"/>
        </w:trPr>
        <w:tc>
          <w:tcPr>
            <w:tcW w:w="2120" w:type="dxa"/>
            <w:vAlign w:val="bottom"/>
          </w:tcPr>
          <w:p>
            <w:pPr>
              <w:ind w:left="40"/>
              <w:spacing w:after="0"/>
              <w:rPr>
                <w:sz w:val="20"/>
                <w:szCs w:val="20"/>
                <w:color w:val="auto"/>
              </w:rPr>
            </w:pPr>
            <w:r>
              <w:rPr>
                <w:rFonts w:ascii="Arial" w:cs="Arial" w:eastAsia="Arial" w:hAnsi="Arial"/>
                <w:sz w:val="18"/>
                <w:szCs w:val="18"/>
                <w:color w:val="auto"/>
              </w:rPr>
              <w:t>Repurchase of stock</w:t>
            </w:r>
          </w:p>
        </w:tc>
        <w:tc>
          <w:tcPr>
            <w:tcW w:w="14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(98,419)</w:t>
            </w:r>
          </w:p>
        </w:tc>
        <w:tc>
          <w:tcPr>
            <w:tcW w:w="1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(98,429)</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 in additional paid</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 capital attributable to</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redeemable noncontrolling</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interests</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29"/>
        </w:trPr>
        <w:tc>
          <w:tcPr>
            <w:tcW w:w="2120" w:type="dxa"/>
            <w:vAlign w:val="bottom"/>
          </w:tcPr>
          <w:p>
            <w:pPr>
              <w:ind w:left="40"/>
              <w:spacing w:after="0"/>
              <w:rPr>
                <w:sz w:val="20"/>
                <w:szCs w:val="20"/>
                <w:color w:val="auto"/>
              </w:rPr>
            </w:pPr>
            <w:r>
              <w:rPr>
                <w:rFonts w:ascii="Arial" w:cs="Arial" w:eastAsia="Arial" w:hAnsi="Arial"/>
                <w:sz w:val="18"/>
                <w:szCs w:val="18"/>
                <w:color w:val="auto"/>
              </w:rPr>
              <w:t>Contributions from</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790</w:t>
            </w:r>
          </w:p>
        </w:tc>
        <w:tc>
          <w:tcPr>
            <w:tcW w:w="120" w:type="dxa"/>
            <w:vAlign w:val="bottom"/>
            <w:tcBorders>
              <w:right w:val="single" w:sz="8" w:color="auto"/>
            </w:tcBorders>
          </w:tcPr>
          <w:p>
            <w:pPr>
              <w:spacing w:after="0"/>
              <w:rPr>
                <w:sz w:val="20"/>
                <w:szCs w:val="20"/>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Distributions to</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12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noncontrolling interests</w:t>
            </w:r>
            <w:r>
              <w:rPr>
                <w:rFonts w:ascii="Arial" w:cs="Arial" w:eastAsia="Arial" w:hAnsi="Arial"/>
                <w:sz w:val="25"/>
                <w:szCs w:val="25"/>
                <w:color w:val="auto"/>
                <w:vertAlign w:val="superscript"/>
              </w:rPr>
              <w:t>(6)</w:t>
            </w:r>
          </w:p>
        </w:tc>
        <w:tc>
          <w:tcPr>
            <w:tcW w:w="14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(10,815)</w:t>
            </w:r>
          </w:p>
        </w:tc>
        <w:tc>
          <w:tcPr>
            <w:tcW w:w="120" w:type="dxa"/>
            <w:vAlign w:val="bottom"/>
            <w:tcBorders>
              <w:right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(10,815)</w:t>
            </w:r>
          </w:p>
        </w:tc>
        <w:tc>
          <w:tcPr>
            <w:tcW w:w="0" w:type="dxa"/>
            <w:vAlign w:val="bottom"/>
          </w:tcPr>
          <w:p>
            <w:pPr>
              <w:spacing w:after="0"/>
              <w:rPr>
                <w:sz w:val="1"/>
                <w:szCs w:val="1"/>
                <w:color w:val="auto"/>
              </w:rPr>
            </w:pPr>
          </w:p>
        </w:tc>
      </w:tr>
      <w:tr>
        <w:trPr>
          <w:trHeight w:val="209"/>
        </w:trPr>
        <w:tc>
          <w:tcPr>
            <w:tcW w:w="2120" w:type="dxa"/>
            <w:vAlign w:val="bottom"/>
          </w:tcPr>
          <w:p>
            <w:pPr>
              <w:ind w:left="40"/>
              <w:spacing w:after="0"/>
              <w:rPr>
                <w:sz w:val="20"/>
                <w:szCs w:val="20"/>
                <w:color w:val="auto"/>
              </w:rPr>
            </w:pPr>
            <w:r>
              <w:rPr>
                <w:rFonts w:ascii="Arial" w:cs="Arial" w:eastAsia="Arial" w:hAnsi="Arial"/>
                <w:sz w:val="18"/>
                <w:szCs w:val="18"/>
                <w:color w:val="auto"/>
              </w:rPr>
              <w:t>Balance as of December</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vMerge w:val="restart"/>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vMerge w:val="restart"/>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40" w:type="dxa"/>
            <w:vAlign w:val="bottom"/>
            <w:vMerge w:val="restart"/>
          </w:tcPr>
          <w:p>
            <w:pPr>
              <w:jc w:val="right"/>
              <w:ind w:right="36"/>
              <w:spacing w:after="0"/>
              <w:rPr>
                <w:sz w:val="20"/>
                <w:szCs w:val="20"/>
                <w:color w:val="auto"/>
              </w:rPr>
            </w:pPr>
            <w:r>
              <w:rPr>
                <w:rFonts w:ascii="Arial" w:cs="Arial" w:eastAsia="Arial" w:hAnsi="Arial"/>
                <w:sz w:val="18"/>
                <w:szCs w:val="18"/>
                <w:color w:val="auto"/>
                <w:w w:val="99"/>
              </w:rPr>
              <w:t>$</w:t>
            </w:r>
          </w:p>
        </w:tc>
        <w:tc>
          <w:tcPr>
            <w:tcW w:w="34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320" w:type="dxa"/>
            <w:vAlign w:val="bottom"/>
            <w:gridSpan w:val="3"/>
            <w:vMerge w:val="restart"/>
          </w:tcPr>
          <w:p>
            <w:pPr>
              <w:ind w:left="200"/>
              <w:spacing w:after="0"/>
              <w:rPr>
                <w:sz w:val="20"/>
                <w:szCs w:val="20"/>
                <w:color w:val="auto"/>
              </w:rPr>
            </w:pPr>
            <w:r>
              <w:rPr>
                <w:rFonts w:ascii="Arial" w:cs="Arial" w:eastAsia="Arial" w:hAnsi="Arial"/>
                <w:sz w:val="18"/>
                <w:szCs w:val="18"/>
                <w:color w:val="auto"/>
                <w:w w:val="99"/>
              </w:rPr>
              <w:t>$</w:t>
            </w:r>
          </w:p>
        </w:tc>
        <w:tc>
          <w:tcPr>
            <w:tcW w:w="480" w:type="dxa"/>
            <w:vAlign w:val="bottom"/>
            <w:vMerge w:val="restart"/>
          </w:tcPr>
          <w:p>
            <w:pPr>
              <w:jc w:val="right"/>
              <w:ind w:right="11"/>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960" w:type="dxa"/>
            <w:vAlign w:val="bottom"/>
            <w:vMerge w:val="restart"/>
          </w:tcPr>
          <w:p>
            <w:pPr>
              <w:jc w:val="right"/>
              <w:ind w:right="14"/>
              <w:spacing w:after="0"/>
              <w:rPr>
                <w:sz w:val="20"/>
                <w:szCs w:val="20"/>
                <w:color w:val="auto"/>
              </w:rPr>
            </w:pPr>
            <w:r>
              <w:rPr>
                <w:rFonts w:ascii="Arial" w:cs="Arial" w:eastAsia="Arial" w:hAnsi="Arial"/>
                <w:sz w:val="18"/>
                <w:szCs w:val="18"/>
                <w:color w:val="auto"/>
                <w:w w:val="93"/>
              </w:rPr>
              <w:t>$3,602,172</w:t>
            </w:r>
          </w:p>
        </w:tc>
        <w:tc>
          <w:tcPr>
            <w:tcW w:w="10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w w:val="92"/>
              </w:rPr>
              <w:t>$(2,581,488)</w:t>
            </w:r>
          </w:p>
        </w:tc>
        <w:tc>
          <w:tcPr>
            <w:tcW w:w="100" w:type="dxa"/>
            <w:vAlign w:val="bottom"/>
          </w:tcPr>
          <w:p>
            <w:pPr>
              <w:spacing w:after="0"/>
              <w:rPr>
                <w:sz w:val="18"/>
                <w:szCs w:val="18"/>
                <w:color w:val="auto"/>
              </w:rPr>
            </w:pPr>
          </w:p>
        </w:tc>
        <w:tc>
          <w:tcPr>
            <w:tcW w:w="220" w:type="dxa"/>
            <w:vAlign w:val="bottom"/>
            <w:vMerge w:val="restart"/>
          </w:tcPr>
          <w:p>
            <w:pPr>
              <w:jc w:val="right"/>
              <w:ind w:right="21"/>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(4,218)</w:t>
            </w:r>
          </w:p>
        </w:tc>
        <w:tc>
          <w:tcPr>
            <w:tcW w:w="120" w:type="dxa"/>
            <w:vAlign w:val="bottom"/>
          </w:tcPr>
          <w:p>
            <w:pPr>
              <w:spacing w:after="0"/>
              <w:rPr>
                <w:sz w:val="18"/>
                <w:szCs w:val="18"/>
                <w:color w:val="auto"/>
              </w:rPr>
            </w:pPr>
          </w:p>
        </w:tc>
        <w:tc>
          <w:tcPr>
            <w:tcW w:w="1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ind w:right="31"/>
              <w:spacing w:after="0"/>
              <w:rPr>
                <w:sz w:val="20"/>
                <w:szCs w:val="20"/>
                <w:color w:val="auto"/>
              </w:rPr>
            </w:pPr>
            <w:r>
              <w:rPr>
                <w:rFonts w:ascii="Arial" w:cs="Arial" w:eastAsia="Arial" w:hAnsi="Arial"/>
                <w:sz w:val="18"/>
                <w:szCs w:val="18"/>
                <w:color w:val="auto"/>
              </w:rPr>
              <w:t>43,120</w:t>
            </w:r>
          </w:p>
        </w:tc>
        <w:tc>
          <w:tcPr>
            <w:tcW w:w="120" w:type="dxa"/>
            <w:vAlign w:val="bottom"/>
          </w:tcPr>
          <w:p>
            <w:pPr>
              <w:spacing w:after="0"/>
              <w:rPr>
                <w:sz w:val="18"/>
                <w:szCs w:val="18"/>
                <w:color w:val="auto"/>
              </w:rPr>
            </w:pPr>
          </w:p>
        </w:tc>
        <w:tc>
          <w:tcPr>
            <w:tcW w:w="940" w:type="dxa"/>
            <w:vAlign w:val="bottom"/>
            <w:vMerge w:val="restart"/>
          </w:tcPr>
          <w:p>
            <w:pPr>
              <w:jc w:val="right"/>
              <w:ind w:right="13"/>
              <w:spacing w:after="0"/>
              <w:rPr>
                <w:sz w:val="20"/>
                <w:szCs w:val="20"/>
                <w:color w:val="auto"/>
              </w:rPr>
            </w:pPr>
            <w:r>
              <w:rPr>
                <w:rFonts w:ascii="Arial" w:cs="Arial" w:eastAsia="Arial" w:hAnsi="Arial"/>
                <w:sz w:val="18"/>
                <w:szCs w:val="18"/>
                <w:color w:val="auto"/>
                <w:w w:val="86"/>
              </w:rPr>
              <w:t>$ 1,059,684</w:t>
            </w:r>
          </w:p>
        </w:tc>
        <w:tc>
          <w:tcPr>
            <w:tcW w:w="0" w:type="dxa"/>
            <w:vAlign w:val="bottom"/>
          </w:tcPr>
          <w:p>
            <w:pPr>
              <w:spacing w:after="0"/>
              <w:rPr>
                <w:sz w:val="1"/>
                <w:szCs w:val="1"/>
                <w:color w:val="auto"/>
              </w:rPr>
            </w:pPr>
          </w:p>
        </w:tc>
      </w:tr>
      <w:tr>
        <w:trPr>
          <w:trHeight w:val="230"/>
        </w:trPr>
        <w:tc>
          <w:tcPr>
            <w:tcW w:w="2120" w:type="dxa"/>
            <w:vAlign w:val="bottom"/>
          </w:tcPr>
          <w:p>
            <w:pPr>
              <w:ind w:left="40"/>
              <w:spacing w:after="0"/>
              <w:rPr>
                <w:sz w:val="20"/>
                <w:szCs w:val="20"/>
                <w:color w:val="auto"/>
              </w:rPr>
            </w:pPr>
            <w:r>
              <w:rPr>
                <w:rFonts w:ascii="Arial" w:cs="Arial" w:eastAsia="Arial" w:hAnsi="Arial"/>
                <w:sz w:val="18"/>
                <w:szCs w:val="18"/>
                <w:color w:val="auto"/>
              </w:rPr>
              <w:t>31, 2016</w:t>
            </w:r>
          </w:p>
        </w:tc>
        <w:tc>
          <w:tcPr>
            <w:tcW w:w="14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340" w:type="dxa"/>
            <w:vAlign w:val="bottom"/>
            <w:vMerge w:val="continue"/>
          </w:tcPr>
          <w:p>
            <w:pPr>
              <w:spacing w:after="0"/>
              <w:rPr>
                <w:sz w:val="20"/>
                <w:szCs w:val="20"/>
                <w:color w:val="auto"/>
              </w:rPr>
            </w:pPr>
          </w:p>
        </w:tc>
        <w:tc>
          <w:tcPr>
            <w:tcW w:w="320" w:type="dxa"/>
            <w:vAlign w:val="bottom"/>
            <w:gridSpan w:val="3"/>
            <w:vMerge w:val="continue"/>
          </w:tcPr>
          <w:p>
            <w:pPr>
              <w:spacing w:after="0"/>
              <w:rPr>
                <w:sz w:val="20"/>
                <w:szCs w:val="20"/>
                <w:color w:val="auto"/>
              </w:rPr>
            </w:pPr>
          </w:p>
        </w:tc>
        <w:tc>
          <w:tcPr>
            <w:tcW w:w="4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8890</wp:posOffset>
            </wp:positionV>
            <wp:extent cx="53943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-98425</wp:posOffset>
            </wp:positionV>
            <wp:extent cx="53943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ind w:left="660" w:hanging="652"/>
        <w:spacing w:after="0"/>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Refer to Note 13 for details on the Company's Preferred Stock.</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All of the Company's outstanding HPUs were repurchased and retired on August 13, 2015 (refer to Note 13).</w:t>
      </w:r>
    </w:p>
    <w:p>
      <w:pPr>
        <w:spacing w:after="0" w:line="1" w:lineRule="exact"/>
        <w:rPr>
          <w:rFonts w:ascii="Arial" w:cs="Arial" w:eastAsia="Arial" w:hAnsi="Arial"/>
          <w:sz w:val="14"/>
          <w:szCs w:val="14"/>
          <w:color w:val="auto"/>
        </w:rPr>
      </w:pPr>
    </w:p>
    <w:p>
      <w:pPr>
        <w:ind w:left="660" w:hanging="652"/>
        <w:spacing w:after="0" w:line="241" w:lineRule="auto"/>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For the years ended December 31, 2016, 2015 and 2014 net income (loss) shown above excludes $(6,051), $(3,456) and $(1,925) of net loss attributable to redeemable noncontrolling interests.</w:t>
      </w:r>
    </w:p>
    <w:p>
      <w:pPr>
        <w:ind w:left="660" w:hanging="652"/>
        <w:spacing w:after="0"/>
        <w:tabs>
          <w:tab w:leader="none" w:pos="6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During the year ended December 31, 2014, the Company sold its 72% interest in a previously consolidated entity to one of its unconsolidated ventures (refer to Note 4 and Note 7).</w:t>
      </w:r>
    </w:p>
    <w:p>
      <w:pPr>
        <w:spacing w:after="0" w:line="12" w:lineRule="exact"/>
        <w:rPr>
          <w:rFonts w:ascii="Arial" w:cs="Arial" w:eastAsia="Arial" w:hAnsi="Arial"/>
          <w:sz w:val="13"/>
          <w:szCs w:val="13"/>
          <w:color w:val="auto"/>
        </w:rPr>
      </w:pPr>
    </w:p>
    <w:p>
      <w:pPr>
        <w:ind w:left="660" w:hanging="652"/>
        <w:spacing w:after="0"/>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a $6.4 million payment to acquire a noncontrolling interest (refer to Note 4).</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payments of $10.8 million to acquire a noncontrolling interest (refer to Note 5).</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75" w:right="25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iStar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4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6"/>
          </w:tcPr>
          <w:p>
            <w:pPr>
              <w:jc w:val="right"/>
              <w:ind w:right="77"/>
              <w:spacing w:after="0"/>
              <w:rPr>
                <w:sz w:val="20"/>
                <w:szCs w:val="20"/>
                <w:color w:val="auto"/>
              </w:rPr>
            </w:pPr>
            <w:r>
              <w:rPr>
                <w:rFonts w:ascii="Arial" w:cs="Arial" w:eastAsia="Arial" w:hAnsi="Arial"/>
                <w:sz w:val="13"/>
                <w:szCs w:val="13"/>
                <w:b w:val="1"/>
                <w:bCs w:val="1"/>
                <w:color w:val="auto"/>
              </w:rPr>
              <w:t>For the Years Ended December 31,</w:t>
            </w:r>
          </w:p>
        </w:tc>
        <w:tc>
          <w:tcPr>
            <w:tcW w:w="900" w:type="dxa"/>
            <w:vAlign w:val="bottom"/>
            <w:tcBorders>
              <w:bottom w:val="single" w:sz="8" w:color="auto"/>
            </w:tcBorders>
          </w:tcPr>
          <w:p>
            <w:pPr>
              <w:spacing w:after="0"/>
              <w:rPr>
                <w:sz w:val="15"/>
                <w:szCs w:val="15"/>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7"/>
              <w:spacing w:after="0"/>
              <w:rPr>
                <w:sz w:val="20"/>
                <w:szCs w:val="20"/>
                <w:color w:val="auto"/>
              </w:rPr>
            </w:pPr>
            <w:r>
              <w:rPr>
                <w:rFonts w:ascii="Arial" w:cs="Arial" w:eastAsia="Arial" w:hAnsi="Arial"/>
                <w:sz w:val="13"/>
                <w:szCs w:val="13"/>
                <w:b w:val="1"/>
                <w:bCs w:val="1"/>
                <w:color w:val="auto"/>
              </w:rPr>
              <w:t>2014</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Cash flows from operating activities:</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2"/>
        </w:trPr>
        <w:tc>
          <w:tcPr>
            <w:tcW w:w="7440" w:type="dxa"/>
            <w:vAlign w:val="bottom"/>
          </w:tcPr>
          <w:p>
            <w:pPr>
              <w:ind w:left="40"/>
              <w:spacing w:after="0"/>
              <w:rPr>
                <w:sz w:val="20"/>
                <w:szCs w:val="20"/>
                <w:color w:val="auto"/>
              </w:rPr>
            </w:pPr>
            <w:r>
              <w:rPr>
                <w:rFonts w:ascii="Arial" w:cs="Arial" w:eastAsia="Arial" w:hAnsi="Arial"/>
                <w:sz w:val="13"/>
                <w:szCs w:val="13"/>
                <w:color w:val="auto"/>
              </w:rPr>
              <w:t>Net income (loss)</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100,182</w:t>
            </w:r>
          </w:p>
        </w:tc>
        <w:tc>
          <w:tcPr>
            <w:tcW w:w="100" w:type="dxa"/>
            <w:vAlign w:val="bottom"/>
          </w:tcPr>
          <w:p>
            <w:pPr>
              <w:spacing w:after="0"/>
              <w:rPr>
                <w:sz w:val="22"/>
                <w:szCs w:val="22"/>
                <w:color w:val="auto"/>
              </w:rPr>
            </w:pPr>
          </w:p>
        </w:tc>
        <w:tc>
          <w:tcPr>
            <w:tcW w:w="3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(6,157)</w:t>
            </w:r>
          </w:p>
        </w:tc>
        <w:tc>
          <w:tcPr>
            <w:tcW w:w="120" w:type="dxa"/>
            <w:vAlign w:val="bottom"/>
          </w:tcPr>
          <w:p>
            <w:pPr>
              <w:spacing w:after="0"/>
              <w:rPr>
                <w:sz w:val="22"/>
                <w:szCs w:val="22"/>
                <w:color w:val="auto"/>
              </w:rPr>
            </w:pP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15,765</w:t>
            </w:r>
          </w:p>
        </w:tc>
      </w:tr>
      <w:tr>
        <w:trPr>
          <w:trHeight w:val="278"/>
        </w:trPr>
        <w:tc>
          <w:tcPr>
            <w:tcW w:w="7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 to reconcile net income (loss) to cash flows from operating activities: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2"/>
        </w:trPr>
        <w:tc>
          <w:tcPr>
            <w:tcW w:w="7440" w:type="dxa"/>
            <w:vAlign w:val="bottom"/>
          </w:tcPr>
          <w:p>
            <w:pPr>
              <w:ind w:left="180"/>
              <w:spacing w:after="0"/>
              <w:rPr>
                <w:sz w:val="20"/>
                <w:szCs w:val="20"/>
                <w:color w:val="auto"/>
              </w:rPr>
            </w:pPr>
            <w:r>
              <w:rPr>
                <w:rFonts w:ascii="Arial" w:cs="Arial" w:eastAsia="Arial" w:hAnsi="Arial"/>
                <w:sz w:val="13"/>
                <w:szCs w:val="13"/>
                <w:color w:val="auto"/>
              </w:rPr>
              <w:t>(Recovery of) provision for loan losses</w:t>
            </w:r>
          </w:p>
        </w:tc>
        <w:tc>
          <w:tcPr>
            <w:tcW w:w="30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(12,514)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36,567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(1,714)</w:t>
            </w:r>
          </w:p>
        </w:tc>
      </w:tr>
      <w:tr>
        <w:trPr>
          <w:trHeight w:val="278"/>
        </w:trPr>
        <w:tc>
          <w:tcPr>
            <w:tcW w:w="74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Impairment of assets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14,484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10,524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34,634</w:t>
            </w:r>
          </w:p>
        </w:tc>
      </w:tr>
      <w:tr>
        <w:trPr>
          <w:trHeight w:val="262"/>
        </w:trPr>
        <w:tc>
          <w:tcPr>
            <w:tcW w:w="7440" w:type="dxa"/>
            <w:vAlign w:val="bottom"/>
          </w:tcPr>
          <w:p>
            <w:pPr>
              <w:ind w:left="180"/>
              <w:spacing w:after="0"/>
              <w:rPr>
                <w:sz w:val="20"/>
                <w:szCs w:val="20"/>
                <w:color w:val="auto"/>
              </w:rPr>
            </w:pPr>
            <w:r>
              <w:rPr>
                <w:rFonts w:ascii="Arial" w:cs="Arial" w:eastAsia="Arial" w:hAnsi="Arial"/>
                <w:sz w:val="13"/>
                <w:szCs w:val="13"/>
                <w:color w:val="auto"/>
              </w:rPr>
              <w:t>Depreciation and amortization</w:t>
            </w:r>
          </w:p>
        </w:tc>
        <w:tc>
          <w:tcPr>
            <w:tcW w:w="30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54,329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65,247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73,571</w:t>
            </w:r>
          </w:p>
        </w:tc>
      </w:tr>
      <w:tr>
        <w:trPr>
          <w:trHeight w:val="278"/>
        </w:trPr>
        <w:tc>
          <w:tcPr>
            <w:tcW w:w="74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Payments for withholding taxes upon vesting of stock-based compensation</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(1,451)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(21,250)</w:t>
            </w:r>
          </w:p>
        </w:tc>
      </w:tr>
      <w:tr>
        <w:trPr>
          <w:trHeight w:val="262"/>
        </w:trPr>
        <w:tc>
          <w:tcPr>
            <w:tcW w:w="7440" w:type="dxa"/>
            <w:vAlign w:val="bottom"/>
          </w:tcPr>
          <w:p>
            <w:pPr>
              <w:ind w:left="180"/>
              <w:spacing w:after="0"/>
              <w:rPr>
                <w:sz w:val="20"/>
                <w:szCs w:val="20"/>
                <w:color w:val="auto"/>
              </w:rPr>
            </w:pPr>
            <w:r>
              <w:rPr>
                <w:rFonts w:ascii="Arial" w:cs="Arial" w:eastAsia="Arial" w:hAnsi="Arial"/>
                <w:sz w:val="13"/>
                <w:szCs w:val="13"/>
                <w:color w:val="auto"/>
              </w:rPr>
              <w:t>Non-cash expense for stock-based compensation</w:t>
            </w:r>
          </w:p>
        </w:tc>
        <w:tc>
          <w:tcPr>
            <w:tcW w:w="30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10,889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12,013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13,314</w:t>
            </w:r>
          </w:p>
        </w:tc>
      </w:tr>
      <w:tr>
        <w:trPr>
          <w:trHeight w:val="278"/>
        </w:trPr>
        <w:tc>
          <w:tcPr>
            <w:tcW w:w="74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Amortization of discounts/premiums and deferred financing costs on debt obligations, net</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16,810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17,352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16,891</w:t>
            </w:r>
          </w:p>
        </w:tc>
      </w:tr>
      <w:tr>
        <w:trPr>
          <w:trHeight w:val="262"/>
        </w:trPr>
        <w:tc>
          <w:tcPr>
            <w:tcW w:w="7440" w:type="dxa"/>
            <w:vAlign w:val="bottom"/>
          </w:tcPr>
          <w:p>
            <w:pPr>
              <w:ind w:left="180"/>
              <w:spacing w:after="0"/>
              <w:rPr>
                <w:sz w:val="20"/>
                <w:szCs w:val="20"/>
                <w:color w:val="auto"/>
              </w:rPr>
            </w:pPr>
            <w:r>
              <w:rPr>
                <w:rFonts w:ascii="Arial" w:cs="Arial" w:eastAsia="Arial" w:hAnsi="Arial"/>
                <w:sz w:val="13"/>
                <w:szCs w:val="13"/>
                <w:color w:val="auto"/>
              </w:rPr>
              <w:t>Amortization of discounts/premiums on loans, net</w:t>
            </w:r>
          </w:p>
        </w:tc>
        <w:tc>
          <w:tcPr>
            <w:tcW w:w="30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(14,873)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(11,606)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(12,367)</w:t>
            </w:r>
          </w:p>
        </w:tc>
      </w:tr>
      <w:tr>
        <w:trPr>
          <w:trHeight w:val="278"/>
        </w:trPr>
        <w:tc>
          <w:tcPr>
            <w:tcW w:w="74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Deferred interest on loans, net</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22,396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(34,458)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(22,196)</w:t>
            </w:r>
          </w:p>
        </w:tc>
      </w:tr>
      <w:tr>
        <w:trPr>
          <w:trHeight w:val="262"/>
        </w:trPr>
        <w:tc>
          <w:tcPr>
            <w:tcW w:w="7440" w:type="dxa"/>
            <w:vAlign w:val="bottom"/>
          </w:tcPr>
          <w:p>
            <w:pPr>
              <w:ind w:left="180"/>
              <w:spacing w:after="0"/>
              <w:rPr>
                <w:sz w:val="20"/>
                <w:szCs w:val="20"/>
                <w:color w:val="auto"/>
              </w:rPr>
            </w:pPr>
            <w:r>
              <w:rPr>
                <w:rFonts w:ascii="Arial" w:cs="Arial" w:eastAsia="Arial" w:hAnsi="Arial"/>
                <w:sz w:val="13"/>
                <w:szCs w:val="13"/>
                <w:color w:val="auto"/>
              </w:rPr>
              <w:t>Gain from sales of loans</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(19,067)</w:t>
            </w:r>
          </w:p>
        </w:tc>
      </w:tr>
      <w:tr>
        <w:trPr>
          <w:trHeight w:val="278"/>
        </w:trPr>
        <w:tc>
          <w:tcPr>
            <w:tcW w:w="74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Earnings from equity method investments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(77,349)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(32,153)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(94,905)</w:t>
            </w:r>
          </w:p>
        </w:tc>
      </w:tr>
      <w:tr>
        <w:trPr>
          <w:trHeight w:val="262"/>
        </w:trPr>
        <w:tc>
          <w:tcPr>
            <w:tcW w:w="7440" w:type="dxa"/>
            <w:vAlign w:val="bottom"/>
          </w:tcPr>
          <w:p>
            <w:pPr>
              <w:ind w:left="180"/>
              <w:spacing w:after="0"/>
              <w:rPr>
                <w:sz w:val="20"/>
                <w:szCs w:val="20"/>
                <w:color w:val="auto"/>
              </w:rPr>
            </w:pPr>
            <w:r>
              <w:rPr>
                <w:rFonts w:ascii="Arial" w:cs="Arial" w:eastAsia="Arial" w:hAnsi="Arial"/>
                <w:sz w:val="13"/>
                <w:szCs w:val="13"/>
                <w:color w:val="auto"/>
              </w:rPr>
              <w:t>Distributions from operations of other investments</w:t>
            </w:r>
          </w:p>
        </w:tc>
        <w:tc>
          <w:tcPr>
            <w:tcW w:w="30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48,732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29,999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80,116</w:t>
            </w:r>
          </w:p>
        </w:tc>
      </w:tr>
      <w:tr>
        <w:trPr>
          <w:trHeight w:val="278"/>
        </w:trPr>
        <w:tc>
          <w:tcPr>
            <w:tcW w:w="74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Deferred operating lease income</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(9,921)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(7,950)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(8,492)</w:t>
            </w:r>
          </w:p>
        </w:tc>
      </w:tr>
      <w:tr>
        <w:trPr>
          <w:trHeight w:val="262"/>
        </w:trPr>
        <w:tc>
          <w:tcPr>
            <w:tcW w:w="7440" w:type="dxa"/>
            <w:vAlign w:val="bottom"/>
          </w:tcPr>
          <w:p>
            <w:pPr>
              <w:ind w:left="180"/>
              <w:spacing w:after="0"/>
              <w:rPr>
                <w:sz w:val="20"/>
                <w:szCs w:val="20"/>
                <w:color w:val="auto"/>
              </w:rPr>
            </w:pPr>
            <w:r>
              <w:rPr>
                <w:rFonts w:ascii="Arial" w:cs="Arial" w:eastAsia="Arial" w:hAnsi="Arial"/>
                <w:sz w:val="13"/>
                <w:szCs w:val="13"/>
                <w:color w:val="auto"/>
              </w:rPr>
              <w:t>Income from sales of real estate</w:t>
            </w:r>
          </w:p>
        </w:tc>
        <w:tc>
          <w:tcPr>
            <w:tcW w:w="30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(105,296)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(93,816)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(89,943)</w:t>
            </w:r>
          </w:p>
        </w:tc>
      </w:tr>
      <w:tr>
        <w:trPr>
          <w:trHeight w:val="278"/>
        </w:trPr>
        <w:tc>
          <w:tcPr>
            <w:tcW w:w="74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Land development revenue in excess of cost of sales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(26,333)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(32,834)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(2,351)</w:t>
            </w:r>
          </w:p>
        </w:tc>
      </w:tr>
      <w:tr>
        <w:trPr>
          <w:trHeight w:val="262"/>
        </w:trPr>
        <w:tc>
          <w:tcPr>
            <w:tcW w:w="7440" w:type="dxa"/>
            <w:vAlign w:val="bottom"/>
          </w:tcPr>
          <w:p>
            <w:pPr>
              <w:ind w:left="180"/>
              <w:spacing w:after="0"/>
              <w:rPr>
                <w:sz w:val="20"/>
                <w:szCs w:val="20"/>
                <w:color w:val="auto"/>
              </w:rPr>
            </w:pPr>
            <w:r>
              <w:rPr>
                <w:rFonts w:ascii="Arial" w:cs="Arial" w:eastAsia="Arial" w:hAnsi="Arial"/>
                <w:sz w:val="13"/>
                <w:szCs w:val="13"/>
                <w:color w:val="auto"/>
              </w:rPr>
              <w:t>Loss on early extinguishment of debt, net</w:t>
            </w:r>
          </w:p>
        </w:tc>
        <w:tc>
          <w:tcPr>
            <w:tcW w:w="30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1,619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281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25,369</w:t>
            </w:r>
          </w:p>
        </w:tc>
      </w:tr>
      <w:tr>
        <w:trPr>
          <w:trHeight w:val="278"/>
        </w:trPr>
        <w:tc>
          <w:tcPr>
            <w:tcW w:w="74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Debt discount on repayments and repurchases of debt obligations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(5,381)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(14,888)</w:t>
            </w:r>
          </w:p>
        </w:tc>
      </w:tr>
      <w:tr>
        <w:trPr>
          <w:trHeight w:val="262"/>
        </w:trPr>
        <w:tc>
          <w:tcPr>
            <w:tcW w:w="7440" w:type="dxa"/>
            <w:vAlign w:val="bottom"/>
          </w:tcPr>
          <w:p>
            <w:pPr>
              <w:ind w:left="180"/>
              <w:spacing w:after="0"/>
              <w:rPr>
                <w:sz w:val="20"/>
                <w:szCs w:val="20"/>
                <w:color w:val="auto"/>
              </w:rPr>
            </w:pPr>
            <w:r>
              <w:rPr>
                <w:rFonts w:ascii="Arial" w:cs="Arial" w:eastAsia="Arial" w:hAnsi="Arial"/>
                <w:sz w:val="13"/>
                <w:szCs w:val="13"/>
                <w:color w:val="auto"/>
              </w:rPr>
              <w:t>Other operating activities, net</w:t>
            </w:r>
          </w:p>
        </w:tc>
        <w:tc>
          <w:tcPr>
            <w:tcW w:w="30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6,897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5,889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6,751</w:t>
            </w:r>
          </w:p>
        </w:tc>
      </w:tr>
      <w:tr>
        <w:trPr>
          <w:trHeight w:val="278"/>
        </w:trPr>
        <w:tc>
          <w:tcPr>
            <w:tcW w:w="74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Changes in assets and liabilities: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2"/>
        </w:trPr>
        <w:tc>
          <w:tcPr>
            <w:tcW w:w="7440" w:type="dxa"/>
            <w:vAlign w:val="bottom"/>
          </w:tcPr>
          <w:p>
            <w:pPr>
              <w:ind w:left="280"/>
              <w:spacing w:after="0"/>
              <w:rPr>
                <w:sz w:val="20"/>
                <w:szCs w:val="20"/>
                <w:color w:val="auto"/>
              </w:rPr>
            </w:pPr>
            <w:r>
              <w:rPr>
                <w:rFonts w:ascii="Arial" w:cs="Arial" w:eastAsia="Arial" w:hAnsi="Arial"/>
                <w:sz w:val="13"/>
                <w:szCs w:val="13"/>
                <w:color w:val="auto"/>
              </w:rPr>
              <w:t>Changes in accrued interest and operating lease income receivable, net</w:t>
            </w:r>
          </w:p>
        </w:tc>
        <w:tc>
          <w:tcPr>
            <w:tcW w:w="30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3,634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(2,068)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(1,426)</w:t>
            </w:r>
          </w:p>
        </w:tc>
      </w:tr>
      <w:tr>
        <w:trPr>
          <w:trHeight w:val="278"/>
        </w:trPr>
        <w:tc>
          <w:tcPr>
            <w:tcW w:w="74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Changes in deferred expenses and other assets, net</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(6,397)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2,631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4,601</w:t>
            </w:r>
          </w:p>
        </w:tc>
      </w:tr>
      <w:tr>
        <w:trPr>
          <w:trHeight w:val="264"/>
        </w:trPr>
        <w:tc>
          <w:tcPr>
            <w:tcW w:w="744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Changes in accounts payable, accrued expenses and other liabilities, net</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(453)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(17,112)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7,245</w:t>
            </w:r>
          </w:p>
        </w:tc>
      </w:tr>
      <w:tr>
        <w:trPr>
          <w:trHeight w:val="257"/>
        </w:trPr>
        <w:tc>
          <w:tcPr>
            <w:tcW w:w="74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Cash flows provided by (used in) operating activities</w:t>
            </w: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20,004</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(59,947)</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(10,342)</w:t>
            </w:r>
          </w:p>
        </w:tc>
      </w:tr>
      <w:tr>
        <w:trPr>
          <w:trHeight w:val="256"/>
        </w:trPr>
        <w:tc>
          <w:tcPr>
            <w:tcW w:w="7440" w:type="dxa"/>
            <w:vAlign w:val="bottom"/>
          </w:tcPr>
          <w:p>
            <w:pPr>
              <w:ind w:left="40"/>
              <w:spacing w:after="0"/>
              <w:rPr>
                <w:sz w:val="20"/>
                <w:szCs w:val="20"/>
                <w:color w:val="auto"/>
              </w:rPr>
            </w:pPr>
            <w:r>
              <w:rPr>
                <w:rFonts w:ascii="Arial" w:cs="Arial" w:eastAsia="Arial" w:hAnsi="Arial"/>
                <w:sz w:val="13"/>
                <w:szCs w:val="13"/>
                <w:color w:val="auto"/>
              </w:rPr>
              <w:t>Cash flows from investing activities:</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8"/>
        </w:trPr>
        <w:tc>
          <w:tcPr>
            <w:tcW w:w="74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Originations and fundings of loans receivable, net</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(410,975)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(478,822)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(622,428)</w:t>
            </w:r>
          </w:p>
        </w:tc>
      </w:tr>
      <w:tr>
        <w:trPr>
          <w:trHeight w:val="262"/>
        </w:trPr>
        <w:tc>
          <w:tcPr>
            <w:tcW w:w="7440" w:type="dxa"/>
            <w:vAlign w:val="bottom"/>
          </w:tcPr>
          <w:p>
            <w:pPr>
              <w:ind w:left="180"/>
              <w:spacing w:after="0"/>
              <w:rPr>
                <w:sz w:val="20"/>
                <w:szCs w:val="20"/>
                <w:color w:val="auto"/>
              </w:rPr>
            </w:pPr>
            <w:r>
              <w:rPr>
                <w:rFonts w:ascii="Arial" w:cs="Arial" w:eastAsia="Arial" w:hAnsi="Arial"/>
                <w:sz w:val="13"/>
                <w:szCs w:val="13"/>
                <w:color w:val="auto"/>
              </w:rPr>
              <w:t>Capital expenditures on real estate assets</w:t>
            </w:r>
          </w:p>
        </w:tc>
        <w:tc>
          <w:tcPr>
            <w:tcW w:w="30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(69,810)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(81,525)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(68,464)</w:t>
            </w:r>
          </w:p>
        </w:tc>
      </w:tr>
      <w:tr>
        <w:trPr>
          <w:trHeight w:val="278"/>
        </w:trPr>
        <w:tc>
          <w:tcPr>
            <w:tcW w:w="74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Capital expenditures on land and development assets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(103,806)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(88,219)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(74,323)</w:t>
            </w:r>
          </w:p>
        </w:tc>
      </w:tr>
      <w:tr>
        <w:trPr>
          <w:trHeight w:val="262"/>
        </w:trPr>
        <w:tc>
          <w:tcPr>
            <w:tcW w:w="7440" w:type="dxa"/>
            <w:vAlign w:val="bottom"/>
          </w:tcPr>
          <w:p>
            <w:pPr>
              <w:ind w:left="180"/>
              <w:spacing w:after="0"/>
              <w:rPr>
                <w:sz w:val="20"/>
                <w:szCs w:val="20"/>
                <w:color w:val="auto"/>
              </w:rPr>
            </w:pPr>
            <w:r>
              <w:rPr>
                <w:rFonts w:ascii="Arial" w:cs="Arial" w:eastAsia="Arial" w:hAnsi="Arial"/>
                <w:sz w:val="13"/>
                <w:szCs w:val="13"/>
                <w:color w:val="auto"/>
              </w:rPr>
              <w:t>Acquisitions of real estate assets</w:t>
            </w:r>
          </w:p>
        </w:tc>
        <w:tc>
          <w:tcPr>
            <w:tcW w:w="30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(38,433)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(4,666)</w:t>
            </w:r>
          </w:p>
        </w:tc>
      </w:tr>
      <w:tr>
        <w:trPr>
          <w:trHeight w:val="278"/>
        </w:trPr>
        <w:tc>
          <w:tcPr>
            <w:tcW w:w="74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Repayments of and principal collections on loans receivable and other lending investments, net</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504,844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273,454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512,528</w:t>
            </w:r>
          </w:p>
        </w:tc>
      </w:tr>
      <w:tr>
        <w:trPr>
          <w:trHeight w:val="262"/>
        </w:trPr>
        <w:tc>
          <w:tcPr>
            <w:tcW w:w="7440" w:type="dxa"/>
            <w:vAlign w:val="bottom"/>
          </w:tcPr>
          <w:p>
            <w:pPr>
              <w:ind w:left="180"/>
              <w:spacing w:after="0"/>
              <w:rPr>
                <w:sz w:val="20"/>
                <w:szCs w:val="20"/>
                <w:color w:val="auto"/>
              </w:rPr>
            </w:pPr>
            <w:r>
              <w:rPr>
                <w:rFonts w:ascii="Arial" w:cs="Arial" w:eastAsia="Arial" w:hAnsi="Arial"/>
                <w:sz w:val="13"/>
                <w:szCs w:val="13"/>
                <w:color w:val="auto"/>
              </w:rPr>
              <w:t>Net proceeds from sales of loans receivable</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2"/>
                <w:szCs w:val="22"/>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6,655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65,438</w:t>
            </w:r>
          </w:p>
        </w:tc>
      </w:tr>
      <w:tr>
        <w:trPr>
          <w:trHeight w:val="278"/>
        </w:trPr>
        <w:tc>
          <w:tcPr>
            <w:tcW w:w="74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proceeds from sales of real estate</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435,560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362,530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404,336</w:t>
            </w:r>
          </w:p>
        </w:tc>
      </w:tr>
      <w:tr>
        <w:trPr>
          <w:trHeight w:val="262"/>
        </w:trPr>
        <w:tc>
          <w:tcPr>
            <w:tcW w:w="7440" w:type="dxa"/>
            <w:vAlign w:val="bottom"/>
          </w:tcPr>
          <w:p>
            <w:pPr>
              <w:ind w:left="180"/>
              <w:spacing w:after="0"/>
              <w:rPr>
                <w:sz w:val="20"/>
                <w:szCs w:val="20"/>
                <w:color w:val="auto"/>
              </w:rPr>
            </w:pPr>
            <w:r>
              <w:rPr>
                <w:rFonts w:ascii="Arial" w:cs="Arial" w:eastAsia="Arial" w:hAnsi="Arial"/>
                <w:sz w:val="13"/>
                <w:szCs w:val="13"/>
                <w:color w:val="auto"/>
              </w:rPr>
              <w:t>Net proceeds from sales of land and development assets</w:t>
            </w:r>
          </w:p>
        </w:tc>
        <w:tc>
          <w:tcPr>
            <w:tcW w:w="30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94,424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81,601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15,191</w:t>
            </w:r>
          </w:p>
        </w:tc>
      </w:tr>
      <w:tr>
        <w:trPr>
          <w:trHeight w:val="278"/>
        </w:trPr>
        <w:tc>
          <w:tcPr>
            <w:tcW w:w="74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proceeds from sale of other investments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43,936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7440" w:type="dxa"/>
            <w:vAlign w:val="bottom"/>
          </w:tcPr>
          <w:p>
            <w:pPr>
              <w:ind w:left="180"/>
              <w:spacing w:after="0"/>
              <w:rPr>
                <w:sz w:val="20"/>
                <w:szCs w:val="20"/>
                <w:color w:val="auto"/>
              </w:rPr>
            </w:pPr>
            <w:r>
              <w:rPr>
                <w:rFonts w:ascii="Arial" w:cs="Arial" w:eastAsia="Arial" w:hAnsi="Arial"/>
                <w:sz w:val="13"/>
                <w:szCs w:val="13"/>
                <w:color w:val="auto"/>
              </w:rPr>
              <w:t>Distributions from other investments</w:t>
            </w:r>
          </w:p>
        </w:tc>
        <w:tc>
          <w:tcPr>
            <w:tcW w:w="30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92,482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119,854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61,031</w:t>
            </w:r>
          </w:p>
        </w:tc>
      </w:tr>
      <w:tr>
        <w:trPr>
          <w:trHeight w:val="278"/>
        </w:trPr>
        <w:tc>
          <w:tcPr>
            <w:tcW w:w="74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Contributions to other investments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(58,197)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(11,531)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(159,424)</w:t>
            </w:r>
          </w:p>
        </w:tc>
      </w:tr>
      <w:tr>
        <w:trPr>
          <w:trHeight w:val="262"/>
        </w:trPr>
        <w:tc>
          <w:tcPr>
            <w:tcW w:w="7440" w:type="dxa"/>
            <w:vAlign w:val="bottom"/>
          </w:tcPr>
          <w:p>
            <w:pPr>
              <w:ind w:left="180"/>
              <w:spacing w:after="0"/>
              <w:rPr>
                <w:sz w:val="20"/>
                <w:szCs w:val="20"/>
                <w:color w:val="auto"/>
              </w:rPr>
            </w:pPr>
            <w:r>
              <w:rPr>
                <w:rFonts w:ascii="Arial" w:cs="Arial" w:eastAsia="Arial" w:hAnsi="Arial"/>
                <w:sz w:val="13"/>
                <w:szCs w:val="13"/>
                <w:color w:val="auto"/>
              </w:rPr>
              <w:t>Changes in restricted cash held in connection with investing activities</w:t>
            </w:r>
          </w:p>
        </w:tc>
        <w:tc>
          <w:tcPr>
            <w:tcW w:w="30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1,515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(7,550)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29,283</w:t>
            </w:r>
          </w:p>
        </w:tc>
      </w:tr>
      <w:tr>
        <w:trPr>
          <w:trHeight w:val="272"/>
        </w:trPr>
        <w:tc>
          <w:tcPr>
            <w:tcW w:w="74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investing activities, net</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(24,997)</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7,581</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1,291</w:t>
            </w:r>
          </w:p>
        </w:tc>
      </w:tr>
      <w:tr>
        <w:trPr>
          <w:trHeight w:val="250"/>
        </w:trPr>
        <w:tc>
          <w:tcPr>
            <w:tcW w:w="744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Cash flows provided by investing activities</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466,543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184,028</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159,793</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Cash flows from financing activities:</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2"/>
        </w:trPr>
        <w:tc>
          <w:tcPr>
            <w:tcW w:w="7440" w:type="dxa"/>
            <w:vAlign w:val="bottom"/>
          </w:tcPr>
          <w:p>
            <w:pPr>
              <w:ind w:left="180"/>
              <w:spacing w:after="0"/>
              <w:rPr>
                <w:sz w:val="20"/>
                <w:szCs w:val="20"/>
                <w:color w:val="auto"/>
              </w:rPr>
            </w:pPr>
            <w:r>
              <w:rPr>
                <w:rFonts w:ascii="Arial" w:cs="Arial" w:eastAsia="Arial" w:hAnsi="Arial"/>
                <w:sz w:val="13"/>
                <w:szCs w:val="13"/>
                <w:color w:val="auto"/>
              </w:rPr>
              <w:t>Borrowings from debt obligations</w:t>
            </w:r>
          </w:p>
        </w:tc>
        <w:tc>
          <w:tcPr>
            <w:tcW w:w="30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716,001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549,000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1,349,822</w:t>
            </w:r>
          </w:p>
        </w:tc>
      </w:tr>
      <w:tr>
        <w:trPr>
          <w:trHeight w:val="278"/>
        </w:trPr>
        <w:tc>
          <w:tcPr>
            <w:tcW w:w="74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Repayments and repurchases of debt obligations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(1,437,557)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(432,383)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(1,471,174)</w:t>
            </w:r>
          </w:p>
        </w:tc>
      </w:tr>
      <w:tr>
        <w:trPr>
          <w:trHeight w:val="262"/>
        </w:trPr>
        <w:tc>
          <w:tcPr>
            <w:tcW w:w="7440" w:type="dxa"/>
            <w:vAlign w:val="bottom"/>
          </w:tcPr>
          <w:p>
            <w:pPr>
              <w:ind w:left="180"/>
              <w:spacing w:after="0"/>
              <w:rPr>
                <w:sz w:val="20"/>
                <w:szCs w:val="20"/>
                <w:color w:val="auto"/>
              </w:rPr>
            </w:pPr>
            <w:r>
              <w:rPr>
                <w:rFonts w:ascii="Arial" w:cs="Arial" w:eastAsia="Arial" w:hAnsi="Arial"/>
                <w:sz w:val="13"/>
                <w:szCs w:val="13"/>
                <w:color w:val="auto"/>
              </w:rPr>
              <w:t>Proceeds from loan participations payable</w:t>
            </w:r>
          </w:p>
        </w:tc>
        <w:tc>
          <w:tcPr>
            <w:tcW w:w="30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22,844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138,075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74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Preferred dividends paid</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(51,320)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(51,320)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(51,320)</w:t>
            </w:r>
          </w:p>
        </w:tc>
      </w:tr>
      <w:tr>
        <w:trPr>
          <w:trHeight w:val="262"/>
        </w:trPr>
        <w:tc>
          <w:tcPr>
            <w:tcW w:w="7440" w:type="dxa"/>
            <w:vAlign w:val="bottom"/>
          </w:tcPr>
          <w:p>
            <w:pPr>
              <w:ind w:left="180"/>
              <w:spacing w:after="0"/>
              <w:rPr>
                <w:sz w:val="20"/>
                <w:szCs w:val="20"/>
                <w:color w:val="auto"/>
              </w:rPr>
            </w:pPr>
            <w:r>
              <w:rPr>
                <w:rFonts w:ascii="Arial" w:cs="Arial" w:eastAsia="Arial" w:hAnsi="Arial"/>
                <w:sz w:val="13"/>
                <w:szCs w:val="13"/>
                <w:color w:val="auto"/>
              </w:rPr>
              <w:t>Repurchase of stock</w:t>
            </w:r>
          </w:p>
        </w:tc>
        <w:tc>
          <w:tcPr>
            <w:tcW w:w="30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(99,335)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(69,511)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74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Redemption of HPUs</w:t>
            </w: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(9,811)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7440" w:type="dxa"/>
            <w:vAlign w:val="bottom"/>
          </w:tcPr>
          <w:p>
            <w:pPr>
              <w:ind w:left="180"/>
              <w:spacing w:after="0"/>
              <w:rPr>
                <w:sz w:val="20"/>
                <w:szCs w:val="20"/>
                <w:color w:val="auto"/>
              </w:rPr>
            </w:pPr>
            <w:r>
              <w:rPr>
                <w:rFonts w:ascii="Arial" w:cs="Arial" w:eastAsia="Arial" w:hAnsi="Arial"/>
                <w:sz w:val="13"/>
                <w:szCs w:val="13"/>
                <w:color w:val="auto"/>
              </w:rPr>
              <w:t>Payments for deferred financing costs</w:t>
            </w:r>
          </w:p>
        </w:tc>
        <w:tc>
          <w:tcPr>
            <w:tcW w:w="30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(9,980)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(2,255)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(19,595)</w:t>
            </w:r>
          </w:p>
        </w:tc>
      </w:tr>
      <w:tr>
        <w:trPr>
          <w:trHeight w:val="272"/>
        </w:trPr>
        <w:tc>
          <w:tcPr>
            <w:tcW w:w="74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financing activities, net</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(9,564)</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(7,314)</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1,309</w:t>
            </w:r>
          </w:p>
        </w:tc>
      </w:tr>
      <w:tr>
        <w:trPr>
          <w:trHeight w:val="250"/>
        </w:trPr>
        <w:tc>
          <w:tcPr>
            <w:tcW w:w="744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Cash flows provided by (used in) financing activities</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(868,911)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114,481</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(190,958)</w:t>
            </w:r>
          </w:p>
        </w:tc>
      </w:tr>
      <w:tr>
        <w:trPr>
          <w:trHeight w:val="250"/>
        </w:trPr>
        <w:tc>
          <w:tcPr>
            <w:tcW w:w="74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Effect of exchange rate changes on cash</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478</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49"/>
        </w:trPr>
        <w:tc>
          <w:tcPr>
            <w:tcW w:w="7440" w:type="dxa"/>
            <w:vAlign w:val="bottom"/>
          </w:tcPr>
          <w:p>
            <w:pPr>
              <w:ind w:left="180"/>
              <w:spacing w:after="0"/>
              <w:rPr>
                <w:sz w:val="20"/>
                <w:szCs w:val="20"/>
                <w:color w:val="auto"/>
              </w:rPr>
            </w:pPr>
            <w:r>
              <w:rPr>
                <w:rFonts w:ascii="Arial" w:cs="Arial" w:eastAsia="Arial" w:hAnsi="Arial"/>
                <w:sz w:val="13"/>
                <w:szCs w:val="13"/>
                <w:color w:val="auto"/>
              </w:rPr>
              <w:t>Changes in cash and cash equivalents</w:t>
            </w:r>
          </w:p>
        </w:tc>
        <w:tc>
          <w:tcPr>
            <w:tcW w:w="30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(382,357)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239,040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(41,507)</w:t>
            </w:r>
          </w:p>
        </w:tc>
      </w:tr>
      <w:tr>
        <w:trPr>
          <w:trHeight w:val="272"/>
        </w:trPr>
        <w:tc>
          <w:tcPr>
            <w:tcW w:w="74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Cash and cash equivalents at beginning of period</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711,101</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472,061</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513,568</w:t>
            </w:r>
          </w:p>
        </w:tc>
      </w:tr>
      <w:tr>
        <w:trPr>
          <w:trHeight w:val="282"/>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Cash and cash equivalents at end of period</w:t>
            </w:r>
          </w:p>
        </w:tc>
        <w:tc>
          <w:tcPr>
            <w:tcW w:w="3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328,744</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711,101</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472,061</w:t>
            </w:r>
          </w:p>
        </w:tc>
      </w:tr>
      <w:tr>
        <w:trPr>
          <w:trHeight w:val="252"/>
        </w:trPr>
        <w:tc>
          <w:tcPr>
            <w:tcW w:w="7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Supplemental disclosure of cash flow information:</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bl>
    <w:p>
      <w:pPr>
        <w:sectPr>
          <w:pgSz w:w="11900" w:h="16838" w:orient="portrait"/>
          <w:cols w:equalWidth="0" w:num="1">
            <w:col w:w="11420"/>
          </w:cols>
          <w:pgMar w:left="240" w:top="122" w:right="239" w:bottom="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200" w:type="dxa"/>
            <w:vAlign w:val="bottom"/>
          </w:tcPr>
          <w:p>
            <w:pPr>
              <w:ind w:left="180"/>
              <w:spacing w:after="0"/>
              <w:rPr>
                <w:sz w:val="20"/>
                <w:szCs w:val="20"/>
                <w:color w:val="auto"/>
              </w:rPr>
            </w:pPr>
            <w:r>
              <w:rPr>
                <w:rFonts w:ascii="Arial" w:cs="Arial" w:eastAsia="Arial" w:hAnsi="Arial"/>
                <w:sz w:val="13"/>
                <w:szCs w:val="13"/>
                <w:color w:val="auto"/>
              </w:rPr>
              <w:t>Cash paid during the period for interest, net of amount capitalized</w:t>
            </w:r>
          </w:p>
        </w:tc>
        <w:tc>
          <w:tcPr>
            <w:tcW w:w="166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199,667</w:t>
            </w:r>
          </w:p>
        </w:tc>
        <w:tc>
          <w:tcPr>
            <w:tcW w:w="50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207,972</w:t>
            </w:r>
          </w:p>
        </w:tc>
        <w:tc>
          <w:tcPr>
            <w:tcW w:w="500" w:type="dxa"/>
            <w:vAlign w:val="bottom"/>
          </w:tcPr>
          <w:p>
            <w:pPr>
              <w:spacing w:after="0"/>
              <w:rPr>
                <w:sz w:val="13"/>
                <w:szCs w:val="13"/>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194,605</w:t>
            </w:r>
          </w:p>
        </w:tc>
      </w:tr>
      <w:tr>
        <w:trPr>
          <w:trHeight w:val="97"/>
        </w:trPr>
        <w:tc>
          <w:tcPr>
            <w:tcW w:w="62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r>
      <w:tr>
        <w:trPr>
          <w:trHeight w:val="270"/>
        </w:trPr>
        <w:tc>
          <w:tcPr>
            <w:tcW w:w="6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Supplemental disclosure of non-cash investing and financing activity:</w:t>
            </w:r>
          </w:p>
        </w:tc>
        <w:tc>
          <w:tcPr>
            <w:tcW w:w="16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62"/>
        </w:trPr>
        <w:tc>
          <w:tcPr>
            <w:tcW w:w="6200" w:type="dxa"/>
            <w:vAlign w:val="bottom"/>
          </w:tcPr>
          <w:p>
            <w:pPr>
              <w:ind w:left="180"/>
              <w:spacing w:after="0"/>
              <w:rPr>
                <w:sz w:val="20"/>
                <w:szCs w:val="20"/>
                <w:color w:val="auto"/>
              </w:rPr>
            </w:pPr>
            <w:r>
              <w:rPr>
                <w:rFonts w:ascii="Arial" w:cs="Arial" w:eastAsia="Arial" w:hAnsi="Arial"/>
                <w:sz w:val="13"/>
                <w:szCs w:val="13"/>
                <w:color w:val="auto"/>
              </w:rPr>
              <w:t>Fundings and repayments of loan receivables and loan participations, net</w:t>
            </w:r>
          </w:p>
        </w:tc>
        <w:tc>
          <w:tcPr>
            <w:tcW w:w="166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(15,594)</w:t>
            </w:r>
          </w:p>
        </w:tc>
        <w:tc>
          <w:tcPr>
            <w:tcW w:w="50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14,075</w:t>
            </w:r>
          </w:p>
        </w:tc>
        <w:tc>
          <w:tcPr>
            <w:tcW w:w="50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62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Developer fee payable</w:t>
            </w:r>
          </w:p>
        </w:tc>
        <w:tc>
          <w:tcPr>
            <w:tcW w:w="16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9,478</w:t>
            </w:r>
          </w:p>
        </w:tc>
        <w:tc>
          <w:tcPr>
            <w:tcW w:w="5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7,435</w:t>
            </w:r>
          </w:p>
        </w:tc>
        <w:tc>
          <w:tcPr>
            <w:tcW w:w="5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6,791</w:t>
            </w:r>
          </w:p>
        </w:tc>
      </w:tr>
      <w:tr>
        <w:trPr>
          <w:trHeight w:val="262"/>
        </w:trPr>
        <w:tc>
          <w:tcPr>
            <w:tcW w:w="6200" w:type="dxa"/>
            <w:vAlign w:val="bottom"/>
          </w:tcPr>
          <w:p>
            <w:pPr>
              <w:ind w:left="180"/>
              <w:spacing w:after="0"/>
              <w:rPr>
                <w:sz w:val="20"/>
                <w:szCs w:val="20"/>
                <w:color w:val="auto"/>
              </w:rPr>
            </w:pPr>
            <w:r>
              <w:rPr>
                <w:rFonts w:ascii="Arial" w:cs="Arial" w:eastAsia="Arial" w:hAnsi="Arial"/>
                <w:sz w:val="13"/>
                <w:szCs w:val="13"/>
                <w:color w:val="auto"/>
              </w:rPr>
              <w:t>Acquisitions of real estate and land and development assets through deed-in-lieu</w:t>
            </w:r>
          </w:p>
        </w:tc>
        <w:tc>
          <w:tcPr>
            <w:tcW w:w="1660" w:type="dxa"/>
            <w:vAlign w:val="bottom"/>
          </w:tcPr>
          <w:p>
            <w:pPr>
              <w:spacing w:after="0"/>
              <w:rPr>
                <w:sz w:val="22"/>
                <w:szCs w:val="22"/>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40,583</w:t>
            </w:r>
          </w:p>
        </w:tc>
        <w:tc>
          <w:tcPr>
            <w:tcW w:w="500" w:type="dxa"/>
            <w:vAlign w:val="bottom"/>
          </w:tcPr>
          <w:p>
            <w:pPr>
              <w:spacing w:after="0"/>
              <w:rPr>
                <w:sz w:val="22"/>
                <w:szCs w:val="22"/>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13,424</w:t>
            </w:r>
          </w:p>
        </w:tc>
        <w:tc>
          <w:tcPr>
            <w:tcW w:w="500" w:type="dxa"/>
            <w:vAlign w:val="bottom"/>
          </w:tcPr>
          <w:p>
            <w:pPr>
              <w:spacing w:after="0"/>
              <w:rPr>
                <w:sz w:val="22"/>
                <w:szCs w:val="22"/>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77,867</w:t>
            </w:r>
          </w:p>
        </w:tc>
      </w:tr>
      <w:tr>
        <w:trPr>
          <w:trHeight w:val="278"/>
        </w:trPr>
        <w:tc>
          <w:tcPr>
            <w:tcW w:w="62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Acquisitions of equity method investment assets through deed-in-lieu</w:t>
            </w:r>
          </w:p>
        </w:tc>
        <w:tc>
          <w:tcPr>
            <w:tcW w:w="16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23,500</w:t>
            </w:r>
          </w:p>
        </w:tc>
      </w:tr>
      <w:tr>
        <w:trPr>
          <w:trHeight w:val="262"/>
        </w:trPr>
        <w:tc>
          <w:tcPr>
            <w:tcW w:w="6200" w:type="dxa"/>
            <w:vAlign w:val="bottom"/>
          </w:tcPr>
          <w:p>
            <w:pPr>
              <w:ind w:left="180"/>
              <w:spacing w:after="0"/>
              <w:rPr>
                <w:sz w:val="20"/>
                <w:szCs w:val="20"/>
                <w:color w:val="auto"/>
              </w:rPr>
            </w:pPr>
            <w:r>
              <w:rPr>
                <w:rFonts w:ascii="Arial" w:cs="Arial" w:eastAsia="Arial" w:hAnsi="Arial"/>
                <w:sz w:val="13"/>
                <w:szCs w:val="13"/>
                <w:color w:val="auto"/>
              </w:rPr>
              <w:t>Contributions of real estate and land and development assets to equity method investments, net</w:t>
            </w:r>
          </w:p>
        </w:tc>
        <w:tc>
          <w:tcPr>
            <w:tcW w:w="1660" w:type="dxa"/>
            <w:vAlign w:val="bottom"/>
          </w:tcPr>
          <w:p>
            <w:pPr>
              <w:spacing w:after="0"/>
              <w:rPr>
                <w:sz w:val="22"/>
                <w:szCs w:val="22"/>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8,828</w:t>
            </w:r>
          </w:p>
        </w:tc>
        <w:tc>
          <w:tcPr>
            <w:tcW w:w="500" w:type="dxa"/>
            <w:vAlign w:val="bottom"/>
          </w:tcPr>
          <w:p>
            <w:pPr>
              <w:spacing w:after="0"/>
              <w:rPr>
                <w:sz w:val="22"/>
                <w:szCs w:val="22"/>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21,096</w:t>
            </w:r>
          </w:p>
        </w:tc>
        <w:tc>
          <w:tcPr>
            <w:tcW w:w="500" w:type="dxa"/>
            <w:vAlign w:val="bottom"/>
          </w:tcPr>
          <w:p>
            <w:pPr>
              <w:spacing w:after="0"/>
              <w:rPr>
                <w:sz w:val="22"/>
                <w:szCs w:val="22"/>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63,254</w:t>
            </w:r>
          </w:p>
        </w:tc>
      </w:tr>
      <w:tr>
        <w:trPr>
          <w:trHeight w:val="278"/>
        </w:trPr>
        <w:tc>
          <w:tcPr>
            <w:tcW w:w="62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Accounts payable for capital expenditures on land and development assets</w:t>
            </w:r>
          </w:p>
        </w:tc>
        <w:tc>
          <w:tcPr>
            <w:tcW w:w="16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3,674</w:t>
            </w:r>
          </w:p>
        </w:tc>
        <w:tc>
          <w:tcPr>
            <w:tcW w:w="5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7,143</w:t>
            </w:r>
          </w:p>
        </w:tc>
        <w:tc>
          <w:tcPr>
            <w:tcW w:w="5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7,580</w:t>
            </w:r>
          </w:p>
        </w:tc>
      </w:tr>
      <w:tr>
        <w:trPr>
          <w:trHeight w:val="262"/>
        </w:trPr>
        <w:tc>
          <w:tcPr>
            <w:tcW w:w="6200" w:type="dxa"/>
            <w:vAlign w:val="bottom"/>
          </w:tcPr>
          <w:p>
            <w:pPr>
              <w:ind w:left="180"/>
              <w:spacing w:after="0"/>
              <w:rPr>
                <w:sz w:val="20"/>
                <w:szCs w:val="20"/>
                <w:color w:val="auto"/>
              </w:rPr>
            </w:pPr>
            <w:r>
              <w:rPr>
                <w:rFonts w:ascii="Arial" w:cs="Arial" w:eastAsia="Arial" w:hAnsi="Arial"/>
                <w:sz w:val="13"/>
                <w:szCs w:val="13"/>
                <w:color w:val="auto"/>
              </w:rPr>
              <w:t>Accounts payable for capital expenditures on real estate assets</w:t>
            </w:r>
          </w:p>
        </w:tc>
        <w:tc>
          <w:tcPr>
            <w:tcW w:w="1660" w:type="dxa"/>
            <w:vAlign w:val="bottom"/>
          </w:tcPr>
          <w:p>
            <w:pPr>
              <w:spacing w:after="0"/>
              <w:rPr>
                <w:sz w:val="22"/>
                <w:szCs w:val="22"/>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2"/>
                <w:szCs w:val="22"/>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8,107</w:t>
            </w:r>
          </w:p>
        </w:tc>
        <w:tc>
          <w:tcPr>
            <w:tcW w:w="500" w:type="dxa"/>
            <w:vAlign w:val="bottom"/>
          </w:tcPr>
          <w:p>
            <w:pPr>
              <w:spacing w:after="0"/>
              <w:rPr>
                <w:sz w:val="22"/>
                <w:szCs w:val="22"/>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62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Conversion of senior unsecured convertible notes into common stock</w:t>
            </w:r>
          </w:p>
        </w:tc>
        <w:tc>
          <w:tcPr>
            <w:tcW w:w="16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9,596</w:t>
            </w:r>
          </w:p>
        </w:tc>
        <w:tc>
          <w:tcPr>
            <w:tcW w:w="5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6200" w:type="dxa"/>
            <w:vAlign w:val="bottom"/>
          </w:tcPr>
          <w:p>
            <w:pPr>
              <w:ind w:left="180"/>
              <w:spacing w:after="0"/>
              <w:rPr>
                <w:sz w:val="20"/>
                <w:szCs w:val="20"/>
                <w:color w:val="auto"/>
              </w:rPr>
            </w:pPr>
            <w:r>
              <w:rPr>
                <w:rFonts w:ascii="Arial" w:cs="Arial" w:eastAsia="Arial" w:hAnsi="Arial"/>
                <w:sz w:val="13"/>
                <w:szCs w:val="13"/>
                <w:color w:val="auto"/>
              </w:rPr>
              <w:t>Redemption of HPUs in exchange for common stock</w:t>
            </w:r>
          </w:p>
        </w:tc>
        <w:tc>
          <w:tcPr>
            <w:tcW w:w="1660" w:type="dxa"/>
            <w:vAlign w:val="bottom"/>
          </w:tcPr>
          <w:p>
            <w:pPr>
              <w:spacing w:after="0"/>
              <w:rPr>
                <w:sz w:val="22"/>
                <w:szCs w:val="22"/>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2"/>
                <w:szCs w:val="22"/>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15,240</w:t>
            </w:r>
          </w:p>
        </w:tc>
        <w:tc>
          <w:tcPr>
            <w:tcW w:w="500" w:type="dxa"/>
            <w:vAlign w:val="bottom"/>
          </w:tcPr>
          <w:p>
            <w:pPr>
              <w:spacing w:after="0"/>
              <w:rPr>
                <w:sz w:val="22"/>
                <w:szCs w:val="22"/>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62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Receivable from sales of real estate and land parcels</w:t>
            </w:r>
          </w:p>
        </w:tc>
        <w:tc>
          <w:tcPr>
            <w:tcW w:w="16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7,509</w:t>
            </w:r>
          </w:p>
        </w:tc>
        <w:tc>
          <w:tcPr>
            <w:tcW w:w="5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22,695</w:t>
            </w:r>
          </w:p>
        </w:tc>
        <w:tc>
          <w:tcPr>
            <w:tcW w:w="5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6" w:right="239" w:bottom="1440" w:gutter="0" w:footer="0" w:header="0"/>
        </w:sectPr>
      </w:pPr>
    </w:p>
    <w:bookmarkStart w:id="62" w:name="page63"/>
    <w:bookmarkEnd w:id="62"/>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225"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7"/>
          <w:szCs w:val="17"/>
          <w:b w:val="1"/>
          <w:bCs w:val="1"/>
          <w:color w:val="auto"/>
        </w:rPr>
        <w:t>Business</w:t>
      </w:r>
      <w:r>
        <w:rPr>
          <w:rFonts w:ascii="Arial" w:cs="Arial" w:eastAsia="Arial" w:hAnsi="Arial"/>
          <w:sz w:val="17"/>
          <w:szCs w:val="17"/>
          <w:color w:val="auto"/>
        </w:rPr>
        <w:t>—iStar Inc. (the "Company"), doing business as "iStar," finances, invests in and develops real estate and real estate related projects as part of</w:t>
      </w:r>
      <w:r>
        <w:rPr>
          <w:rFonts w:ascii="Arial" w:cs="Arial" w:eastAsia="Arial" w:hAnsi="Arial"/>
          <w:sz w:val="17"/>
          <w:szCs w:val="17"/>
          <w:b w:val="1"/>
          <w:bCs w:val="1"/>
          <w:color w:val="auto"/>
        </w:rPr>
        <w:t xml:space="preserve"> </w:t>
      </w:r>
      <w:r>
        <w:rPr>
          <w:rFonts w:ascii="Arial" w:cs="Arial" w:eastAsia="Arial" w:hAnsi="Arial"/>
          <w:sz w:val="17"/>
          <w:szCs w:val="17"/>
          <w:color w:val="auto"/>
        </w:rPr>
        <w:t>its fully-integrated investment platform. The Company has invested more than $35 billion over the past two decades and is structured as a real estate investment trust ("REIT") with a diversified portfolio focused on larger assets located in major metropolitan markets. The Company's primary business segments are real estate finance, land and development, net lease and operating properties (refer to Note 17).</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Organization</w:t>
      </w:r>
      <w:r>
        <w:rPr>
          <w:rFonts w:ascii="Arial" w:cs="Arial" w:eastAsia="Arial" w:hAnsi="Arial"/>
          <w:sz w:val="16"/>
          <w:szCs w:val="16"/>
          <w:color w:val="auto"/>
        </w:rPr>
        <w:t>—The Company began its business in 1993 through the management of private investment funds and became publicly traded in 1998.</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Since that time, the Company has grown through the origination of new investments, as well as through corporate acquisitions.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 and Principles of Consolidation</w:t>
      </w:r>
    </w:p>
    <w:p>
      <w:pPr>
        <w:spacing w:after="0" w:line="14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b w:val="1"/>
          <w:bCs w:val="1"/>
          <w:color w:val="auto"/>
        </w:rPr>
        <w:t>Basis of Presentation</w:t>
      </w:r>
      <w:r>
        <w:rPr>
          <w:rFonts w:ascii="Arial" w:cs="Arial" w:eastAsia="Arial" w:hAnsi="Arial"/>
          <w:sz w:val="18"/>
          <w:szCs w:val="18"/>
          <w:color w:val="auto"/>
        </w:rPr>
        <w:t>—The accompanying audited consolidated financial statements have been prepared in conformity with generally accepted</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principles in the United States of America ("GAAP") for complete financial statements. The preparation of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 Certain prior year amounts have been reclassified in the Company's consolidated financial statements and the related notes to conform to the current period presentation.</w:t>
      </w:r>
    </w:p>
    <w:p>
      <w:pPr>
        <w:spacing w:after="0" w:line="10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b w:val="1"/>
          <w:bCs w:val="1"/>
          <w:color w:val="auto"/>
        </w:rPr>
        <w:t>Principles of Consolidation</w:t>
      </w:r>
      <w:r>
        <w:rPr>
          <w:rFonts w:ascii="Arial" w:cs="Arial" w:eastAsia="Arial" w:hAnsi="Arial"/>
          <w:sz w:val="18"/>
          <w:szCs w:val="18"/>
          <w:color w:val="auto"/>
        </w:rPr>
        <w:t>—The consolidated financial statements include the financial statements of the Company, it's wholly owned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controlled partnerships and variable interest entities ("VIEs") for which the Company is the primary beneficiary. All significant intercompany balances and transactions have been eliminated in consolidation. The Company's involvement with VIEs affects its financial performance and cash flows primarily through amounts recorded in "Operating lease income," "Interest income," "Earnings from equity method investments," "Real estate expense" and "Interest expense" in the Company's consolidated statements of operations. The Company has not provided financial support to those VIEs that it was not previously contractually required to provide.</w:t>
      </w:r>
    </w:p>
    <w:p>
      <w:pPr>
        <w:spacing w:after="0" w:line="15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b w:val="1"/>
          <w:bCs w:val="1"/>
          <w:i w:val="1"/>
          <w:iCs w:val="1"/>
          <w:color w:val="auto"/>
        </w:rPr>
        <w:t>Consolidated VIEs</w:t>
      </w:r>
      <w:r>
        <w:rPr>
          <w:rFonts w:ascii="Arial" w:cs="Arial" w:eastAsia="Arial" w:hAnsi="Arial"/>
          <w:sz w:val="18"/>
          <w:szCs w:val="18"/>
          <w:color w:val="auto"/>
        </w:rPr>
        <w:t>—As of December 31, 2016, the Company consolidates VIEs for which it is considered the primary beneficiary.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2016, the total assets of these consolidated VIEs were $450.3 million and total liabilities were $82.1 million. The classifications of these assets are primarily within "Land and development, net" and "Real estate, net" on the Company's consolidated balance sheets. The classifications of liabilities are primarily within "Accounts payable, accrued expenses and other liabilities" and "debt obligations, net" on the Company's consolidated balance sheets. The liabilities of these VIEs are non-recourse to the Company and can only be satisfied from each VIE's respective assets. The Company did not have any unfunded commitments related to consolidated VIEs as of December 31, 2016.</w:t>
      </w:r>
    </w:p>
    <w:p>
      <w:pPr>
        <w:spacing w:after="0" w:line="193"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b w:val="1"/>
          <w:bCs w:val="1"/>
          <w:i w:val="1"/>
          <w:iCs w:val="1"/>
          <w:color w:val="auto"/>
        </w:rPr>
        <w:t>Unconsolidated VIEs</w:t>
      </w:r>
      <w:r>
        <w:rPr>
          <w:rFonts w:ascii="Arial" w:cs="Arial" w:eastAsia="Arial" w:hAnsi="Arial"/>
          <w:sz w:val="16"/>
          <w:szCs w:val="16"/>
          <w:color w:val="auto"/>
        </w:rPr>
        <w:t>—As of December 31, 2016, the Company has investments in VIEs where it is not the primary beneficiary, and accordingly,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VIEs have not been consolidated in the Company's consolidated financial statements. As of December 31, 2016, the Company's maximum exposure to loss from these investments does not exceed the sum of the $47.2 million carrying value of the investments, which are classified in "Other investments" and "Loans receivable and other lending investments, net" on the Company's consolidated balance sheets, and $57.5 million of related unfunded commitments.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w:t>
      </w:r>
    </w:p>
    <w:p>
      <w:pPr>
        <w:spacing w:after="0" w:line="225"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8"/>
          <w:szCs w:val="18"/>
          <w:b w:val="1"/>
          <w:bCs w:val="1"/>
          <w:color w:val="auto"/>
        </w:rPr>
        <w:t>Real estate and land and development—</w:t>
      </w:r>
      <w:r>
        <w:rPr>
          <w:rFonts w:ascii="Arial" w:cs="Arial" w:eastAsia="Arial" w:hAnsi="Arial"/>
          <w:sz w:val="18"/>
          <w:szCs w:val="18"/>
          <w:color w:val="auto"/>
        </w:rPr>
        <w:t>Real estate and land and development assets are recorded at cost less accumulated depreciation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amortization, as follows:</w:t>
      </w:r>
    </w:p>
    <w:p>
      <w:pPr>
        <w:spacing w:after="0" w:line="12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i w:val="1"/>
          <w:iCs w:val="1"/>
          <w:color w:val="auto"/>
        </w:rPr>
        <w:t>Capitalization and depreciation—</w:t>
      </w:r>
      <w:r>
        <w:rPr>
          <w:rFonts w:ascii="Arial" w:cs="Arial" w:eastAsia="Arial" w:hAnsi="Arial"/>
          <w:sz w:val="16"/>
          <w:szCs w:val="16"/>
          <w:color w:val="auto"/>
        </w:rPr>
        <w:t>Certain improvements and replacements are capitalized when they extend the useful life of the asset. For real estate</w:t>
      </w:r>
      <w:r>
        <w:rPr>
          <w:rFonts w:ascii="Arial" w:cs="Arial" w:eastAsia="Arial" w:hAnsi="Arial"/>
          <w:sz w:val="16"/>
          <w:szCs w:val="16"/>
          <w:i w:val="1"/>
          <w:iCs w:val="1"/>
          <w:color w:val="auto"/>
        </w:rPr>
        <w:t xml:space="preserve"> </w:t>
      </w:r>
      <w:r>
        <w:rPr>
          <w:rFonts w:ascii="Arial" w:cs="Arial" w:eastAsia="Arial" w:hAnsi="Arial"/>
          <w:sz w:val="16"/>
          <w:szCs w:val="16"/>
          <w:color w:val="auto"/>
        </w:rPr>
        <w:t>projects, the Company begins to capitalize qualified development and construction costs, including interest, real estate taxes, compensation and certain other carrying costs incurred which are specifically identifiable to a development project once activities necessary to get the asset ready for its intended use have commenced. If specific allocation of costs is not practicable, the Company will allocate costs based on relative fair value prior to construction or relative sales value, relative size or other methods as appropriate during construction. The Company’s policy for interest capitalization on qualifying real estate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63" w:name="page64"/>
    <w:bookmarkEnd w:id="63"/>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assets is to use the average amount of accumulated expenditures during the period the asset is being prepared for its intended use, which is typically when physical construction commences, and a capitalization rate which is derived from specific borrowings on the qualifying asset or the Company’s corporate borrowing rate in the absence of specific borrowings. The Company ceases capitalization on the portions substantially completed and ready for their intended use. Repairs and maintenance costs are expensed as incurred. Depreciation is computed using the straight-line method of cost recovery over the estimated useful life, which is generally 40 years for facilities, five years for furniture and equipment, the shorter of the remaining lease term or expected life for tenant improvements and the remaining useful life of the facility for facility improvements.</w:t>
      </w:r>
    </w:p>
    <w:p>
      <w:pPr>
        <w:spacing w:after="0" w:line="16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Purchase price allocation—</w:t>
      </w:r>
      <w:r>
        <w:rPr>
          <w:rFonts w:ascii="Arial" w:cs="Arial" w:eastAsia="Arial" w:hAnsi="Arial"/>
          <w:sz w:val="18"/>
          <w:szCs w:val="18"/>
          <w:color w:val="auto"/>
        </w:rPr>
        <w:t>Upon acquisition of real estate, the Company determines whether the transaction is a business combination,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accounted for under the acquisition method, or an acquisition of assets. For both types of transactions, the Company recognizes and measures identifiable assets acquired, liabilities assumed and any noncontrolling interest in the acquiree based on their relative fair values. For business combinations, the Company recognizes and measures goodwill or gain from a bargain purchase, if applicable, and expenses acquisition-related costs in the periods in which the costs are incurred and the services are received. For acquisitions of assets, acquisition-related costs are capitalized and recorded in "Real estate, net" on the Company's consolidated balance sheets.</w:t>
      </w:r>
    </w:p>
    <w:p>
      <w:pPr>
        <w:spacing w:after="0" w:line="153"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The Company accounts for its acquisition of properties by recording the purchase price of tangible and intangible assets and liabilities acquired based on their estimated fair values. The value of the tangible assets, consisting of land, buildings, building improvements and tenant improvements is determined as if these assets are vacant. Intangible assets may include the value of lease incentive assets, above-market leases and in-place leases which are each recorded at their estimated fair values and included in “Deferred expenses and other assets, net” on the Company's consolidated balance sheets. Intangible liabilities may include the value of below-market leases, which are recorded at their estimated fair values and included in “Accounts payable, accrued expenses and other liabilities” on the Company's consolidated balance sheets. In-place leases are amortized over the remaining non-cancelable term and the amortization expense is included in "Depreciation and amortization" in the Company's consolidated statements of operations. Lease incentive assets and above-market (or below-market) lease value is amortized as a reduction of (or, increase to) operating lease income over the remaining non-cancelable term of each lease plus any renewal periods with fixed rental terms that are considered to be below-market. The Company may also engage in sale/leaseback transactions and execute leases with the occupant simultaneously with the purchase of the asset. These transactions are accounted for as asset acquisitions.</w:t>
      </w:r>
    </w:p>
    <w:p>
      <w:pPr>
        <w:spacing w:after="0" w:line="12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i w:val="1"/>
          <w:iCs w:val="1"/>
          <w:color w:val="auto"/>
        </w:rPr>
        <w:t>Impairments—</w:t>
      </w:r>
      <w:r>
        <w:rPr>
          <w:rFonts w:ascii="Arial" w:cs="Arial" w:eastAsia="Arial" w:hAnsi="Arial"/>
          <w:sz w:val="17"/>
          <w:szCs w:val="17"/>
          <w:color w:val="auto"/>
        </w:rPr>
        <w:t>The Company reviews real estate assets to be held and used and land and development assets, for impairment in value whenever events</w:t>
      </w:r>
      <w:r>
        <w:rPr>
          <w:rFonts w:ascii="Arial" w:cs="Arial" w:eastAsia="Arial" w:hAnsi="Arial"/>
          <w:sz w:val="17"/>
          <w:szCs w:val="17"/>
          <w:i w:val="1"/>
          <w:iCs w:val="1"/>
          <w:color w:val="auto"/>
        </w:rPr>
        <w:t xml:space="preserve"> </w:t>
      </w:r>
      <w:r>
        <w:rPr>
          <w:rFonts w:ascii="Arial" w:cs="Arial" w:eastAsia="Arial" w:hAnsi="Arial"/>
          <w:sz w:val="17"/>
          <w:szCs w:val="17"/>
          <w:color w:val="auto"/>
        </w:rPr>
        <w:t>or changes in circumstances indicate that the carrying amount of such assets may not be recoverable. The value of a long-lived asset held for use and land and development assets are impaired only if management's estimate of the aggregate future cash flows (undiscounted and without interest charges) to be generated by the asset (taking into account the anticipated holding period of the asset) is less than the carrying value. Such estimate of cash flows considers factors such as expected future operating income trends, as well as the effects of demand, competition and other economic factors. To the extent impairment has occurred, the loss will be measured as the excess of the carrying amount of the property over the estimated fair value of the asset and reflected as an adjustment to the basis of the asset. Impairments of real estate assets and land and development assets are recorded in "Impairment of assets" in the Company's consolidated statements of operations.</w:t>
      </w:r>
    </w:p>
    <w:p>
      <w:pPr>
        <w:spacing w:after="0" w:line="13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Real estate available and held for sale—</w:t>
      </w:r>
      <w:r>
        <w:rPr>
          <w:rFonts w:ascii="Arial" w:cs="Arial" w:eastAsia="Arial" w:hAnsi="Arial"/>
          <w:sz w:val="18"/>
          <w:szCs w:val="18"/>
          <w:color w:val="auto"/>
        </w:rPr>
        <w:t>The Company reports real estate assets to be sold at the lower of their carrying amount or estimated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less costs to sell and classifies them as “Real estate available and held for sale” on the Company's consolidated balance sheets. If the estimated fair value less costs to sell is less than the carrying value, the difference will be recorded as an impairment charge. Impairment for real estate assets disposed of or classified as held for sale are included in "Impairment of assets" in the Company's consolidated statements of operations. Once a real estate asset is classified as held for sale, depreciation expense is no longer recorded.</w:t>
      </w:r>
    </w:p>
    <w:p>
      <w:pPr>
        <w:spacing w:after="0" w:line="14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If circumstances arise that were previously considered unlikely and, as a result the Company decides not to sell a property previously classified as held for sale, the property is reclassified as held and used and included in "Real estate, net" on the Company's consolidated balance sheets. The Company measures and records a property that is reclassified as held and used at the lower of (i) its carrying amount before the property was classified as held for sale, adjusted for any depreciation expense that would have been recognized had the property been continuously classified as held and used, or (ii) the estimated fair value at the date of the subsequent decision not to sell.</w:t>
      </w:r>
    </w:p>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Dispositions—</w:t>
      </w:r>
      <w:r>
        <w:rPr>
          <w:rFonts w:ascii="Arial" w:cs="Arial" w:eastAsia="Arial" w:hAnsi="Arial"/>
          <w:sz w:val="18"/>
          <w:szCs w:val="18"/>
          <w:color w:val="auto"/>
        </w:rPr>
        <w:t>Revenue from sales of land and development assets and gains or losses on the sale of real estate assets, including residential property, are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in accordance with Accounting Standards Codification ("ASC") 360-20</w:t>
      </w:r>
      <w:r>
        <w:rPr>
          <w:rFonts w:ascii="Arial" w:cs="Arial" w:eastAsia="Arial" w:hAnsi="Arial"/>
          <w:sz w:val="18"/>
          <w:szCs w:val="18"/>
          <w:i w:val="1"/>
          <w:iCs w:val="1"/>
          <w:color w:val="auto"/>
        </w:rPr>
        <w:t>, Real Estate Sales</w:t>
      </w:r>
      <w:r>
        <w:rPr>
          <w:rFonts w:ascii="Arial" w:cs="Arial" w:eastAsia="Arial" w:hAnsi="Arial"/>
          <w:sz w:val="18"/>
          <w:szCs w:val="18"/>
          <w:color w:val="auto"/>
        </w:rPr>
        <w:t>. Sales of land and the associated gains on sales of residential property are recognized for full profit recognition upon closing of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sectPr>
      </w:pPr>
    </w:p>
    <w:bookmarkStart w:id="64" w:name="page65"/>
    <w:bookmarkEnd w:id="64"/>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 transactions, when the profit is determinable, the earnings process is virtually complete, the parties are bound by the terms of the contract, all consideration has been exchanged, any permanent financing for which the seller is responsible has been arranged and all conditions for closing have been performed. The Company primarily uses specific identification and the relative sales value method to allocate costs. Gains on sales of real estate are included in "Income from sales of real estate" in the Company's consolidated statements of operations.</w:t>
      </w:r>
    </w:p>
    <w:p>
      <w:pPr>
        <w:spacing w:after="0" w:line="183"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7"/>
          <w:szCs w:val="17"/>
          <w:b w:val="1"/>
          <w:bCs w:val="1"/>
          <w:color w:val="auto"/>
        </w:rPr>
        <w:t>Loans receivable and other lending investments, net</w:t>
      </w:r>
      <w:r>
        <w:rPr>
          <w:rFonts w:ascii="Arial" w:cs="Arial" w:eastAsia="Arial" w:hAnsi="Arial"/>
          <w:sz w:val="17"/>
          <w:szCs w:val="17"/>
          <w:i w:val="1"/>
          <w:iCs w:val="1"/>
          <w:color w:val="auto"/>
        </w:rPr>
        <w:t>—</w:t>
      </w:r>
      <w:r>
        <w:rPr>
          <w:rFonts w:ascii="Arial" w:cs="Arial" w:eastAsia="Arial" w:hAnsi="Arial"/>
          <w:sz w:val="17"/>
          <w:szCs w:val="17"/>
          <w:color w:val="auto"/>
        </w:rPr>
        <w:t>Loans receivable and other lending investments, net includes the following investments:</w:t>
      </w:r>
      <w:r>
        <w:rPr>
          <w:rFonts w:ascii="Arial" w:cs="Arial" w:eastAsia="Arial" w:hAnsi="Arial"/>
          <w:sz w:val="17"/>
          <w:szCs w:val="17"/>
          <w:b w:val="1"/>
          <w:bCs w:val="1"/>
          <w:color w:val="auto"/>
        </w:rPr>
        <w:t xml:space="preserve"> </w:t>
      </w:r>
      <w:r>
        <w:rPr>
          <w:rFonts w:ascii="Arial" w:cs="Arial" w:eastAsia="Arial" w:hAnsi="Arial"/>
          <w:sz w:val="17"/>
          <w:szCs w:val="17"/>
          <w:color w:val="auto"/>
        </w:rPr>
        <w:t>senior mortgages, corporate/partnership loans, subordinate mortgages, preferred equity investments and debt securities. Management considers nearly all of its loans to be held-for-investment, although certain investments may be classified as held-for-sale or available-for-sale.</w:t>
      </w:r>
    </w:p>
    <w:p>
      <w:pPr>
        <w:spacing w:after="0" w:line="25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Loans receivable classified as held-for-investment and debt securities classified as held-to-maturity are reported at their outstanding unpaid principal balance, and include unamortized acquisition premiums or discounts and unamortized deferred loan costs or fees. These loans and debt securities also include accrued and paid-in-kind interest and accrued exit fees that the Company determines are probable of being collected. Debt securities classified as available-for-sale are reported at fair value with unrealized gains and losses included in "Accumulated other comprehensive income (loss)" on the Company's consolidated balance sheets.</w:t>
      </w:r>
    </w:p>
    <w:p>
      <w:pPr>
        <w:spacing w:after="0" w:line="24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Loans receivable and other lending investments designated for sale are classified as held-for-sale and are carried at lower of amortized historical cost or estimated fair value. The amount by which carrying value exceeds fair value is recorded as a valuation allowance. Subsequent changes in the valuation allowance are included in the determination of net income (loss) in the period in which the change occurs.</w:t>
      </w:r>
    </w:p>
    <w:p>
      <w:pPr>
        <w:spacing w:after="0" w:line="23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For held-to-maturity and available-for-sale debt securities held in "Loans receivable and other lending investments, net," management evaluates whether the asset is other-than-temporarily impaired when the fair market value is below carrying value. The Company considers debt securities other-than-temporarily impaired if (1) the Company has the intent to sell the security, (2) it is more likely than not that it will be required to sell the security before recovery, or (3) it does not expect to recover the entire amortized cost basis of the security. If it is determined that an other-than-temporary impairment exists, the portion related to credit losses, where the Company does not expect to recover its entire amortized cost basis, will be recognized as an "Impairment of assets" in the Company's consolidated statements of operations. If the Company does not intend to sell the security and it is more likely than not that the entity will not be required to sell the security, but the security has suffered a credit loss, the impairment charge will be separated. The credit loss component of the impairment will be recorded as an "Impairment of assets" in the Company's consolidated statements of operations, and the remainder will be recorded in "Accumulated other comprehensive income (loss)" on the Company's consolidated balance sheets.</w:t>
      </w:r>
    </w:p>
    <w:p>
      <w:pPr>
        <w:spacing w:after="0" w:line="23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acquires properties through foreclosure or by deed-in-lieu of foreclosure in full or partial satisfaction of non-performing loans. Based on the Company's strategic plan to realize the maximum value from the collateral received, property is classified as "Land and development, net," "Real estate, net" or "Real estate available and held for sale" at its estimated fair value when title to the property is obtained. Any excess of the carrying value of the loan over the estimated fair value of the property (less costs to sell for assets held for sale) is charged-off against the reserve for loan losses as of the date of foreclosure.</w:t>
      </w:r>
    </w:p>
    <w:p>
      <w:pPr>
        <w:spacing w:after="0" w:line="238"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b w:val="1"/>
          <w:bCs w:val="1"/>
          <w:color w:val="auto"/>
        </w:rPr>
        <w:t>Equity and cost method investments</w:t>
      </w:r>
      <w:r>
        <w:rPr>
          <w:rFonts w:ascii="Arial" w:cs="Arial" w:eastAsia="Arial" w:hAnsi="Arial"/>
          <w:sz w:val="18"/>
          <w:szCs w:val="18"/>
          <w:i w:val="1"/>
          <w:iCs w:val="1"/>
          <w:color w:val="auto"/>
        </w:rPr>
        <w:t>—</w:t>
      </w:r>
      <w:r>
        <w:rPr>
          <w:rFonts w:ascii="Arial" w:cs="Arial" w:eastAsia="Arial" w:hAnsi="Arial"/>
          <w:sz w:val="18"/>
          <w:szCs w:val="18"/>
          <w:color w:val="auto"/>
        </w:rPr>
        <w:t>Equity interests are accounted for pursuant to the equity method of accounting if the Company can</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significantly influence the operating and financial policies of an investee. This is generally presumed to exist when ownership interest is between 20% and 50% of a corporation, or greater than 5% of a limited partnership or certain limited liability companies. The Company's periodic share of earnings and losses in equity method investees is included in "Earnings from equity method investments" in the consolidated statements of operations. When the Company's ownership position is too small to provide such influence, the cost method is used to account for the equity interest. Equity and cost method investments are included in "Other investments" on the Company's consolidated balance sheets.</w:t>
      </w:r>
    </w:p>
    <w:p>
      <w:pPr>
        <w:spacing w:after="0" w:line="246"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To the extent that the Company contributes assets to an unconsolidated subsidiary, the Company’s investment in the subsidiary is recorded at the Company’s cost basis in the assets that were contributed to the unconsolidated subsidiary. To the extent that the Company’s cost basis is different from the basis reflected at the subsidiary level, when required, the basis difference is amortized over the life of the related assets and included in the Company’s share of equity in net income (loss) of the unconsolidated subsidiary, as appropriate. The Company recognizes gains on the contribution of real estate to unconsolidated subsidiaries, relating solely to the outside partner’s interest, to the extent the economic substance of the transaction is a sale. The Company recognizes a loss when it contributes property to an unconsolidated subsidiary and receives a disproportionately smaller interest in the subsidiary based on a comparison of the carrying amount of the property with the cash and other consideration contributed by the other investors.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2" w:right="239" w:bottom="1440" w:gutter="0" w:footer="0" w:header="0"/>
        </w:sectPr>
      </w:pPr>
    </w:p>
    <w:bookmarkStart w:id="65" w:name="page66"/>
    <w:bookmarkEnd w:id="65"/>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periodically reviews equity method investments for impairment in value whenever events or changes in circumstances indicate that the carrying amount of such investments may not be recoverable. The Company will record an impairment charge to the extent that the estimated fair value of an investment is less than its carrying value and the Company determines the impairment is other-than-temporary. Impairment charges are recorded in "Earnings from equity method investments" in the Company's consolidated statements of operations.</w:t>
      </w:r>
    </w:p>
    <w:p>
      <w:pPr>
        <w:spacing w:after="0" w:line="221"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b w:val="1"/>
          <w:bCs w:val="1"/>
          <w:color w:val="auto"/>
        </w:rPr>
        <w:t>Cash and cash equivalents</w:t>
      </w:r>
      <w:r>
        <w:rPr>
          <w:rFonts w:ascii="Arial" w:cs="Arial" w:eastAsia="Arial" w:hAnsi="Arial"/>
          <w:sz w:val="18"/>
          <w:szCs w:val="18"/>
          <w:i w:val="1"/>
          <w:iCs w:val="1"/>
          <w:color w:val="auto"/>
        </w:rPr>
        <w:t>—</w:t>
      </w:r>
      <w:r>
        <w:rPr>
          <w:rFonts w:ascii="Arial" w:cs="Arial" w:eastAsia="Arial" w:hAnsi="Arial"/>
          <w:sz w:val="18"/>
          <w:szCs w:val="18"/>
          <w:color w:val="auto"/>
        </w:rPr>
        <w:t>Cash and cash equivalents include cash held in banks or invested in money market funds with original maturity terms of</w:t>
      </w:r>
      <w:r>
        <w:rPr>
          <w:rFonts w:ascii="Arial" w:cs="Arial" w:eastAsia="Arial" w:hAnsi="Arial"/>
          <w:sz w:val="18"/>
          <w:szCs w:val="18"/>
          <w:b w:val="1"/>
          <w:bCs w:val="1"/>
          <w:color w:val="auto"/>
        </w:rPr>
        <w:t xml:space="preserve"> </w:t>
      </w:r>
      <w:r>
        <w:rPr>
          <w:rFonts w:ascii="Arial" w:cs="Arial" w:eastAsia="Arial" w:hAnsi="Arial"/>
          <w:sz w:val="18"/>
          <w:szCs w:val="18"/>
          <w:color w:val="auto"/>
        </w:rPr>
        <w:t>less than 90 days.</w:t>
      </w:r>
    </w:p>
    <w:p>
      <w:pPr>
        <w:spacing w:after="0" w:line="216"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Restricted cash</w:t>
      </w:r>
      <w:r>
        <w:rPr>
          <w:rFonts w:ascii="Arial" w:cs="Arial" w:eastAsia="Arial" w:hAnsi="Arial"/>
          <w:sz w:val="18"/>
          <w:szCs w:val="18"/>
          <w:i w:val="1"/>
          <w:iCs w:val="1"/>
          <w:color w:val="auto"/>
        </w:rPr>
        <w:t>—</w:t>
      </w:r>
      <w:r>
        <w:rPr>
          <w:rFonts w:ascii="Arial" w:cs="Arial" w:eastAsia="Arial" w:hAnsi="Arial"/>
          <w:sz w:val="18"/>
          <w:szCs w:val="18"/>
          <w:color w:val="auto"/>
        </w:rPr>
        <w:t>Restricted cash represents amounts required to be maintained under certain of the Company's debt obligations, loans, leasing, land</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sale and derivative transactions. Restricted cash is included in "Deferred expenses and other assets, net" on the Company's consolidated balance sheets.</w:t>
      </w:r>
    </w:p>
    <w:p>
      <w:pPr>
        <w:spacing w:after="0" w:line="23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b w:val="1"/>
          <w:bCs w:val="1"/>
          <w:color w:val="auto"/>
        </w:rPr>
        <w:t>Variable interest entities</w:t>
      </w:r>
      <w:r>
        <w:rPr>
          <w:rFonts w:ascii="Arial" w:cs="Arial" w:eastAsia="Arial" w:hAnsi="Arial"/>
          <w:sz w:val="18"/>
          <w:szCs w:val="18"/>
          <w:i w:val="1"/>
          <w:iCs w:val="1"/>
          <w:color w:val="auto"/>
        </w:rPr>
        <w:t>—</w:t>
      </w:r>
      <w:r>
        <w:rPr>
          <w:rFonts w:ascii="Arial" w:cs="Arial" w:eastAsia="Arial" w:hAnsi="Arial"/>
          <w:sz w:val="18"/>
          <w:szCs w:val="18"/>
          <w:color w:val="auto"/>
        </w:rPr>
        <w:t>The Company evaluates its investments and other contractual arrangements to determine if they constitute variable interests</w:t>
      </w:r>
      <w:r>
        <w:rPr>
          <w:rFonts w:ascii="Arial" w:cs="Arial" w:eastAsia="Arial" w:hAnsi="Arial"/>
          <w:sz w:val="18"/>
          <w:szCs w:val="18"/>
          <w:b w:val="1"/>
          <w:bCs w:val="1"/>
          <w:color w:val="auto"/>
        </w:rPr>
        <w:t xml:space="preserve"> </w:t>
      </w:r>
      <w:r>
        <w:rPr>
          <w:rFonts w:ascii="Arial" w:cs="Arial" w:eastAsia="Arial" w:hAnsi="Arial"/>
          <w:sz w:val="18"/>
          <w:szCs w:val="18"/>
          <w:color w:val="auto"/>
        </w:rPr>
        <w:t>in a VIE. A VIE is an entity where a controlling financial interest is achieved through means other than voting rights. A VIE is consolidated by the primary beneficiary, which is the party that has the power to direct matters that most significantly impact the activities of the VIE and has the obligation to absorb losses or the right to receive benefits of the VIE that could potentially be significant to the VIE. This overall consolidation assessment includes a review of, among other factors, which interests create or absorb variability, contractual terms, the key decision making powers, their impact on the VIE's economic performance, and related party relationships. Where qualitative assessment is not conclusive, the Company performs a quantitative analysis. The Company reassesses its evaluation of the primary beneficiary of a VIE on an ongoing basis and assesses its evaluation of an entity as a VIE upon certain reconsideration events.</w:t>
      </w:r>
    </w:p>
    <w:p>
      <w:pPr>
        <w:spacing w:after="0" w:line="23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b w:val="1"/>
          <w:bCs w:val="1"/>
          <w:color w:val="auto"/>
        </w:rPr>
        <w:t>Deferred expenses and other assets</w:t>
      </w:r>
      <w:r>
        <w:rPr>
          <w:rFonts w:ascii="Arial" w:cs="Arial" w:eastAsia="Arial" w:hAnsi="Arial"/>
          <w:sz w:val="17"/>
          <w:szCs w:val="17"/>
          <w:i w:val="1"/>
          <w:iCs w:val="1"/>
          <w:color w:val="auto"/>
        </w:rPr>
        <w:t>—</w:t>
      </w:r>
      <w:r>
        <w:rPr>
          <w:rFonts w:ascii="Arial" w:cs="Arial" w:eastAsia="Arial" w:hAnsi="Arial"/>
          <w:sz w:val="17"/>
          <w:szCs w:val="17"/>
          <w:color w:val="auto"/>
        </w:rPr>
        <w:t>Deferred expenses and other assets include certain non-tenant receivables, leasing costs, lease incentives and</w:t>
      </w:r>
      <w:r>
        <w:rPr>
          <w:rFonts w:ascii="Arial" w:cs="Arial" w:eastAsia="Arial" w:hAnsi="Arial"/>
          <w:sz w:val="17"/>
          <w:szCs w:val="17"/>
          <w:b w:val="1"/>
          <w:bCs w:val="1"/>
          <w:color w:val="auto"/>
        </w:rPr>
        <w:t xml:space="preserve"> </w:t>
      </w:r>
      <w:r>
        <w:rPr>
          <w:rFonts w:ascii="Arial" w:cs="Arial" w:eastAsia="Arial" w:hAnsi="Arial"/>
          <w:sz w:val="17"/>
          <w:szCs w:val="17"/>
          <w:color w:val="auto"/>
        </w:rPr>
        <w:t>financing fees associated with revolving-debt arrangements. Financing fees associated with other debt obligations are recorded as a reduction of the carrying value of "Debt obligations, net" and "Loan participations payable, net" on the Company's consolidated balance sheets. Leasing costs include brokerage, legal and other costs which are amortized over the life of the respective leases and presented as an operating activity in the Company's consolidated statements of cash flows. External fees and costs incurred to obtain long-term debt financing have been deferred and are amortized over the term of the respective borrowing using the effective interest method. Amortization of leasing costs is included in "Depreciation and amortization" and amortization of deferred financing fees is included in "Interest expense" in the Company's consolidated statements of operations.</w:t>
      </w:r>
    </w:p>
    <w:p>
      <w:pPr>
        <w:spacing w:after="0" w:line="226"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b w:val="1"/>
          <w:bCs w:val="1"/>
          <w:color w:val="auto"/>
        </w:rPr>
        <w:t>Identified intangible assets and liabilities</w:t>
      </w:r>
      <w:r>
        <w:rPr>
          <w:rFonts w:ascii="Arial" w:cs="Arial" w:eastAsia="Arial" w:hAnsi="Arial"/>
          <w:sz w:val="17"/>
          <w:szCs w:val="17"/>
          <w:i w:val="1"/>
          <w:iCs w:val="1"/>
          <w:color w:val="auto"/>
        </w:rPr>
        <w:t>—</w:t>
      </w:r>
      <w:r>
        <w:rPr>
          <w:rFonts w:ascii="Arial" w:cs="Arial" w:eastAsia="Arial" w:hAnsi="Arial"/>
          <w:sz w:val="17"/>
          <w:szCs w:val="17"/>
          <w:color w:val="auto"/>
        </w:rPr>
        <w:t>Upon the acquisition of a business, the Company records intangible assets or liabilities acquired at their</w:t>
      </w:r>
      <w:r>
        <w:rPr>
          <w:rFonts w:ascii="Arial" w:cs="Arial" w:eastAsia="Arial" w:hAnsi="Arial"/>
          <w:sz w:val="17"/>
          <w:szCs w:val="17"/>
          <w:b w:val="1"/>
          <w:bCs w:val="1"/>
          <w:color w:val="auto"/>
        </w:rPr>
        <w:t xml:space="preserve"> </w:t>
      </w:r>
      <w:r>
        <w:rPr>
          <w:rFonts w:ascii="Arial" w:cs="Arial" w:eastAsia="Arial" w:hAnsi="Arial"/>
          <w:sz w:val="17"/>
          <w:szCs w:val="17"/>
          <w:color w:val="auto"/>
        </w:rPr>
        <w:t>estimated fair values and determines whether such intangible assets or liabilities have finite or indefinite lives. As of December 31, 2016, all such intangible assets and liabilities acquired by the Company have finite lives. Intangible assets are included in "Deferred expenses and other assets, net" and intangible liabilities are included in "Accounts payable, accrued expenses and other liabilities" on the Company's consolidated balance sheets. The Company amortizes finite lived intangible assets and liabilities based on the period over which the assets are expected to contribute directly or indirectly to the future cash flows of the business acquired. The Company reviews finite lived intangible assets for impairment whenever events or changes in circumstances indicate that their carrying amount may not be recoverable. If the Company determines the carrying value of an intangible asset is not recoverable it will record an impairment charge to the extent its carrying value exceeds its estimated fair value. Impairments of intangible assets are recorded in "Impairment of assets" in the Company's consolidated statements of operations.</w:t>
      </w:r>
    </w:p>
    <w:p>
      <w:pPr>
        <w:spacing w:after="0" w:line="93" w:lineRule="exact"/>
        <w:rPr>
          <w:sz w:val="20"/>
          <w:szCs w:val="20"/>
          <w:color w:val="auto"/>
        </w:rPr>
      </w:pPr>
    </w:p>
    <w:p>
      <w:pPr>
        <w:jc w:val="both"/>
        <w:ind w:firstLine="432"/>
        <w:spacing w:after="0" w:line="295" w:lineRule="auto"/>
        <w:rPr>
          <w:sz w:val="20"/>
          <w:szCs w:val="20"/>
          <w:color w:val="auto"/>
        </w:rPr>
      </w:pPr>
      <w:r>
        <w:rPr>
          <w:rFonts w:ascii="Arial" w:cs="Arial" w:eastAsia="Arial" w:hAnsi="Arial"/>
          <w:sz w:val="16"/>
          <w:szCs w:val="16"/>
          <w:b w:val="1"/>
          <w:bCs w:val="1"/>
          <w:color w:val="auto"/>
        </w:rPr>
        <w:t>Loan participations payable, net</w:t>
      </w:r>
      <w:r>
        <w:rPr>
          <w:rFonts w:ascii="Arial" w:cs="Arial" w:eastAsia="Arial" w:hAnsi="Arial"/>
          <w:sz w:val="16"/>
          <w:szCs w:val="16"/>
          <w:i w:val="1"/>
          <w:iCs w:val="1"/>
          <w:color w:val="auto"/>
        </w:rPr>
        <w:t>—</w:t>
      </w:r>
      <w:r>
        <w:rPr>
          <w:rFonts w:ascii="Arial" w:cs="Arial" w:eastAsia="Arial" w:hAnsi="Arial"/>
          <w:sz w:val="16"/>
          <w:szCs w:val="16"/>
          <w:color w:val="auto"/>
        </w:rPr>
        <w:t>The Company accounts for transfers of financial assets under ASC Topic 860, “Transfers and Servicing,” as either</w:t>
      </w:r>
      <w:r>
        <w:rPr>
          <w:rFonts w:ascii="Arial" w:cs="Arial" w:eastAsia="Arial" w:hAnsi="Arial"/>
          <w:sz w:val="16"/>
          <w:szCs w:val="16"/>
          <w:b w:val="1"/>
          <w:bCs w:val="1"/>
          <w:color w:val="auto"/>
        </w:rPr>
        <w:t xml:space="preserve"> </w:t>
      </w:r>
      <w:r>
        <w:rPr>
          <w:rFonts w:ascii="Arial" w:cs="Arial" w:eastAsia="Arial" w:hAnsi="Arial"/>
          <w:sz w:val="16"/>
          <w:szCs w:val="16"/>
          <w:color w:val="auto"/>
        </w:rPr>
        <w:t>sales or secured borrowings. Transfers of financial assets that result in sales accounting are those in which (1) the transfer legally isolates the transferred assets from the transferor, (2) the transferee has the right to pledge or exchange the transferred assets and no condition both constrains the transferee’s right to pledge or exchange the assets and provides more than a trivial benefit to the transferor, and (3) the transferor does not maintain effective control over the transferred assets. If the transfer does not meet these criteria, the transfer is presented on the balance sheet as "Loan participations payable, net". Financial asset activities that are accounted for as sales are removed from the balance sheet with any realized gain (loss) reflected in earnings during the period of sale.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2" w:right="239" w:bottom="1440" w:gutter="0" w:footer="0" w:header="0"/>
        </w:sectPr>
      </w:pPr>
    </w:p>
    <w:bookmarkStart w:id="66" w:name="page67"/>
    <w:bookmarkEnd w:id="66"/>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i w:val="1"/>
          <w:iCs w:val="1"/>
          <w:color w:val="auto"/>
        </w:rPr>
        <w:t>—</w:t>
      </w:r>
      <w:r>
        <w:rPr>
          <w:rFonts w:ascii="Arial" w:cs="Arial" w:eastAsia="Arial" w:hAnsi="Arial"/>
          <w:sz w:val="18"/>
          <w:szCs w:val="18"/>
          <w:color w:val="auto"/>
        </w:rPr>
        <w:t>The Company's revenue recognition policies are as follows:</w:t>
      </w:r>
    </w:p>
    <w:p>
      <w:pPr>
        <w:spacing w:after="0" w:line="283"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i w:val="1"/>
          <w:iCs w:val="1"/>
          <w:color w:val="auto"/>
        </w:rPr>
        <w:t xml:space="preserve">Operating lease income: </w:t>
      </w:r>
      <w:r>
        <w:rPr>
          <w:rFonts w:ascii="Arial" w:cs="Arial" w:eastAsia="Arial" w:hAnsi="Arial"/>
          <w:sz w:val="16"/>
          <w:szCs w:val="16"/>
          <w:color w:val="auto"/>
        </w:rPr>
        <w:t>The Company's leases have all been determined to be operating leases based on analyses performed in accordance with</w:t>
      </w:r>
      <w:r>
        <w:rPr>
          <w:rFonts w:ascii="Arial" w:cs="Arial" w:eastAsia="Arial" w:hAnsi="Arial"/>
          <w:sz w:val="16"/>
          <w:szCs w:val="16"/>
          <w:i w:val="1"/>
          <w:iCs w:val="1"/>
          <w:color w:val="auto"/>
        </w:rPr>
        <w:t xml:space="preserve"> </w:t>
      </w:r>
      <w:r>
        <w:rPr>
          <w:rFonts w:ascii="Arial" w:cs="Arial" w:eastAsia="Arial" w:hAnsi="Arial"/>
          <w:sz w:val="16"/>
          <w:szCs w:val="16"/>
          <w:color w:val="auto"/>
        </w:rPr>
        <w:t>ASC 840. Operating lease income is recognized on the straight-line method of accounting, generally from the later of the date the lessee takes possession of the space and it is ready for its intended use or the date of acquisition of the facility subject to existing leases. Accordingly, contractual lease payment increases are recognized evenly over the term of the lease. The periodic difference between lease revenue recognized under this method and contractual lease payment terms is recorded as "Deferred operating lease income receivable, net" on the Company's consolidated balance sheets.</w:t>
      </w:r>
    </w:p>
    <w:p>
      <w:pPr>
        <w:spacing w:after="0" w:line="212"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Company also recognizes revenue from certain tenant leases for reimbursements of all or a portion of operating expenses, including common area costs, insurance, utilities and real estate taxes of the respective property. This revenue is accrued in the same periods as the expense is incurred and is recorded as “Operating lease income” in the Company's consolidated statements of operations. Revenue is also recorded from certain tenant leases that is contingent upon tenant sales exceeding defined thresholds. These rents are recognized only after the defined threshold has been met for the period.</w:t>
      </w:r>
    </w:p>
    <w:p>
      <w:pPr>
        <w:spacing w:after="0" w:line="20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Management estimates losses within its operating lease income receivable and deferred operating lease income receivable balances as of the balance sheet date and incorporates an asset-specific component, as well as a general, formula-based reserve based on management's evaluation of the credit risks associated with these receivables. As of December 31, 2016 and 2015, the allowance for doubtful accounts related to real estate tenant receivables was $1.3 million and $1.9 million, respectively, and the allowance for doubtful accounts related to deferred operating lease income was $1.3 million and $1.5 million, respectively.</w:t>
      </w:r>
    </w:p>
    <w:p>
      <w:pPr>
        <w:spacing w:after="0" w:line="24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on loans receivable is recognized on an accrual basis using the interest method.</w:t>
      </w:r>
    </w:p>
    <w:p>
      <w:pPr>
        <w:spacing w:after="0" w:line="27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occasion, the Company may acquire loans at premiums or discounts. These discounts and premiums in addition to any deferred costs or fees, are typically amortized over the contractual term of the loan using the interest method. Exit fees are also recognized over the lives of the related loans as a yield adjustment, if management believes it is probable that such amounts will be received. If loans with premiums, discounts, loan origination or exit fees are prepaid, the Company immediately recognizes the unamortized portion, which is included in "Other income" or "Other expense" in the Company's consolidated statements of operations.</w:t>
      </w:r>
    </w:p>
    <w:p>
      <w:pPr>
        <w:spacing w:after="0" w:line="24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considers a loan to be non-performing and places loans on non-accrual status at such time as: (1) the loan becomes 90 days delinquent;</w:t>
      </w:r>
    </w:p>
    <w:p>
      <w:pPr>
        <w:spacing w:after="0" w:line="46" w:lineRule="exact"/>
        <w:rPr>
          <w:sz w:val="20"/>
          <w:szCs w:val="20"/>
          <w:color w:val="auto"/>
        </w:rPr>
      </w:pPr>
    </w:p>
    <w:p>
      <w:pPr>
        <w:jc w:val="both"/>
        <w:ind w:firstLine="8"/>
        <w:spacing w:after="0" w:line="253" w:lineRule="auto"/>
        <w:tabs>
          <w:tab w:leader="none" w:pos="263"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loan has a maturity default; or (3) management determines it is probable that it will be unable to collect all amounts due according to the contractual terms of the loan. While on non-accrual status, based on the Company's judgment as to collectability of principal, loans are either accounted for on a cash basis, where interest income is recognized only upon actual receipt of cash, or on a cost-recovery basis, where all cash receipts reduce a loan's carrying value. Non-accrual loans are returned to accrual status when a loan has become contractually current and management believes all amounts contractually owed will be received.</w:t>
      </w:r>
    </w:p>
    <w:p>
      <w:pPr>
        <w:spacing w:after="0" w:line="24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Certain of the Company's loans contractually provide for accrual of interest at specified rates that differ from current payment terms. Interest is recognized on such loans at the accrual rate subject to management's determination that accrued interest and outstanding principal are ultimately collectible, based on the underlying collateral and operations of the borrower.</w:t>
      </w:r>
    </w:p>
    <w:p>
      <w:pPr>
        <w:spacing w:after="0" w:line="235"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Prepayment penalties or yield maintenance payments from borrowers are recognized as other income when received. Certain of the Company's loan investments provide for additional interest based on the borrower's operating cash flow or appreciation of the underlying collateral. Such amounts are considered contingent interest and are reflected as interest income only upon receipt of cash.</w:t>
      </w:r>
    </w:p>
    <w:p>
      <w:pPr>
        <w:spacing w:after="0" w:line="23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i w:val="1"/>
          <w:iCs w:val="1"/>
          <w:color w:val="auto"/>
        </w:rPr>
        <w:t xml:space="preserve">Other income: </w:t>
      </w:r>
      <w:r>
        <w:rPr>
          <w:rFonts w:ascii="Arial" w:cs="Arial" w:eastAsia="Arial" w:hAnsi="Arial"/>
          <w:sz w:val="17"/>
          <w:szCs w:val="17"/>
          <w:color w:val="auto"/>
        </w:rPr>
        <w:t>Other income includes revenues from hotel operations, which are recognized when rooms are occupied and the related services are</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Revenues include room sales, food and beverage sales, parking, telephone, spa services and gift shop sales. Other income also includes gains from sales of loans, loan prepayment fees, yield maintenance payments, lease termination fees and other ancillary income.</w:t>
      </w:r>
    </w:p>
    <w:p>
      <w:pPr>
        <w:spacing w:after="0" w:line="22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i w:val="1"/>
          <w:iCs w:val="1"/>
          <w:color w:val="auto"/>
        </w:rPr>
        <w:t xml:space="preserve">Land development revenue and cost of sales: </w:t>
      </w:r>
      <w:r>
        <w:rPr>
          <w:rFonts w:ascii="Arial" w:cs="Arial" w:eastAsia="Arial" w:hAnsi="Arial"/>
          <w:sz w:val="16"/>
          <w:szCs w:val="16"/>
          <w:color w:val="auto"/>
        </w:rPr>
        <w:t>Land development revenue includes lot and parcel sales from wholly-owned properties and is recognized</w:t>
      </w:r>
      <w:r>
        <w:rPr>
          <w:rFonts w:ascii="Arial" w:cs="Arial" w:eastAsia="Arial" w:hAnsi="Arial"/>
          <w:sz w:val="16"/>
          <w:szCs w:val="16"/>
          <w:i w:val="1"/>
          <w:iCs w:val="1"/>
          <w:color w:val="auto"/>
        </w:rPr>
        <w:t xml:space="preserve"> </w:t>
      </w:r>
      <w:r>
        <w:rPr>
          <w:rFonts w:ascii="Arial" w:cs="Arial" w:eastAsia="Arial" w:hAnsi="Arial"/>
          <w:sz w:val="16"/>
          <w:szCs w:val="16"/>
          <w:color w:val="auto"/>
        </w:rPr>
        <w:t>for full profit recognition upon closing of the sale transactions, when the profit is determinable, the earnings process is virtually complete, the parties are bound by the terms of the contract, all consideration has been exchanged, any permanent financing for which the seller is responsible has been arranged and all conditions for closing have been performed. The Company primarily uses specific identification and the relative sales value method to allocate costs.</w:t>
      </w:r>
    </w:p>
    <w:p>
      <w:pPr>
        <w:sectPr>
          <w:pgSz w:w="11900" w:h="16838" w:orient="portrait"/>
          <w:cols w:equalWidth="0" w:num="1">
            <w:col w:w="11420"/>
          </w:cols>
          <w:pgMar w:left="240" w:top="122"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122" w:right="2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b w:val="1"/>
          <w:bCs w:val="1"/>
          <w:color w:val="auto"/>
        </w:rPr>
        <w:t>Reserve for loan losses</w:t>
      </w:r>
      <w:r>
        <w:rPr>
          <w:rFonts w:ascii="Arial" w:cs="Arial" w:eastAsia="Arial" w:hAnsi="Arial"/>
          <w:sz w:val="16"/>
          <w:szCs w:val="16"/>
          <w:i w:val="1"/>
          <w:iCs w:val="1"/>
          <w:color w:val="auto"/>
        </w:rPr>
        <w:t>—</w:t>
      </w:r>
      <w:r>
        <w:rPr>
          <w:rFonts w:ascii="Arial" w:cs="Arial" w:eastAsia="Arial" w:hAnsi="Arial"/>
          <w:sz w:val="16"/>
          <w:szCs w:val="16"/>
          <w:color w:val="auto"/>
        </w:rPr>
        <w:t>The reserve for loan losses reflects management's estimate of loan losses inherent in the loan portfolio as of the balance sheet</w:t>
      </w:r>
      <w:r>
        <w:rPr>
          <w:rFonts w:ascii="Arial" w:cs="Arial" w:eastAsia="Arial" w:hAnsi="Arial"/>
          <w:sz w:val="16"/>
          <w:szCs w:val="16"/>
          <w:b w:val="1"/>
          <w:bCs w:val="1"/>
          <w:color w:val="auto"/>
        </w:rPr>
        <w:t xml:space="preserve"> </w:t>
      </w:r>
      <w:r>
        <w:rPr>
          <w:rFonts w:ascii="Arial" w:cs="Arial" w:eastAsia="Arial" w:hAnsi="Arial"/>
          <w:sz w:val="16"/>
          <w:szCs w:val="16"/>
          <w:color w:val="auto"/>
        </w:rPr>
        <w:t>date. If the Company determines that the collateral fair value less costs to sell is less than the carrying value of a collateral-dependent loan, the Company will record a reserve. The reserve is increased (decreased) through "Provision for (recovery of) loan losses" in the Company's consolidated statements of operations and is decreased by charge-offs. During delinquency and the foreclosure process, there are typically numerous points of negotiation with the borrower as the Company works toward a settlement or other alternative resolution, which can impact the potential for loan repayment or receipt of collateral. The Company's policy is to charge off a loan when it determines, based on a variety of factors, that all commercially reasonable means of recovering the loan balance have been exhausted. This may occur at different times, including when the Company receives cash or other assets in a pre-foreclosure sale or takes control of the underlying collateral in full satisfaction of the loan upon foreclosure or deed-in-lieu, or when the Company has otherwise ceased significant collection efforts. The Company considers circumstances such as the foregoing to be indicators that the final steps in the loan collection process have occurred and that a loan is uncollectible. At this point, a loss is confirmed and the loan and related reserve will be charged off. The Company has one portfolio segment, represented by commercial real estate lending, whereby it utilizes a uniform process for determining its reserve for loan losses. The reserve for loan losses includes a general, formula-based component and an asset-specific component.</w:t>
      </w:r>
    </w:p>
    <w:p>
      <w:pPr>
        <w:spacing w:after="0" w:line="132"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The general reserve component covers performing loans and reserves for loan losses are recorded when (i) available information as of each balance sheet date indicates that it is probable a loss has occurred in the portfolio and (ii) the amount of the loss can be reasonably estimated. The formula-based general reserve is derived from estimated principal default probabilities and loss severities applied to groups of loans based upon risk ratings assigned to loans with similar risk characteristics during the Company's quarterly loan portfolio assessment. During this assessment, the Company performs a comprehensive analysis of its loan portfolio and assigns risk ratings to loans that incorporate management's current judgments about their credit quality based on all known and relevant internal and external factors that may affect collectability. The Company considers, among other things, payment status, lien position, borrower financial resources and investment in collateral, collateral type, project economics and geographical location as well as national and regional economic factors. This methodology results in loans being segmented by risk classification into risk rating categories that are associated with estimated probabilities of default and principal loss. Ratings range from "1" to "5" with "1" representing the lowest risk of loss and "5" representing the highest risk of loss. The Company estimates loss rates based on historical realized losses experienced within its portfolio and takes into account current economic conditions affecting the commercial real estate market when establishing appropriate time frames to evaluate loss experience.</w:t>
      </w:r>
    </w:p>
    <w:p>
      <w:pPr>
        <w:spacing w:after="0" w:line="132"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asset-specific reserve component relates to reserves for losses on impaired loans. The Company considers a loan to be impaired when, based upon current information and events, it believes that it is probable that the Company will be unable to collect all amounts due under the contractual terms of the loan agreement. This assessment is made on a loan-by-loan basis each quarter based on such factors as payment status, lien position, borrower financial resources and investment in collateral, collateral type, project economics and geographical location as well as national and regional economic factors. A reserve is established for an impaired loan when the present value of payments expected to be received, observable market prices, or the estimated fair value of the collateral (for loans that are dependent on the collateral for repayment) is lower than the carrying value of that loan.</w:t>
      </w:r>
    </w:p>
    <w:p>
      <w:pPr>
        <w:spacing w:after="0" w:line="12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Substantially all of the Company's impaired loans are collateral dependent and impairment is measured using the estimated fair value of collateral, less costs to sell. The Company generally uses the income approach through internally developed valuation models to estimate the fair value of the collateral for such loans. In more limited cases, the Company obtains external "as is" appraisals for loan collateral, generally when third party participations exist. Valuations are performed or obtained at the time a loan is determined to be impaired and designated non-performing, and they are updated if circumstances indicate that a significant change in value has occurred. In limited cases, appraised values may be discounted when real estate markets rapidly deteriorate.</w:t>
      </w:r>
    </w:p>
    <w:p>
      <w:pPr>
        <w:spacing w:after="0" w:line="11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 loan is also considered impaired if its terms are modified in a troubled debt restructuring ("TDR"). A TDR occurs when the Company has granted a concession and the debtor is experiencing financial difficulties. Impairments on TDR loans are generally measured based on the present value of expected future cash flows discounted at the effective interest rate of the original loan.</w:t>
      </w:r>
    </w:p>
    <w:p>
      <w:pPr>
        <w:spacing w:after="0" w:line="137"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b w:val="1"/>
          <w:bCs w:val="1"/>
          <w:color w:val="auto"/>
        </w:rPr>
        <w:t>Loss on debt extinguishments</w:t>
      </w:r>
      <w:r>
        <w:rPr>
          <w:rFonts w:ascii="Arial" w:cs="Arial" w:eastAsia="Arial" w:hAnsi="Arial"/>
          <w:sz w:val="18"/>
          <w:szCs w:val="18"/>
          <w:i w:val="1"/>
          <w:iCs w:val="1"/>
          <w:color w:val="auto"/>
        </w:rPr>
        <w:t>—</w:t>
      </w:r>
      <w:r>
        <w:rPr>
          <w:rFonts w:ascii="Arial" w:cs="Arial" w:eastAsia="Arial" w:hAnsi="Arial"/>
          <w:sz w:val="18"/>
          <w:szCs w:val="18"/>
          <w:color w:val="auto"/>
        </w:rPr>
        <w:t>The Company recognizes the difference between the reacquisition price of debt and the net carrying amount of</w:t>
      </w:r>
      <w:r>
        <w:rPr>
          <w:rFonts w:ascii="Arial" w:cs="Arial" w:eastAsia="Arial" w:hAnsi="Arial"/>
          <w:sz w:val="18"/>
          <w:szCs w:val="18"/>
          <w:b w:val="1"/>
          <w:bCs w:val="1"/>
          <w:color w:val="auto"/>
        </w:rPr>
        <w:t xml:space="preserve"> </w:t>
      </w:r>
      <w:r>
        <w:rPr>
          <w:rFonts w:ascii="Arial" w:cs="Arial" w:eastAsia="Arial" w:hAnsi="Arial"/>
          <w:sz w:val="18"/>
          <w:szCs w:val="18"/>
          <w:color w:val="auto"/>
        </w:rPr>
        <w:t>extinguished debt currently in earnings. Such amounts may include prepayment penalties or the write-off of unamortized debt issuance costs, and are recorded in “Loss on early extinguishment of debt, net” in the Company's consolidated statements of operations.</w:t>
      </w:r>
    </w:p>
    <w:p>
      <w:pPr>
        <w:spacing w:after="0" w:line="271"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Derivative instruments and hedging activity</w:t>
      </w:r>
      <w:r>
        <w:rPr>
          <w:rFonts w:ascii="Arial" w:cs="Arial" w:eastAsia="Arial" w:hAnsi="Arial"/>
          <w:sz w:val="18"/>
          <w:szCs w:val="18"/>
          <w:i w:val="1"/>
          <w:iCs w:val="1"/>
          <w:color w:val="auto"/>
        </w:rPr>
        <w:t>—</w:t>
      </w:r>
      <w:r>
        <w:rPr>
          <w:rFonts w:ascii="Arial" w:cs="Arial" w:eastAsia="Arial" w:hAnsi="Arial"/>
          <w:sz w:val="18"/>
          <w:szCs w:val="18"/>
          <w:color w:val="auto"/>
        </w:rPr>
        <w:t>The Company's use of derivative financial instruments is primarily limited to the utilization of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rate swaps, interest rate caps or other instruments to manage interest rate risk exposure and foreign exchange contracts to manage our risk to changes in foreign currencies.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2" w:right="239" w:bottom="1440" w:gutter="0" w:footer="0" w:header="0"/>
        </w:sectPr>
      </w:pPr>
    </w:p>
    <w:bookmarkStart w:id="68" w:name="page69"/>
    <w:bookmarkEnd w:id="68"/>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recognizes derivatives as either assets or liabilities on the Company's consolidated balance sheets at fair value. If certain conditions are met, a derivative may be specifically designated as a hedge of the exposure to changes in the fair value of a recognized asset or liability, a hedge of a forecasted transaction or the variability of cash flows to be received or paid related to a recognized asset or liability.</w:t>
      </w:r>
    </w:p>
    <w:p>
      <w:pPr>
        <w:spacing w:after="0" w:line="23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 derivatives designated as net investment hedges, the effective portion of changes in the fair value of the derivatives are reported in Accumulated Other Comprehensive Income as part of the cumulative translation adjustment. The ineffective portion of the change in fair value of the derivatives is recognized directly in earnings. Amounts are reclassified out of Accumulated Other Comprehensive Income into earnings when the hedged net investment is either sold or substantially liquidated.</w:t>
      </w:r>
    </w:p>
    <w:p>
      <w:pPr>
        <w:spacing w:after="0" w:line="24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Derivatives that are not designated hedges are considered economic hedges, with changes in fair value reported in current earnings in "Other expense" in the Company's consolidated statements of operations. The Company does not enter into derivatives for trading purposes.</w:t>
      </w:r>
    </w:p>
    <w:p>
      <w:pPr>
        <w:spacing w:after="0" w:line="220" w:lineRule="exact"/>
        <w:rPr>
          <w:sz w:val="20"/>
          <w:szCs w:val="20"/>
          <w:color w:val="auto"/>
        </w:rPr>
      </w:pPr>
    </w:p>
    <w:p>
      <w:pPr>
        <w:jc w:val="both"/>
        <w:ind w:firstLine="432"/>
        <w:spacing w:after="0" w:line="274" w:lineRule="auto"/>
        <w:rPr>
          <w:sz w:val="20"/>
          <w:szCs w:val="20"/>
          <w:color w:val="auto"/>
        </w:rPr>
      </w:pPr>
      <w:r>
        <w:rPr>
          <w:rFonts w:ascii="Arial" w:cs="Arial" w:eastAsia="Arial" w:hAnsi="Arial"/>
          <w:sz w:val="17"/>
          <w:szCs w:val="17"/>
          <w:b w:val="1"/>
          <w:bCs w:val="1"/>
          <w:color w:val="auto"/>
        </w:rPr>
        <w:t>Stock-based compensation</w:t>
      </w:r>
      <w:r>
        <w:rPr>
          <w:rFonts w:ascii="Arial" w:cs="Arial" w:eastAsia="Arial" w:hAnsi="Arial"/>
          <w:sz w:val="17"/>
          <w:szCs w:val="17"/>
          <w:i w:val="1"/>
          <w:iCs w:val="1"/>
          <w:color w:val="auto"/>
        </w:rPr>
        <w:t>—</w:t>
      </w:r>
      <w:r>
        <w:rPr>
          <w:rFonts w:ascii="Arial" w:cs="Arial" w:eastAsia="Arial" w:hAnsi="Arial"/>
          <w:sz w:val="17"/>
          <w:szCs w:val="17"/>
          <w:color w:val="auto"/>
        </w:rPr>
        <w:t>Compensation cost for stock-based awards is measured on the grant date and adjusted over the period of the employees'</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to reflect (i) actual forfeitures and (ii) the outcome of awards with performance or service conditions through the requisite service period. Compensation cost for market-based awards is determined using a Monte Carlo model to simulate a range of possible future stock prices for the Company's common stock, which is reflected in the grant date fair value. All compensation cost for market-based awards in which the service conditions are met is recognized regardless of whether the market-condition is satisfied. Compensation costs are recognized ratably over the applicable vesting/service period and recorded in "General and administrative" in the Company's consolidated statements of operations.</w:t>
      </w:r>
    </w:p>
    <w:p>
      <w:pPr>
        <w:spacing w:after="0" w:line="228"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b w:val="1"/>
          <w:bCs w:val="1"/>
          <w:color w:val="auto"/>
        </w:rPr>
        <w:t>Income taxes</w:t>
      </w:r>
      <w:r>
        <w:rPr>
          <w:rFonts w:ascii="Arial" w:cs="Arial" w:eastAsia="Arial" w:hAnsi="Arial"/>
          <w:sz w:val="16"/>
          <w:szCs w:val="16"/>
          <w:i w:val="1"/>
          <w:iCs w:val="1"/>
          <w:color w:val="auto"/>
        </w:rPr>
        <w:t>—</w:t>
      </w:r>
      <w:r>
        <w:rPr>
          <w:rFonts w:ascii="Arial" w:cs="Arial" w:eastAsia="Arial" w:hAnsi="Arial"/>
          <w:sz w:val="16"/>
          <w:szCs w:val="16"/>
          <w:color w:val="auto"/>
        </w:rPr>
        <w:t>The Company has elected to be qualified and taxed as a REIT under section 856 through 860 of the Internal Revenue Code of 1986, as</w:t>
      </w:r>
      <w:r>
        <w:rPr>
          <w:rFonts w:ascii="Arial" w:cs="Arial" w:eastAsia="Arial" w:hAnsi="Arial"/>
          <w:sz w:val="16"/>
          <w:szCs w:val="16"/>
          <w:b w:val="1"/>
          <w:bCs w:val="1"/>
          <w:color w:val="auto"/>
        </w:rPr>
        <w:t xml:space="preserve"> </w:t>
      </w:r>
      <w:r>
        <w:rPr>
          <w:rFonts w:ascii="Arial" w:cs="Arial" w:eastAsia="Arial" w:hAnsi="Arial"/>
          <w:sz w:val="16"/>
          <w:szCs w:val="16"/>
          <w:color w:val="auto"/>
        </w:rPr>
        <w:t>amended (the "Code"). The Company is subject to federal income taxation at corporate rates on its REIT taxable income; the Company, however, is allowed a deduction for the amount of dividends paid to its shareholders, thereby subjecting the distributed net income of the Company to taxation at the shareholder level only. While the Company must distribute at least 90% of its taxable income to maintain its REIT status, the Company typically distributes all of its taxable income, if any, to eliminate any tax on undistributed taxable income. In addition, the Company is allowed several other deductions in computing its REIT taxable income, including non-cash items such as depreciation expense and certain specific reserve amounts that the Company deems to be uncollectable. These deductions allow the Company to reduce its dividend payout requirement under federal tax laws. The Company intends to operate in a manner consistent with, and its election to be treated as, a REIT for tax purposes. The Company made foreclosure elections for certain properties acquired through foreclosure, or an equivalent legal process, which allows the Company to operate these properties within the REIT, but subjects net income from these assets to corporate level tax. The carrying value of assets with foreclosure elections as of December 31, 2016 is $578.1 million.</w:t>
      </w:r>
    </w:p>
    <w:p>
      <w:pPr>
        <w:spacing w:after="0" w:line="21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As of December 31, 2015, the Company had $902.9 million of REIT net operating loss ("NOL") carryforwards at the corporate REIT level, which can generally be used to offset both ordinary taxable income and capital gain net income in future years. The NOL carryforwards will expire beginning in 2029 and through 2035 if unused. The amount of NOL carryforwards as of December 31, 2016 will be subject to finalization of the Company's 2016 tax return. The Company's tax years from 2012 through 2016 remain subject to examination by major tax jurisdictions. During the year ended December 31, 2016, the Company is expected to have REIT taxable income before the NOL deduction. The Company recognizes interest expense and penalties related to uncertain tax positions, if any, as "Income tax (expense) benefit" in the Company's consolidated statements of operations.</w:t>
      </w:r>
    </w:p>
    <w:p>
      <w:pPr>
        <w:spacing w:after="0" w:line="232"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Company may participate in certain activities from which it would be otherwise precluded and maintain its qualification as a REIT. These activities are conducted in entities that elect to be treated as taxable subsidiaries under the Code, subject to certain limitations. As such, the Company, through its taxable REIT subsidiaries ("TRS"), is engaged in various real estate related opportunities, primarily related to managing activities related to certain foreclosed assets, as well as managing various investments in equity affiliates. As of December 31, 2016, $603.9 million of the Company's assets were owned by TRS entities. The Company's TRS entities are not consolidated for federal income tax purposes and are taxed as corporations. For financial reporting purposes, current and deferred taxes are provided for on the portion of earnings recognized by the Company with respect to its interest in TRS entities.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2" w:right="239" w:bottom="1440" w:gutter="0" w:footer="0" w:header="0"/>
        </w:sectPr>
      </w:pPr>
    </w:p>
    <w:bookmarkStart w:id="69" w:name="page70"/>
    <w:bookmarkEnd w:id="69"/>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represents the Company's TRS income tax benefit (expense) ($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For the Years Ended December 31,</w:t>
            </w:r>
          </w:p>
        </w:tc>
        <w:tc>
          <w:tcPr>
            <w:tcW w:w="1020" w:type="dxa"/>
            <w:vAlign w:val="bottom"/>
            <w:tcBorders>
              <w:bottom w:val="single" w:sz="8" w:color="auto"/>
            </w:tcBorders>
          </w:tcPr>
          <w:p>
            <w:pPr>
              <w:spacing w:after="0"/>
              <w:rPr>
                <w:sz w:val="16"/>
                <w:szCs w:val="16"/>
                <w:color w:val="auto"/>
              </w:rPr>
            </w:pPr>
          </w:p>
        </w:tc>
      </w:tr>
      <w:tr>
        <w:trPr>
          <w:trHeight w:val="264"/>
        </w:trPr>
        <w:tc>
          <w:tcPr>
            <w:tcW w:w="43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r>
              <w:rPr>
                <w:rFonts w:ascii="Arial" w:cs="Arial" w:eastAsia="Arial" w:hAnsi="Arial"/>
                <w:sz w:val="8"/>
                <w:szCs w:val="8"/>
                <w:b w:val="1"/>
                <w:bCs w:val="1"/>
                <w:color w:val="auto"/>
              </w:rPr>
              <w:t>(1)</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2014</w:t>
            </w: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tax benefit (expense)</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9,751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(3,912)</w:t>
            </w: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Deferred tax benefit (expense)</w:t>
            </w:r>
          </w:p>
        </w:tc>
        <w:tc>
          <w:tcPr>
            <w:tcW w:w="920" w:type="dxa"/>
            <w:vAlign w:val="bottom"/>
          </w:tcPr>
          <w:p>
            <w:pPr>
              <w:spacing w:after="0"/>
              <w:rPr>
                <w:sz w:val="21"/>
                <w:szCs w:val="21"/>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tax (expense) benefit</w:t>
            </w: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9,751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(3,912)</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-98425</wp:posOffset>
            </wp:positionV>
            <wp:extent cx="28644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ind w:left="420" w:hanging="412"/>
        <w:spacing w:after="0"/>
        <w:tabs>
          <w:tab w:leader="none" w:pos="4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For the year ended December 31, 2016, excludes a REIT income tax benefit of $0.4 million.</w:t>
      </w:r>
    </w:p>
    <w:p>
      <w:pPr>
        <w:spacing w:after="0" w:line="129"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During the year ended December 31, 2016, the Company's TRS entities generated a taxable loss of $49.4 million, resulting in a current tax benefit of $9.8 million, including a benefit for a return to provision adjustment in the amount of $2.8 million. The current benefit was limited to the amount the Company’s TRS expects to receive after it files an NOL carryback claim. The remaining balance of its NOL will be carried forward and the Company’s TRS recorded a full valuation allowance against the related deferred tax asset. During the year ended December 31, 2015, the Company's TRS entities generated taxable income of $17.0 million, which was partially offset by the utilization of NOL carryforwards, resulting in current tax expense of $7.6 million. During the year ended December 31, 2014, the Company's TRS entities generated taxable income of $19.3 million, resulting in current tax expense of $3.9 million.</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Total cash paid for taxes for the years ended December 31, 2016, 2015 and 2014 was $0.2 million, $8.4 million and $1.3 million, respectively.</w:t>
      </w:r>
    </w:p>
    <w:p>
      <w:pPr>
        <w:spacing w:after="0" w:line="29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 of assets and liabilities for financial reporting purposes and the amounts for income tax purposes, as well as operating loss and tax credit carryforwards. The Company evaluates the realizability of its deferred tax assets and recognizes a valuation allowance if, based on the available evidence, both positive and negative, it is more likely than not that some portion or all of its deferred tax assets will not be realized. When evaluating the realizability of its deferred tax assets, the Company considers, among other matters, estimates of expected future taxable income, nature of current and cumulative losses, existing and projected book/tax differences, tax planning strategies available, and the general and industry specific economic outlook. This realizability analysis is inherently subjective, as it requires the Company to forecast its business and general economic environment in future periods. Based on an assessment of all factors, including historical losses and continued volatility of the activities within the TRS entities, it was determined that full valuation allowances were required on the net deferred tax assets as of December 31, 2016 and 2015, respectively. Changes in estimates of deferred tax asset realizability, if any, are included in "Income tax (expense) benefit" in the consolidated statements of operations.</w:t>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tax assets and liabilities of the Company's TRS entities were as follows ($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60" w:type="dxa"/>
            <w:vAlign w:val="bottom"/>
            <w:tcBorders>
              <w:bottom w:val="single" w:sz="8" w:color="auto"/>
            </w:tcBorders>
          </w:tcPr>
          <w:p>
            <w:pPr>
              <w:spacing w:after="0"/>
              <w:rPr>
                <w:sz w:val="16"/>
                <w:szCs w:val="16"/>
                <w:color w:val="auto"/>
              </w:rPr>
            </w:pPr>
          </w:p>
        </w:tc>
      </w:tr>
      <w:tr>
        <w:trPr>
          <w:trHeight w:val="250"/>
        </w:trPr>
        <w:tc>
          <w:tcPr>
            <w:tcW w:w="52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w w:val="96"/>
              </w:rPr>
              <w:t>2015</w:t>
            </w:r>
          </w:p>
        </w:tc>
      </w:tr>
      <w:tr>
        <w:trPr>
          <w:trHeight w:val="270"/>
        </w:trPr>
        <w:tc>
          <w:tcPr>
            <w:tcW w:w="52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Deferred tax assets</w:t>
            </w:r>
            <w:r>
              <w:rPr>
                <w:rFonts w:ascii="Arial" w:cs="Arial" w:eastAsia="Arial" w:hAnsi="Arial"/>
                <w:sz w:val="25"/>
                <w:szCs w:val="25"/>
                <w:color w:val="auto"/>
                <w:vertAlign w:val="superscript"/>
              </w:rPr>
              <w:t>(1)</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66,498</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53,910</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(66,498)</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(53,910)</w:t>
            </w:r>
          </w:p>
        </w:tc>
      </w:tr>
      <w:tr>
        <w:trPr>
          <w:trHeight w:val="27"/>
        </w:trPr>
        <w:tc>
          <w:tcPr>
            <w:tcW w:w="5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deferred tax assets (liabilities)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-98425</wp:posOffset>
            </wp:positionV>
            <wp:extent cx="20237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jc w:val="both"/>
        <w:ind w:left="420" w:hanging="412"/>
        <w:spacing w:after="0" w:line="248" w:lineRule="auto"/>
        <w:tabs>
          <w:tab w:leader="none" w:pos="4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Deferred tax assets as of December 31, 2016 include timing differences related primarily to asset basis of $29.7 million, deferred expenses and other items of $17.9 million, NOL carryforwards of $15.6 million and other credits of $3.3 million. Deferred tax assets as of December 31, 2015 include timing differences related primarily to asset basis of $40.0 million, deferred expenses and other items of $10.7 million and NOL carryforwards of $3.2 million.</w:t>
      </w:r>
    </w:p>
    <w:p>
      <w:pPr>
        <w:spacing w:after="0" w:line="11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b w:val="1"/>
          <w:bCs w:val="1"/>
          <w:color w:val="auto"/>
        </w:rPr>
        <w:t>Earnings per share</w:t>
      </w:r>
      <w:r>
        <w:rPr>
          <w:rFonts w:ascii="Arial" w:cs="Arial" w:eastAsia="Arial" w:hAnsi="Arial"/>
          <w:sz w:val="17"/>
          <w:szCs w:val="17"/>
          <w:i w:val="1"/>
          <w:iCs w:val="1"/>
          <w:color w:val="auto"/>
        </w:rPr>
        <w:t>—</w:t>
      </w:r>
      <w:r>
        <w:rPr>
          <w:rFonts w:ascii="Arial" w:cs="Arial" w:eastAsia="Arial" w:hAnsi="Arial"/>
          <w:sz w:val="17"/>
          <w:szCs w:val="17"/>
          <w:color w:val="auto"/>
        </w:rPr>
        <w:t>The Company uses the two-class method in calculating earnings per share ("EPS") when it issues securities other than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that contractually entitle the holder to participate in dividends and earnings of the Company when, and if, the Company declares dividends on its common stock. Vested HPU shares were entitled to dividends of the Company when dividends were declared. Basic earnings per share ("Basic EPS") for the Company's common stock and HPU shares are computed by dividing net income allocable to common shareholders and HPU holders by the weighted average number of shares of common stock and HPU shares outstanding for the period, respectively. Diluted earnings per share ("Diluted EPS") is calculated similarly, however, it reflects the potential dilution that could occur if securities or other contracts to issue common stock were exercised or converted into common stock, where such exercise or conversion would result in a lower earnings per share amount.</w:t>
      </w:r>
    </w:p>
    <w:p>
      <w:pPr>
        <w:spacing w:after="0" w:line="23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Unvested share-based payment awards that contain non-forfeitable rights to dividends or dividend equivalents (whether paid or unpaid) are deemed a "Participating Security" and are included in the computation of earnings per share pursuant to the two-</w:t>
      </w:r>
    </w:p>
    <w:p>
      <w:pPr>
        <w:sectPr>
          <w:pgSz w:w="11900" w:h="16838" w:orient="portrait"/>
          <w:cols w:equalWidth="0" w:num="1">
            <w:col w:w="11420"/>
          </w:cols>
          <w:pgMar w:left="240" w:top="122"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122" w:right="2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class method. The Company's unvested common stock equivalents and restricted stock awards granted under its Long-Term Incentive Plans that are eligible to participate in dividends are considered Participating Securities and have been included in the two-class method when calculating EPS.</w:t>
      </w:r>
    </w:p>
    <w:p>
      <w:pPr>
        <w:spacing w:after="0" w:line="62"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b w:val="1"/>
          <w:bCs w:val="1"/>
          <w:color w:val="auto"/>
        </w:rPr>
        <w:t>New accounting pronouncements</w:t>
      </w:r>
      <w:r>
        <w:rPr>
          <w:rFonts w:ascii="Arial" w:cs="Arial" w:eastAsia="Arial" w:hAnsi="Arial"/>
          <w:sz w:val="18"/>
          <w:szCs w:val="18"/>
          <w:i w:val="1"/>
          <w:iCs w:val="1"/>
          <w:color w:val="auto"/>
        </w:rPr>
        <w:t>—</w:t>
      </w:r>
      <w:r>
        <w:rPr>
          <w:rFonts w:ascii="Arial" w:cs="Arial" w:eastAsia="Arial" w:hAnsi="Arial"/>
          <w:sz w:val="18"/>
          <w:szCs w:val="18"/>
          <w:color w:val="auto"/>
        </w:rPr>
        <w:t>In January 2017</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Financial Accounting Standards Board ("FASB") issued Accounting Standards Update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("ASU") 2017-01, </w:t>
      </w:r>
      <w:r>
        <w:rPr>
          <w:rFonts w:ascii="Arial" w:cs="Arial" w:eastAsia="Arial" w:hAnsi="Arial"/>
          <w:sz w:val="18"/>
          <w:szCs w:val="18"/>
          <w:i w:val="1"/>
          <w:iCs w:val="1"/>
          <w:color w:val="auto"/>
        </w:rPr>
        <w:t>Business Combinations: Clarifying the Definition of a Business</w:t>
      </w:r>
      <w:r>
        <w:rPr>
          <w:rFonts w:ascii="Arial" w:cs="Arial" w:eastAsia="Arial" w:hAnsi="Arial"/>
          <w:sz w:val="18"/>
          <w:szCs w:val="18"/>
          <w:color w:val="auto"/>
        </w:rPr>
        <w:t xml:space="preserve"> ("ASU 2017-01") to provide a more robust framework to use in determining when a set of assets and activities is a business. The amendments provide more consistency in applying the guidance, reduce the costs of application, and make the definition of a business more operable. ASU 2017-01 is effective for interim and annual reporting periods beginning after December 15, 2017. Early application is permitted under certain conditions. Management is evaluating the impact of the guidance on the Company's consolidated financial statements.</w:t>
      </w:r>
    </w:p>
    <w:p>
      <w:pPr>
        <w:spacing w:after="0" w:line="15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November 2016</w:t>
      </w:r>
      <w:r>
        <w:rPr>
          <w:rFonts w:ascii="Arial" w:cs="Arial" w:eastAsia="Arial" w:hAnsi="Arial"/>
          <w:sz w:val="18"/>
          <w:szCs w:val="18"/>
          <w:i w:val="1"/>
          <w:iCs w:val="1"/>
          <w:color w:val="auto"/>
        </w:rPr>
        <w:t>,</w:t>
      </w:r>
      <w:r>
        <w:rPr>
          <w:rFonts w:ascii="Arial" w:cs="Arial" w:eastAsia="Arial" w:hAnsi="Arial"/>
          <w:sz w:val="18"/>
          <w:szCs w:val="18"/>
          <w:color w:val="auto"/>
        </w:rPr>
        <w:t xml:space="preserve"> the FASB issued ASU 2016-18, </w:t>
      </w:r>
      <w:r>
        <w:rPr>
          <w:rFonts w:ascii="Arial" w:cs="Arial" w:eastAsia="Arial" w:hAnsi="Arial"/>
          <w:sz w:val="18"/>
          <w:szCs w:val="18"/>
          <w:i w:val="1"/>
          <w:iCs w:val="1"/>
          <w:color w:val="auto"/>
        </w:rPr>
        <w:t>Statement of Cash Flows: Restricted Cash</w:t>
      </w:r>
      <w:r>
        <w:rPr>
          <w:rFonts w:ascii="Arial" w:cs="Arial" w:eastAsia="Arial" w:hAnsi="Arial"/>
          <w:sz w:val="18"/>
          <w:szCs w:val="18"/>
          <w:color w:val="auto"/>
        </w:rPr>
        <w:t xml:space="preserve"> ("ASU 2016-18") which requires that restricted cash be included with cash and cash equivalents when reconciling beginning and ending cash and cash equivalents on the statement of cash flows. In addition, ASU 2016-18 requires disclosure of what is included in restricted cash. ASU 2016-18 is effective for interim and annual reporting periods beginning after December 15, 2017. Early adoption is permitted. Management does not believe the guidance will have a material impact on the Company's consolidated financial statements.</w:t>
      </w:r>
    </w:p>
    <w:p>
      <w:pPr>
        <w:spacing w:after="0" w:line="148"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 August 2016</w:t>
      </w:r>
      <w:r>
        <w:rPr>
          <w:rFonts w:ascii="Arial" w:cs="Arial" w:eastAsia="Arial" w:hAnsi="Arial"/>
          <w:sz w:val="17"/>
          <w:szCs w:val="17"/>
          <w:i w:val="1"/>
          <w:iCs w:val="1"/>
          <w:color w:val="auto"/>
        </w:rPr>
        <w:t>,</w:t>
      </w:r>
      <w:r>
        <w:rPr>
          <w:rFonts w:ascii="Arial" w:cs="Arial" w:eastAsia="Arial" w:hAnsi="Arial"/>
          <w:sz w:val="17"/>
          <w:szCs w:val="17"/>
          <w:color w:val="auto"/>
        </w:rPr>
        <w:t xml:space="preserve"> the FASB issued ASU 2016-15, </w:t>
      </w:r>
      <w:r>
        <w:rPr>
          <w:rFonts w:ascii="Arial" w:cs="Arial" w:eastAsia="Arial" w:hAnsi="Arial"/>
          <w:sz w:val="17"/>
          <w:szCs w:val="17"/>
          <w:i w:val="1"/>
          <w:iCs w:val="1"/>
          <w:color w:val="auto"/>
        </w:rPr>
        <w:t>Statement of Cash Flows: Classification of Certain Cash Receipts and Cash Payments</w:t>
      </w:r>
      <w:r>
        <w:rPr>
          <w:rFonts w:ascii="Arial" w:cs="Arial" w:eastAsia="Arial" w:hAnsi="Arial"/>
          <w:sz w:val="17"/>
          <w:szCs w:val="17"/>
          <w:color w:val="auto"/>
        </w:rPr>
        <w:t xml:space="preserve"> ("ASU 2016-15") which was issued to reduce diversity in practice in how certain cash receipts and cash payments, including debt prepayment or debt extinguishment costs, distributions from equity method investees, and other separately identifiable cash flows, are presented and classified in the statement of cash flows. ASU 2016-15 is effective for interim and annual reporting periods beginning after December 15, 2017. Early adoption is permitted. Management does not believe the guidance will have a material impact on the Company's consolidated financial statements.</w:t>
      </w:r>
    </w:p>
    <w:p>
      <w:pPr>
        <w:spacing w:after="0" w:line="13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June 2016</w:t>
      </w:r>
      <w:r>
        <w:rPr>
          <w:rFonts w:ascii="Arial" w:cs="Arial" w:eastAsia="Arial" w:hAnsi="Arial"/>
          <w:sz w:val="18"/>
          <w:szCs w:val="18"/>
          <w:i w:val="1"/>
          <w:iCs w:val="1"/>
          <w:color w:val="auto"/>
        </w:rPr>
        <w:t>,</w:t>
      </w:r>
      <w:r>
        <w:rPr>
          <w:rFonts w:ascii="Arial" w:cs="Arial" w:eastAsia="Arial" w:hAnsi="Arial"/>
          <w:sz w:val="18"/>
          <w:szCs w:val="18"/>
          <w:color w:val="auto"/>
        </w:rPr>
        <w:t xml:space="preserve"> the FASB issued ASU 2016-13, </w:t>
      </w:r>
      <w:r>
        <w:rPr>
          <w:rFonts w:ascii="Arial" w:cs="Arial" w:eastAsia="Arial" w:hAnsi="Arial"/>
          <w:sz w:val="18"/>
          <w:szCs w:val="18"/>
          <w:i w:val="1"/>
          <w:iCs w:val="1"/>
          <w:color w:val="auto"/>
        </w:rPr>
        <w:t>Financial Instruments—Credit Losses: Measurement of Credit Losses on Financial Instruments</w:t>
      </w:r>
      <w:r>
        <w:rPr>
          <w:rFonts w:ascii="Arial" w:cs="Arial" w:eastAsia="Arial" w:hAnsi="Arial"/>
          <w:sz w:val="18"/>
          <w:szCs w:val="18"/>
          <w:color w:val="auto"/>
        </w:rPr>
        <w:t xml:space="preserve"> ("ASU 2016-13") which was issued to provide financial statement users with more decision-useful information about the expected credit losses on financial instruments held by a reporting entity. This amendment replaces the incurred loss impairment methodology in current GAAP with a methodology that reflects expected credit losses and requires consideration of a broader range of reasonable and supportable information to inform credit loss estimates. ASU 2016-13 is effective for interim and annual reporting periods beginning after December 15, 2019. Early adoption is permitted for interim and annual reporting periods beginning after December 15, 2018. Management does not believe the guidance will have a material impact on the Company's consolidated financial statements.</w:t>
      </w:r>
    </w:p>
    <w:p>
      <w:pPr>
        <w:spacing w:after="0" w:line="14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March 2016</w:t>
      </w:r>
      <w:r>
        <w:rPr>
          <w:rFonts w:ascii="Arial" w:cs="Arial" w:eastAsia="Arial" w:hAnsi="Arial"/>
          <w:sz w:val="18"/>
          <w:szCs w:val="18"/>
          <w:i w:val="1"/>
          <w:iCs w:val="1"/>
          <w:color w:val="auto"/>
        </w:rPr>
        <w:t>,</w:t>
      </w:r>
      <w:r>
        <w:rPr>
          <w:rFonts w:ascii="Arial" w:cs="Arial" w:eastAsia="Arial" w:hAnsi="Arial"/>
          <w:sz w:val="18"/>
          <w:szCs w:val="18"/>
          <w:color w:val="auto"/>
        </w:rPr>
        <w:t xml:space="preserve"> the FASB issued ASU 2016-09, </w:t>
      </w:r>
      <w:r>
        <w:rPr>
          <w:rFonts w:ascii="Arial" w:cs="Arial" w:eastAsia="Arial" w:hAnsi="Arial"/>
          <w:sz w:val="18"/>
          <w:szCs w:val="18"/>
          <w:i w:val="1"/>
          <w:iCs w:val="1"/>
          <w:color w:val="auto"/>
        </w:rPr>
        <w:t>Compensation-Stock Compensation: Improvements to Employee Share-Based Payment Accounting</w:t>
      </w:r>
      <w:r>
        <w:rPr>
          <w:rFonts w:ascii="Arial" w:cs="Arial" w:eastAsia="Arial" w:hAnsi="Arial"/>
          <w:sz w:val="18"/>
          <w:szCs w:val="18"/>
          <w:color w:val="auto"/>
        </w:rPr>
        <w:t xml:space="preserve"> ("ASU 2016-09") which was issued to simplify several aspects of the accounting for share-based payment transactions, including income tax, classification of awards as either equity or liabilities and classification on the statement of cash flows. ASU 2016-09 is effective for interim and annual reporting periods beginning after December 15, 2016. Early adoption is permitted. Management does not believe the guidance will have a material impact on the Company's consolidated financial statements.</w:t>
      </w:r>
    </w:p>
    <w:p>
      <w:pPr>
        <w:spacing w:after="0" w:line="148"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which requires the recognition of lease assets and lease liabilities by lessees for those leases classified as operating leases. For operating leases, a lessee will be required to do the following: (i) recognize a right-of-use asset and a lease liability, initially measured at the present value of the lease payments, in the statement of financial position; (ii) recognize a single lease cost, calculated so that the cost of the lease is allocated over the lease term on a generally straight-line basis and (iii) classify all cash payments within operating activities in the statement of cash flows. For operating lease arrangements for which the Company is the lessee, primarily the lease of office space, the Company expects the impact of ASU 2016-02 to be the recognition of a right-of-use asset and lease liability on its consolidated balance sheets. The accounting applied by the Company as a lessor will be largely unchanged from that applied under previous GAAP. However, in certain instances, a new long-term lease of land subsequent to adoption could be classified as a sales-type lease, which could result in the Company derecognizing the underlying asset from its books and recording a profit or loss on sale and the net investment in the lease. ASU 2016-02 is effective for interim and annual reporting periods beginning after December 15, 2018. Early adoption is permitted. Management is evaluating the impact of the guidance on the Company's consolidated financial statements.</w:t>
      </w:r>
    </w:p>
    <w:p>
      <w:pPr>
        <w:spacing w:after="0" w:line="14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 - Overall: Recognition and Measurement of Financial Assets and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Liabilities </w:t>
      </w:r>
      <w:r>
        <w:rPr>
          <w:rFonts w:ascii="Arial" w:cs="Arial" w:eastAsia="Arial" w:hAnsi="Arial"/>
          <w:sz w:val="18"/>
          <w:szCs w:val="18"/>
          <w:color w:val="auto"/>
        </w:rPr>
        <w:t>("ASU 2016-01"), which addresses certain aspects of recognition, measurement, presentation and disclosure of financial instruments. ASU 2016-01 is effective for interim and annual reporting periods beginning after December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2" w:right="239" w:bottom="1440" w:gutter="0" w:footer="0" w:header="0"/>
        </w:sectPr>
      </w:pPr>
    </w:p>
    <w:bookmarkStart w:id="71" w:name="page72"/>
    <w:bookmarkEnd w:id="71"/>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15, 2017. Early adoption is not permitted. Management is evaluating the impact of the guidance on the Company's consolidated financial statements.</w:t>
      </w:r>
    </w:p>
    <w:p>
      <w:pPr>
        <w:spacing w:after="0" w:line="196"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 xml:space="preserve">In August 2014, the FASB issued ASU 2014-15, </w:t>
      </w:r>
      <w:r>
        <w:rPr>
          <w:rFonts w:ascii="Arial" w:cs="Arial" w:eastAsia="Arial" w:hAnsi="Arial"/>
          <w:sz w:val="18"/>
          <w:szCs w:val="18"/>
          <w:i w:val="1"/>
          <w:iCs w:val="1"/>
          <w:color w:val="auto"/>
        </w:rPr>
        <w:t>Disclosure of Uncertainties about an Entity’s Ability to Continue as a Going Concern</w:t>
      </w:r>
      <w:r>
        <w:rPr>
          <w:rFonts w:ascii="Arial" w:cs="Arial" w:eastAsia="Arial" w:hAnsi="Arial"/>
          <w:sz w:val="18"/>
          <w:szCs w:val="18"/>
          <w:color w:val="auto"/>
        </w:rPr>
        <w:t xml:space="preserve"> ("ASU 2014-15") which requires management to evaluate whether there is substantial doubt that the Company is able to continue operating as a going concern within one year after the date the financial statements are issued or available to be issued. If there is substantial doubt, additional disclosure is required, including the principal condition or event that raised the substantial doubt, the Company's evaluation of the condition or event in relation to its ability to meet its obligations and the Company's plan to alleviate (or, which is intended to alleviate) the substantial doubt. ASU 2014-15 was effective for interim and annual reporting periods beginning after December 15, 2016. The adoption of ASU 2014-15 did not have a material impact on the Company's consolidated financial statements.</w:t>
      </w:r>
    </w:p>
    <w:p>
      <w:pPr>
        <w:spacing w:after="0" w:line="18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("ASU 2014-09") which supersedes existing industry-specific guidance, including ASC 360-20, </w:t>
      </w:r>
      <w:r>
        <w:rPr>
          <w:rFonts w:ascii="Arial" w:cs="Arial" w:eastAsia="Arial" w:hAnsi="Arial"/>
          <w:sz w:val="17"/>
          <w:szCs w:val="17"/>
          <w:i w:val="1"/>
          <w:iCs w:val="1"/>
          <w:color w:val="auto"/>
        </w:rPr>
        <w:t>Real Estate Sales</w:t>
      </w:r>
      <w:r>
        <w:rPr>
          <w:rFonts w:ascii="Arial" w:cs="Arial" w:eastAsia="Arial" w:hAnsi="Arial"/>
          <w:sz w:val="17"/>
          <w:szCs w:val="17"/>
          <w:color w:val="auto"/>
        </w:rPr>
        <w:t xml:space="preserve">. The new standard is principles-based and requires more estimates and judgment than current guidance. Certain contracts with customers, including lease contracts and financial instruments and other contractual rights, are not within the scope of the new guidance. Although most of the Company's revenue is operating lease income generated from lease contracts and interest income generated from financial instruments, certain other of the Company's revenue streams will be impacted by the new guidance. In August 2015, the FASB issued ASU 2015-14,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w:t>
      </w:r>
      <w:r>
        <w:rPr>
          <w:rFonts w:ascii="Arial" w:cs="Arial" w:eastAsia="Arial" w:hAnsi="Arial"/>
          <w:sz w:val="17"/>
          <w:szCs w:val="17"/>
          <w:i w:val="1"/>
          <w:iCs w:val="1"/>
          <w:color w:val="auto"/>
        </w:rPr>
        <w:t>from Contracts with Customers - Deferral of the Effective Date</w:t>
      </w:r>
      <w:r>
        <w:rPr>
          <w:rFonts w:ascii="Arial" w:cs="Arial" w:eastAsia="Arial" w:hAnsi="Arial"/>
          <w:sz w:val="17"/>
          <w:szCs w:val="17"/>
          <w:color w:val="auto"/>
        </w:rPr>
        <w:t>, to defer the effective date of ASU 2014-09 by one year. ASU 2014-09 is now effective for</w:t>
      </w:r>
      <w:r>
        <w:rPr>
          <w:rFonts w:ascii="Arial" w:cs="Arial" w:eastAsia="Arial" w:hAnsi="Arial"/>
          <w:sz w:val="17"/>
          <w:szCs w:val="17"/>
          <w:i w:val="1"/>
          <w:iCs w:val="1"/>
          <w:color w:val="auto"/>
        </w:rPr>
        <w:t xml:space="preserve"> </w:t>
      </w:r>
      <w:r>
        <w:rPr>
          <w:rFonts w:ascii="Arial" w:cs="Arial" w:eastAsia="Arial" w:hAnsi="Arial"/>
          <w:sz w:val="17"/>
          <w:szCs w:val="17"/>
          <w:color w:val="auto"/>
        </w:rPr>
        <w:t>interim and annual reporting periods beginning after December 15, 2017. Early adoption is permitted beginning January 1, 2017. Management is evaluating the impact of the guidance on the Company's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4—Real Estate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real estate assets were comprised of the following ($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Operating</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5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Net Lease</w:t>
            </w:r>
            <w:r>
              <w:rPr>
                <w:rFonts w:ascii="Arial" w:cs="Arial" w:eastAsia="Arial" w:hAnsi="Arial"/>
                <w:sz w:val="8"/>
                <w:szCs w:val="8"/>
                <w:b w:val="1"/>
                <w:bCs w:val="1"/>
                <w:color w:val="auto"/>
              </w:rPr>
              <w:t>(1)</w:t>
            </w:r>
          </w:p>
        </w:tc>
        <w:tc>
          <w:tcPr>
            <w:tcW w:w="26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Properties</w:t>
            </w:r>
          </w:p>
        </w:tc>
        <w:tc>
          <w:tcPr>
            <w:tcW w:w="360" w:type="dxa"/>
            <w:vAlign w:val="bottom"/>
          </w:tcPr>
          <w:p>
            <w:pPr>
              <w:spacing w:after="0"/>
              <w:rPr>
                <w:sz w:val="17"/>
                <w:szCs w:val="17"/>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2016</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Land, at cost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272,666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211,054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483,720</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improvements, at cost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1,111,589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311,283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1,422,872</w:t>
            </w: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(368,665)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(46,175)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(414,840)</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net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1,015,590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476,162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1,491,752</w:t>
            </w:r>
          </w:p>
        </w:tc>
        <w:tc>
          <w:tcPr>
            <w:tcW w:w="0" w:type="dxa"/>
            <w:vAlign w:val="bottom"/>
          </w:tcPr>
          <w:p>
            <w:pPr>
              <w:spacing w:after="0"/>
              <w:rPr>
                <w:sz w:val="1"/>
                <w:szCs w:val="1"/>
                <w:color w:val="auto"/>
              </w:rPr>
            </w:pPr>
          </w:p>
        </w:tc>
      </w:tr>
      <w:tr>
        <w:trPr>
          <w:trHeight w:val="270"/>
        </w:trPr>
        <w:tc>
          <w:tcPr>
            <w:tcW w:w="51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Real estate available and held for sale </w:t>
            </w:r>
            <w:r>
              <w:rPr>
                <w:rFonts w:ascii="Arial" w:cs="Arial" w:eastAsia="Arial" w:hAnsi="Arial"/>
                <w:sz w:val="25"/>
                <w:szCs w:val="25"/>
                <w:color w:val="auto"/>
                <w:vertAlign w:val="superscript"/>
              </w:rPr>
              <w:t>(2)</w:t>
            </w: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82,480</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83,764</w:t>
            </w:r>
          </w:p>
        </w:tc>
        <w:tc>
          <w:tcPr>
            <w:tcW w:w="0" w:type="dxa"/>
            <w:vAlign w:val="bottom"/>
          </w:tcPr>
          <w:p>
            <w:pPr>
              <w:spacing w:after="0"/>
              <w:rPr>
                <w:sz w:val="1"/>
                <w:szCs w:val="1"/>
                <w:color w:val="auto"/>
              </w:rPr>
            </w:pPr>
          </w:p>
        </w:tc>
      </w:tr>
      <w:tr>
        <w:trPr>
          <w:trHeight w:val="257"/>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1,016,874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558,642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1,575,516</w:t>
            </w:r>
          </w:p>
        </w:tc>
        <w:tc>
          <w:tcPr>
            <w:tcW w:w="0" w:type="dxa"/>
            <w:vAlign w:val="bottom"/>
          </w:tcPr>
          <w:p>
            <w:pPr>
              <w:spacing w:after="0"/>
              <w:rPr>
                <w:sz w:val="1"/>
                <w:szCs w:val="1"/>
                <w:color w:val="auto"/>
              </w:rPr>
            </w:pPr>
          </w:p>
        </w:tc>
      </w:tr>
      <w:tr>
        <w:trPr>
          <w:trHeight w:val="20"/>
        </w:trPr>
        <w:tc>
          <w:tcPr>
            <w:tcW w:w="51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 of December 31, 2015</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at cost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306,172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133,275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439,447</w:t>
            </w: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Buildings and improvements, at cost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1,183,723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427,371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1,611,094</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(377,416)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(79,142)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(456,558)</w:t>
            </w:r>
          </w:p>
        </w:tc>
        <w:tc>
          <w:tcPr>
            <w:tcW w:w="0" w:type="dxa"/>
            <w:vAlign w:val="bottom"/>
          </w:tcPr>
          <w:p>
            <w:pPr>
              <w:spacing w:after="0"/>
              <w:rPr>
                <w:sz w:val="1"/>
                <w:szCs w:val="1"/>
                <w:color w:val="auto"/>
              </w:rPr>
            </w:pPr>
          </w:p>
        </w:tc>
      </w:tr>
      <w:tr>
        <w:trPr>
          <w:trHeight w:val="237"/>
        </w:trPr>
        <w:tc>
          <w:tcPr>
            <w:tcW w:w="5180" w:type="dxa"/>
            <w:vAlign w:val="bottom"/>
          </w:tcPr>
          <w:p>
            <w:pPr>
              <w:ind w:left="40"/>
              <w:spacing w:after="0"/>
              <w:rPr>
                <w:sz w:val="20"/>
                <w:szCs w:val="20"/>
                <w:color w:val="auto"/>
              </w:rPr>
            </w:pPr>
            <w:r>
              <w:rPr>
                <w:rFonts w:ascii="Arial" w:cs="Arial" w:eastAsia="Arial" w:hAnsi="Arial"/>
                <w:sz w:val="18"/>
                <w:szCs w:val="18"/>
                <w:color w:val="auto"/>
              </w:rPr>
              <w:t>Real estate, net</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1,112,479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481,504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1,593,983</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Real estate available and held for sale </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137,274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137,274</w:t>
            </w:r>
          </w:p>
        </w:tc>
        <w:tc>
          <w:tcPr>
            <w:tcW w:w="0" w:type="dxa"/>
            <w:vAlign w:val="bottom"/>
          </w:tcPr>
          <w:p>
            <w:pPr>
              <w:spacing w:after="0"/>
              <w:rPr>
                <w:sz w:val="1"/>
                <w:szCs w:val="1"/>
                <w:color w:val="auto"/>
              </w:rPr>
            </w:pPr>
          </w:p>
        </w:tc>
      </w:tr>
      <w:tr>
        <w:trPr>
          <w:trHeight w:val="250"/>
        </w:trPr>
        <w:tc>
          <w:tcPr>
            <w:tcW w:w="5180" w:type="dxa"/>
            <w:vAlign w:val="bottom"/>
          </w:tcPr>
          <w:p>
            <w:pPr>
              <w:ind w:left="40"/>
              <w:spacing w:after="0"/>
              <w:rPr>
                <w:sz w:val="20"/>
                <w:szCs w:val="20"/>
                <w:color w:val="auto"/>
              </w:rPr>
            </w:pPr>
            <w:r>
              <w:rPr>
                <w:rFonts w:ascii="Arial" w:cs="Arial" w:eastAsia="Arial" w:hAnsi="Arial"/>
                <w:sz w:val="18"/>
                <w:szCs w:val="18"/>
                <w:color w:val="auto"/>
              </w:rPr>
              <w:t>Total real estate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1,112,479</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618,778</w:t>
            </w:r>
          </w:p>
        </w:tc>
        <w:tc>
          <w:tcPr>
            <w:tcW w:w="100" w:type="dxa"/>
            <w:vAlign w:val="bottom"/>
          </w:tcPr>
          <w:p>
            <w:pPr>
              <w:spacing w:after="0"/>
              <w:rPr>
                <w:sz w:val="21"/>
                <w:szCs w:val="21"/>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1,731,257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3289935</wp:posOffset>
            </wp:positionH>
            <wp:positionV relativeFrom="paragraph">
              <wp:posOffset>8890</wp:posOffset>
            </wp:positionV>
            <wp:extent cx="29673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3289935</wp:posOffset>
            </wp:positionH>
            <wp:positionV relativeFrom="paragraph">
              <wp:posOffset>-98425</wp:posOffset>
            </wp:positionV>
            <wp:extent cx="29673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jc w:val="both"/>
        <w:ind w:left="420" w:hanging="412"/>
        <w:spacing w:after="0" w:line="241" w:lineRule="auto"/>
        <w:tabs>
          <w:tab w:leader="none" w:pos="4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 2014, the Company partnered with a sovereign wealth fund to form a venture to acquire and develop net lease assets (the "Net Lease Venture") and gave a right of first refusal to the Net Lease Venture on all new net lease investments (refer to Note 7 for more information on the Net Lease Venture). The Company is responsible for sourcing new opportunities and managing the Net Lease Venture and its assets in exchange for a promote and management fee.</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As of December 31, 2016 and 2015 the Company had $82.5 million and $137.3 million, respectively, of residential properties available for sale in its operating properties portfolio.</w:t>
      </w:r>
    </w:p>
    <w:p>
      <w:pPr>
        <w:spacing w:after="0" w:line="206" w:lineRule="exact"/>
        <w:rPr>
          <w:sz w:val="20"/>
          <w:szCs w:val="20"/>
          <w:color w:val="auto"/>
        </w:rPr>
      </w:pPr>
    </w:p>
    <w:p>
      <w:pPr>
        <w:jc w:val="both"/>
        <w:ind w:firstLine="405"/>
        <w:spacing w:after="0" w:line="314" w:lineRule="auto"/>
        <w:rPr>
          <w:sz w:val="20"/>
          <w:szCs w:val="20"/>
          <w:color w:val="auto"/>
        </w:rPr>
      </w:pPr>
      <w:r>
        <w:rPr>
          <w:rFonts w:ascii="Arial" w:cs="Arial" w:eastAsia="Arial" w:hAnsi="Arial"/>
          <w:sz w:val="16"/>
          <w:szCs w:val="16"/>
          <w:b w:val="1"/>
          <w:bCs w:val="1"/>
          <w:color w:val="auto"/>
        </w:rPr>
        <w:t>Real Estate Available and Held for Sale—</w:t>
      </w:r>
      <w:r>
        <w:rPr>
          <w:rFonts w:ascii="Arial" w:cs="Arial" w:eastAsia="Arial" w:hAnsi="Arial"/>
          <w:sz w:val="16"/>
          <w:szCs w:val="16"/>
          <w:color w:val="auto"/>
        </w:rPr>
        <w:t>During the year ended December 31, 2016, the Company transferred net lease assets with a carrying value</w:t>
      </w:r>
      <w:r>
        <w:rPr>
          <w:rFonts w:ascii="Arial" w:cs="Arial" w:eastAsia="Arial" w:hAnsi="Arial"/>
          <w:sz w:val="16"/>
          <w:szCs w:val="16"/>
          <w:b w:val="1"/>
          <w:bCs w:val="1"/>
          <w:color w:val="auto"/>
        </w:rPr>
        <w:t xml:space="preserve"> </w:t>
      </w:r>
      <w:r>
        <w:rPr>
          <w:rFonts w:ascii="Arial" w:cs="Arial" w:eastAsia="Arial" w:hAnsi="Arial"/>
          <w:sz w:val="16"/>
          <w:szCs w:val="16"/>
          <w:color w:val="auto"/>
        </w:rPr>
        <w:t>of $1.8 million and a commercial operating property with a carrying value of $16.1 million to held for sale due to executed contracts with third parties. The Company also acquired two residential condominium units for $1.8 million that are held for sale and had no operations as of December 31, 2016.</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2" w:right="239" w:bottom="1440" w:gutter="0" w:footer="0" w:header="0"/>
        </w:sectPr>
      </w:pPr>
    </w:p>
    <w:bookmarkStart w:id="72" w:name="page73"/>
    <w:bookmarkEnd w:id="72"/>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year ended December 31, 2015, the Company transferred net lease assets with a carrying value of $8.2 million to held for sale due to executed contracts with third parties and transferred a commercial operating property with a carrying value of $2.9 million to held for investment due to a change in business strategy.</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year ended December 31, 2014, the Company transferred units with a carrying value of $56.7 million to held for sale due to the conversion of hotel rooms to residential units to be sold. The Company also transferred net lease assets with a carrying value of $4.0 million to held for sale due to executed contracts with third parties.</w:t>
      </w:r>
    </w:p>
    <w:p>
      <w:pPr>
        <w:spacing w:after="0" w:line="177"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Acquisitions—</w:t>
      </w:r>
      <w:r>
        <w:rPr>
          <w:rFonts w:ascii="Arial" w:cs="Arial" w:eastAsia="Arial" w:hAnsi="Arial"/>
          <w:sz w:val="18"/>
          <w:szCs w:val="18"/>
          <w:color w:val="auto"/>
        </w:rPr>
        <w:t>During the year ended December 31, 2016, the Company acquired one net lease asset for $32.7 million. During the same period,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also acquired land for $3.9 million and simultaneously entered into a 99 year ground net lease with the seller of the land. The land acquired is included in our net lease business segment.</w:t>
      </w:r>
    </w:p>
    <w:p>
      <w:pPr>
        <w:spacing w:after="0" w:line="18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year ended December 31, 2015, the Company acquired, via deed-in-lieu, title to a residential operating property, which had a total fair value of $13.4 million and previously served as collateral for loans receivable held by the Company. No gain or loss was recorded in connection with this transaction.</w:t>
      </w:r>
    </w:p>
    <w:p>
      <w:pPr>
        <w:spacing w:after="0" w:line="18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During the year ended December 31, 2014, the Company acquired, via deed-in-lieu, title to three commercial operating properties which had a total fair value of $72.4 million and previously served as collateral for loans receivable held by the Company. No gain or loss was recorded in connection with these transactions. The following unaudited table summarizes the Company's pro forma revenues and net income for the year ended December 31, 2014 as if the acquisition of the properties acquired during the year ended December 31, 2014 was completed on January 1, 2013 (unaudited and $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 forma total revenues</w:t>
            </w:r>
          </w:p>
        </w:tc>
        <w:tc>
          <w:tcPr>
            <w:tcW w:w="17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466,327</w:t>
            </w: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auto"/>
              </w:rPr>
              <w:t>Pro forma net income</w:t>
            </w:r>
          </w:p>
        </w:tc>
        <w:tc>
          <w:tcPr>
            <w:tcW w:w="17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15,351</w:t>
            </w:r>
          </w:p>
        </w:tc>
      </w:tr>
    </w:tbl>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From the date of acquisition in May 2014 through December 31, 2014, $8.3 million in total revenues and $2.9 million in net loss of the acquiree are included in the Company’s consolidated statements of operations. The pro forma revenues and net income are presented for informational purposes only and may not be indicative of what the actual results of operations of the Company would have been assuming the transaction occurred on January 1, 2013, nor do they purport to represent the Company’s results of operations for future periods.</w:t>
      </w:r>
    </w:p>
    <w:p>
      <w:pPr>
        <w:spacing w:after="0" w:line="142" w:lineRule="exact"/>
        <w:rPr>
          <w:sz w:val="20"/>
          <w:szCs w:val="20"/>
          <w:color w:val="auto"/>
        </w:rPr>
      </w:pPr>
    </w:p>
    <w:p>
      <w:pPr>
        <w:jc w:val="both"/>
        <w:ind w:right="20" w:firstLine="432"/>
        <w:spacing w:after="0" w:line="266" w:lineRule="auto"/>
        <w:rPr>
          <w:sz w:val="20"/>
          <w:szCs w:val="20"/>
          <w:color w:val="auto"/>
        </w:rPr>
      </w:pPr>
      <w:r>
        <w:rPr>
          <w:rFonts w:ascii="Arial" w:cs="Arial" w:eastAsia="Arial" w:hAnsi="Arial"/>
          <w:sz w:val="18"/>
          <w:szCs w:val="18"/>
          <w:b w:val="1"/>
          <w:bCs w:val="1"/>
          <w:color w:val="auto"/>
        </w:rPr>
        <w:t>Dispositions—</w:t>
      </w:r>
      <w:r>
        <w:rPr>
          <w:rFonts w:ascii="Arial" w:cs="Arial" w:eastAsia="Arial" w:hAnsi="Arial"/>
          <w:sz w:val="18"/>
          <w:szCs w:val="18"/>
          <w:color w:val="auto"/>
        </w:rPr>
        <w:t>During the years ended December 31, 2016, 2015 and 2014, the Company sold residential condominiums for total net proceeds of $97.8</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$127.9 million and $236.2 million, respectively, and recorded income from sales of real estate totaling $26.1 million, $40.1 million and $79.1 million, respectively.</w:t>
      </w:r>
    </w:p>
    <w:p>
      <w:pPr>
        <w:spacing w:after="0" w:line="140"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During the years ended December 31, 2016, 2015 and 2014, the Company sold net lease assets for total net proceeds of $117.2 million, $100.8 million and $127.2 million, respectively, and recorded income from sales of real estate of $21.1 million, $40.1 million and $6.2 million, respectively.</w:t>
      </w:r>
    </w:p>
    <w:p>
      <w:pPr>
        <w:spacing w:after="0" w:line="10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During the year ended December 31, 2016, the Company sold commercial operating properties for total net proceeds of $229.1 million and recorded income from sales of real estate totaling $49.3 million.</w:t>
      </w:r>
    </w:p>
    <w:p>
      <w:pPr>
        <w:spacing w:after="0" w:line="13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year ended December 31, 2015, the Company sold a commercial operating property for $68.5 million to a newly formed unconsolidated entity in which the Company owns a 50.0% equity interest (refer to Note 7). The Company recognized a gain on sale of $13.6 million, reflecting the Company's share of the interest sold to a third party, which was recorded as "Income from sales of real estate" in the Company's consolidated statements of operations.</w:t>
      </w:r>
    </w:p>
    <w:p>
      <w:pPr>
        <w:spacing w:after="0" w:line="146"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During the year ended December 31, 2015, the Company, through a consolidated entity, sold a leasehold interest in a commercial operating property with a carrying value of $126.3 million for net proceeds of $93.5 million and simultaneously entered into a ground lease with the buyer with an initial term of 99 years. The Company sold the leasehold interest at below fair value to incentivize the buyer to enter into an above market ground lease. As a result, the Company recorded no gain or loss on the sale and recorded a lease incentive asset of $32.8 million, which is included in "Deferred expenses and other assets, net" on the Company's consolidated balance sheets. In December 2015, the Company acquired the noncontrolling interest in the entity for $6.4 million.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2" w:right="239" w:bottom="1440" w:gutter="0" w:footer="0" w:header="0"/>
        </w:sectPr>
      </w:pPr>
    </w:p>
    <w:bookmarkStart w:id="73" w:name="page74"/>
    <w:bookmarkEnd w:id="73"/>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year ended December 31, 2015, the Company also sold three commercial operating properties for net proceeds of $5.0 million which approximated carrying value.</w:t>
      </w:r>
    </w:p>
    <w:p>
      <w:pPr>
        <w:spacing w:after="0" w:line="13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year ended December 31, 2014, the Company sold its 72% interest in a previously consolidated entity, which owned a net lease asset subject to a non-recourse mortgage of $26.0 million at the time of sale, to the Net Lease Venture for net proceeds of $10.1 million that approximated carrying value (refer to Note 7). During the year ended December 31, 2014, the Company also sold a net lease asset for net proceeds of $93.7 million, which approximated carrying value, to the Net Lease Venture (refer to Note 7).</w:t>
      </w:r>
    </w:p>
    <w:p>
      <w:pPr>
        <w:spacing w:after="0" w:line="14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year ended December 31, 2014, the Company sold commercial operating properties for total net proceeds of $34.2 million and recorded income from sales of real estate of $4.6 million.</w:t>
      </w:r>
    </w:p>
    <w:p>
      <w:pPr>
        <w:spacing w:after="0" w:line="126"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b w:val="1"/>
          <w:bCs w:val="1"/>
          <w:color w:val="auto"/>
        </w:rPr>
        <w:t>Impairments—</w:t>
      </w:r>
      <w:r>
        <w:rPr>
          <w:rFonts w:ascii="Arial" w:cs="Arial" w:eastAsia="Arial" w:hAnsi="Arial"/>
          <w:sz w:val="18"/>
          <w:szCs w:val="18"/>
          <w:color w:val="auto"/>
        </w:rPr>
        <w:t>During the years ended December 31, 2016, 2015 and 2014, the Company recorded impairments on real estate assets totaling $10.7</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$5.9 million and $11.8 million, respectively. The impairments recorded in 2016 resulted from unfavorable local market conditions on residential operating properties and impairments upon the execution of sales contracts on net lease assets. The impairments recorded in 2015 resulted from a change in business strategy for two commercial operating properties and unfavorable local market conditions for one residential property. The impairments recorded in 2014 resulted from changes in business strategy for a residential property, unfavorable local market conditions for two real estate properties and from the sale of net lease assets.</w:t>
      </w:r>
    </w:p>
    <w:p>
      <w:pPr>
        <w:spacing w:after="0" w:line="188" w:lineRule="exact"/>
        <w:rPr>
          <w:sz w:val="20"/>
          <w:szCs w:val="20"/>
          <w:color w:val="auto"/>
        </w:rPr>
      </w:pPr>
    </w:p>
    <w:p>
      <w:pPr>
        <w:jc w:val="both"/>
        <w:ind w:right="20" w:firstLine="405"/>
        <w:spacing w:after="0" w:line="261" w:lineRule="auto"/>
        <w:rPr>
          <w:sz w:val="20"/>
          <w:szCs w:val="20"/>
          <w:color w:val="auto"/>
        </w:rPr>
      </w:pPr>
      <w:r>
        <w:rPr>
          <w:rFonts w:ascii="Arial" w:cs="Arial" w:eastAsia="Arial" w:hAnsi="Arial"/>
          <w:sz w:val="18"/>
          <w:szCs w:val="18"/>
          <w:b w:val="1"/>
          <w:bCs w:val="1"/>
          <w:color w:val="auto"/>
        </w:rPr>
        <w:t>Tenant Reimbursements—</w:t>
      </w:r>
      <w:r>
        <w:rPr>
          <w:rFonts w:ascii="Arial" w:cs="Arial" w:eastAsia="Arial" w:hAnsi="Arial"/>
          <w:sz w:val="18"/>
          <w:szCs w:val="18"/>
          <w:color w:val="auto"/>
        </w:rPr>
        <w:t>The Company receives reimbursements from tenants for certain facility operating expenses including common area costs,</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utilities and real estate taxes. Tenant expense reimbursements were $24.3 million, $26.8 million and $30.0 million for the years ended December 31, 2016, 2015 and 2014, respectively. These amounts are included in "Operating lease income" in the Company's consolidated statements of operations.</w:t>
      </w:r>
    </w:p>
    <w:p>
      <w:pPr>
        <w:spacing w:after="0" w:line="180"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color w:val="auto"/>
        </w:rPr>
        <w:t>Allowance for Doubtful Accounts—</w:t>
      </w:r>
      <w:r>
        <w:rPr>
          <w:rFonts w:ascii="Arial" w:cs="Arial" w:eastAsia="Arial" w:hAnsi="Arial"/>
          <w:sz w:val="18"/>
          <w:szCs w:val="18"/>
          <w:color w:val="auto"/>
        </w:rPr>
        <w:t>As of December 31, 2016 and 2015, the allowance for doubtful accounts related to real estate tenant receivables</w:t>
      </w:r>
      <w:r>
        <w:rPr>
          <w:rFonts w:ascii="Arial" w:cs="Arial" w:eastAsia="Arial" w:hAnsi="Arial"/>
          <w:sz w:val="18"/>
          <w:szCs w:val="18"/>
          <w:b w:val="1"/>
          <w:bCs w:val="1"/>
          <w:color w:val="auto"/>
        </w:rPr>
        <w:t xml:space="preserve"> </w:t>
      </w:r>
      <w:r>
        <w:rPr>
          <w:rFonts w:ascii="Arial" w:cs="Arial" w:eastAsia="Arial" w:hAnsi="Arial"/>
          <w:sz w:val="18"/>
          <w:szCs w:val="18"/>
          <w:color w:val="auto"/>
        </w:rPr>
        <w:t>was $1.3 million and $1.9 million, respectively, and the allowance for doubtful accounts related to deferred operating lease income was $1.3 million and $1.5 million, respectively. These amounts are included in "Accrued interest and operating lease income receivable, net" and "Deferred operating lease income receivable, net," respectively, on the Company's consolidated balance sheets.</w:t>
      </w:r>
    </w:p>
    <w:p>
      <w:pPr>
        <w:spacing w:after="0" w:line="180"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8"/>
          <w:szCs w:val="18"/>
          <w:b w:val="1"/>
          <w:bCs w:val="1"/>
          <w:color w:val="auto"/>
        </w:rPr>
        <w:t>Future Minimum Operating Lease Payments—</w:t>
      </w:r>
      <w:r>
        <w:rPr>
          <w:rFonts w:ascii="Arial" w:cs="Arial" w:eastAsia="Arial" w:hAnsi="Arial"/>
          <w:sz w:val="18"/>
          <w:szCs w:val="18"/>
          <w:color w:val="auto"/>
        </w:rPr>
        <w:t>Future minimum operating lease payments to be collected under non-cancelable leases, excluding</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 reimbursements of expenses, in effect as of December 31, 2016, are as follows ($ in thousands):</w:t>
      </w:r>
    </w:p>
    <w:p>
      <w:pPr>
        <w:spacing w:after="0" w:line="171" w:lineRule="exact"/>
        <w:rPr>
          <w:sz w:val="20"/>
          <w:szCs w:val="20"/>
          <w:color w:val="auto"/>
        </w:rPr>
      </w:pPr>
    </w:p>
    <w:tbl>
      <w:tblPr>
        <w:tblLayout w:type="fixed"/>
        <w:tblInd w:w="3080" w:type="dxa"/>
        <w:tblCellMar>
          <w:top w:w="0" w:type="dxa"/>
          <w:left w:w="0" w:type="dxa"/>
          <w:bottom w:w="0" w:type="dxa"/>
          <w:right w:w="0" w:type="dxa"/>
        </w:tblCellMar>
      </w:tblPr>
      <w:tr>
        <w:trPr>
          <w:trHeight w:val="192"/>
        </w:trPr>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Year</w:t>
            </w:r>
          </w:p>
        </w:tc>
        <w:tc>
          <w:tcPr>
            <w:tcW w:w="240" w:type="dxa"/>
            <w:vAlign w:val="bottom"/>
          </w:tcPr>
          <w:p>
            <w:pPr>
              <w:spacing w:after="0"/>
              <w:rPr>
                <w:sz w:val="16"/>
                <w:szCs w:val="16"/>
                <w:color w:val="auto"/>
              </w:rPr>
            </w:pPr>
          </w:p>
        </w:tc>
        <w:tc>
          <w:tcPr>
            <w:tcW w:w="1640" w:type="dxa"/>
            <w:vAlign w:val="bottom"/>
            <w:gridSpan w:val="2"/>
          </w:tcPr>
          <w:p>
            <w:pPr>
              <w:ind w:left="140"/>
              <w:spacing w:after="0"/>
              <w:rPr>
                <w:sz w:val="20"/>
                <w:szCs w:val="20"/>
                <w:color w:val="auto"/>
              </w:rPr>
            </w:pPr>
            <w:r>
              <w:rPr>
                <w:rFonts w:ascii="Arial" w:cs="Arial" w:eastAsia="Arial" w:hAnsi="Arial"/>
                <w:sz w:val="14"/>
                <w:szCs w:val="14"/>
                <w:b w:val="1"/>
                <w:bCs w:val="1"/>
                <w:color w:val="auto"/>
              </w:rPr>
              <w:t>Net Lease Assets</w:t>
            </w:r>
          </w:p>
        </w:tc>
        <w:tc>
          <w:tcPr>
            <w:tcW w:w="180" w:type="dxa"/>
            <w:vAlign w:val="bottom"/>
          </w:tcPr>
          <w:p>
            <w:pPr>
              <w:spacing w:after="0"/>
              <w:rPr>
                <w:sz w:val="16"/>
                <w:szCs w:val="16"/>
                <w:color w:val="auto"/>
              </w:rPr>
            </w:pPr>
          </w:p>
        </w:tc>
        <w:tc>
          <w:tcPr>
            <w:tcW w:w="1640" w:type="dxa"/>
            <w:vAlign w:val="bottom"/>
          </w:tcPr>
          <w:p>
            <w:pPr>
              <w:jc w:val="right"/>
              <w:ind w:right="173"/>
              <w:spacing w:after="0"/>
              <w:rPr>
                <w:sz w:val="20"/>
                <w:szCs w:val="20"/>
                <w:color w:val="auto"/>
              </w:rPr>
            </w:pPr>
            <w:r>
              <w:rPr>
                <w:rFonts w:ascii="Arial" w:cs="Arial" w:eastAsia="Arial" w:hAnsi="Arial"/>
                <w:sz w:val="14"/>
                <w:szCs w:val="14"/>
                <w:b w:val="1"/>
                <w:bCs w:val="1"/>
                <w:color w:val="auto"/>
                <w:w w:val="97"/>
              </w:rPr>
              <w:t>Operating Properties</w:t>
            </w:r>
          </w:p>
        </w:tc>
      </w:tr>
      <w:tr>
        <w:trPr>
          <w:trHeight w:val="250"/>
        </w:trPr>
        <w:tc>
          <w:tcPr>
            <w:tcW w:w="14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36,580</w:t>
            </w:r>
          </w:p>
        </w:tc>
      </w:tr>
      <w:tr>
        <w:trPr>
          <w:trHeight w:val="243"/>
        </w:trPr>
        <w:tc>
          <w:tcPr>
            <w:tcW w:w="148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123,005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34,535</w:t>
            </w:r>
          </w:p>
        </w:tc>
      </w:tr>
      <w:tr>
        <w:trPr>
          <w:trHeight w:val="27"/>
        </w:trPr>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30,805</w:t>
            </w:r>
          </w:p>
        </w:tc>
      </w:tr>
      <w:tr>
        <w:trPr>
          <w:trHeight w:val="243"/>
        </w:trPr>
        <w:tc>
          <w:tcPr>
            <w:tcW w:w="148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123,059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28,225</w:t>
            </w:r>
          </w:p>
        </w:tc>
      </w:tr>
      <w:tr>
        <w:trPr>
          <w:trHeight w:val="27"/>
        </w:trPr>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123,063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26,794</w:t>
            </w:r>
          </w:p>
        </w:tc>
      </w:tr>
      <w:tr>
        <w:trPr>
          <w:trHeight w:val="27"/>
        </w:trPr>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5—Land and Development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land and development assets were comprised of the following ($ in thousands):</w:t>
      </w:r>
    </w:p>
    <w:p>
      <w:pPr>
        <w:spacing w:after="0" w:line="284" w:lineRule="exact"/>
        <w:rPr>
          <w:sz w:val="20"/>
          <w:szCs w:val="20"/>
          <w:color w:val="auto"/>
        </w:rPr>
      </w:pPr>
    </w:p>
    <w:p>
      <w:pPr>
        <w:ind w:left="7760"/>
        <w:spacing w:after="0"/>
        <w:rPr>
          <w:sz w:val="20"/>
          <w:szCs w:val="20"/>
          <w:color w:val="auto"/>
        </w:rPr>
      </w:pPr>
      <w:r>
        <w:rPr>
          <w:rFonts w:ascii="Arial" w:cs="Arial" w:eastAsia="Arial" w:hAnsi="Arial"/>
          <w:sz w:val="14"/>
          <w:szCs w:val="14"/>
          <w:b w:val="1"/>
          <w:bCs w:val="1"/>
          <w:color w:val="auto"/>
        </w:rPr>
        <w:t>As of December 31,</w:t>
      </w:r>
    </w:p>
    <w:p>
      <w:pPr>
        <w:spacing w:after="0" w:line="25" w:lineRule="exact"/>
        <w:rPr>
          <w:sz w:val="20"/>
          <w:szCs w:val="20"/>
          <w:color w:val="auto"/>
        </w:rPr>
      </w:pPr>
    </w:p>
    <w:tbl>
      <w:tblPr>
        <w:tblLayout w:type="fixed"/>
        <w:tblInd w:w="1560" w:type="dxa"/>
        <w:tblCellMar>
          <w:top w:w="0" w:type="dxa"/>
          <w:left w:w="0" w:type="dxa"/>
          <w:bottom w:w="0" w:type="dxa"/>
          <w:right w:w="0" w:type="dxa"/>
        </w:tblCellMar>
      </w:tblPr>
      <w:tr>
        <w:trPr>
          <w:trHeight w:val="270"/>
        </w:trPr>
        <w:tc>
          <w:tcPr>
            <w:tcW w:w="3320" w:type="dxa"/>
            <w:vAlign w:val="bottom"/>
            <w:tcBorders>
              <w:top w:val="single" w:sz="8" w:color="CCEEFF"/>
            </w:tcBorders>
            <w:shd w:val="clear" w:color="auto" w:fill="CCEEFF"/>
          </w:tcPr>
          <w:p>
            <w:pPr>
              <w:spacing w:after="0"/>
              <w:rPr>
                <w:sz w:val="23"/>
                <w:szCs w:val="23"/>
                <w:color w:val="auto"/>
              </w:rPr>
            </w:pPr>
          </w:p>
        </w:tc>
        <w:tc>
          <w:tcPr>
            <w:tcW w:w="192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Land and land development, at cost</w:t>
            </w:r>
          </w:p>
        </w:tc>
        <w:tc>
          <w:tcPr>
            <w:tcW w:w="22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952,051</w:t>
            </w:r>
          </w:p>
        </w:tc>
        <w:tc>
          <w:tcPr>
            <w:tcW w:w="16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1,007,995</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19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(6,486)</w:t>
            </w:r>
          </w:p>
        </w:tc>
        <w:tc>
          <w:tcPr>
            <w:tcW w:w="1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(6,032)</w:t>
            </w:r>
          </w:p>
        </w:tc>
        <w:tc>
          <w:tcPr>
            <w:tcW w:w="0" w:type="dxa"/>
            <w:vAlign w:val="bottom"/>
          </w:tcPr>
          <w:p>
            <w:pPr>
              <w:spacing w:after="0"/>
              <w:rPr>
                <w:sz w:val="1"/>
                <w:szCs w:val="1"/>
                <w:color w:val="auto"/>
              </w:rPr>
            </w:pPr>
          </w:p>
        </w:tc>
      </w:tr>
      <w:tr>
        <w:trPr>
          <w:trHeight w:val="257"/>
        </w:trPr>
        <w:tc>
          <w:tcPr>
            <w:tcW w:w="3320" w:type="dxa"/>
            <w:vAlign w:val="bottom"/>
          </w:tcPr>
          <w:p>
            <w:pPr>
              <w:ind w:left="20"/>
              <w:spacing w:after="0"/>
              <w:rPr>
                <w:sz w:val="20"/>
                <w:szCs w:val="20"/>
                <w:color w:val="auto"/>
              </w:rPr>
            </w:pPr>
            <w:r>
              <w:rPr>
                <w:rFonts w:ascii="Arial" w:cs="Arial" w:eastAsia="Arial" w:hAnsi="Arial"/>
                <w:sz w:val="18"/>
                <w:szCs w:val="18"/>
                <w:color w:val="auto"/>
              </w:rPr>
              <w:t>Total land and development, net</w:t>
            </w:r>
          </w:p>
        </w:tc>
        <w:tc>
          <w:tcPr>
            <w:tcW w:w="19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945,565</w:t>
            </w:r>
          </w:p>
        </w:tc>
        <w:tc>
          <w:tcPr>
            <w:tcW w:w="16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1,001,963</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920" w:type="dxa"/>
            <w:vAlign w:val="bottom"/>
            <w:vMerge w:val="restart"/>
          </w:tcPr>
          <w:p>
            <w:pPr>
              <w:jc w:val="right"/>
              <w:ind w:right="910"/>
              <w:spacing w:after="0"/>
              <w:rPr>
                <w:sz w:val="20"/>
                <w:szCs w:val="20"/>
                <w:color w:val="auto"/>
              </w:rPr>
            </w:pPr>
            <w:r>
              <w:rPr>
                <w:rFonts w:ascii="Arial" w:cs="Arial" w:eastAsia="Arial" w:hAnsi="Arial"/>
                <w:sz w:val="18"/>
                <w:szCs w:val="18"/>
                <w:color w:val="auto"/>
              </w:rPr>
              <w:t>70</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32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74" w:name="page75"/>
    <w:bookmarkEnd w:id="74"/>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20" w:firstLine="486"/>
        <w:spacing w:after="0" w:line="282" w:lineRule="auto"/>
        <w:rPr>
          <w:sz w:val="20"/>
          <w:szCs w:val="20"/>
          <w:color w:val="auto"/>
        </w:rPr>
      </w:pPr>
      <w:r>
        <w:rPr>
          <w:rFonts w:ascii="Arial" w:cs="Arial" w:eastAsia="Arial" w:hAnsi="Arial"/>
          <w:sz w:val="18"/>
          <w:szCs w:val="18"/>
          <w:b w:val="1"/>
          <w:bCs w:val="1"/>
          <w:color w:val="auto"/>
        </w:rPr>
        <w:t>Acquisitions—</w:t>
      </w:r>
      <w:r>
        <w:rPr>
          <w:rFonts w:ascii="Arial" w:cs="Arial" w:eastAsia="Arial" w:hAnsi="Arial"/>
          <w:sz w:val="18"/>
          <w:szCs w:val="18"/>
          <w:color w:val="auto"/>
        </w:rPr>
        <w:t>During the year ended December 31, 2016, the Company acquired an additional 10.7% interest in a consolidated entity for $10.8</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The Company owns 95.7% of the entity as of December 31, 2016.</w:t>
      </w:r>
    </w:p>
    <w:p>
      <w:pPr>
        <w:spacing w:after="0" w:line="166"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During the year ended December 31, 2016, the Company acquired, via deed-in-lieu, title to two land assets which had a total fair value of $40.6 million and previously served as collateral for loans receivable held by the Company. No gain or loss was recorded in connection with these transactions.</w:t>
      </w:r>
    </w:p>
    <w:p>
      <w:pPr>
        <w:spacing w:after="0" w:line="12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the year ended December 31, 2014, the Company acquired, via deed-in-lieu, title to a land asset that previously served as collateral for loans receivable. The fair value of the land asset was $5.5 million.</w:t>
      </w:r>
    </w:p>
    <w:p>
      <w:pPr>
        <w:spacing w:after="0" w:line="166"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b w:val="1"/>
          <w:bCs w:val="1"/>
          <w:color w:val="auto"/>
        </w:rPr>
        <w:t>Dispositions—</w:t>
      </w:r>
      <w:r>
        <w:rPr>
          <w:rFonts w:ascii="Arial" w:cs="Arial" w:eastAsia="Arial" w:hAnsi="Arial"/>
          <w:sz w:val="18"/>
          <w:szCs w:val="18"/>
          <w:color w:val="auto"/>
        </w:rPr>
        <w:t>During the years ended December 31, 2016, 2015 and 2014, the Company sold residential lots and parcels and recognized land</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revenue of $88.3 million, $100.2 million and $15.2 million, respectively, from its land and development portfolio. During the years ended December 31, 2016, 2015 and 2014, the Company recognized land development cost of sales of $62.0 million, $67.4 million and $12.8 million, respectively, from its land and development portfolio.</w:t>
      </w:r>
    </w:p>
    <w:p>
      <w:pPr>
        <w:spacing w:after="0" w:line="184"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During the year ended December 31, 2016, the Company sold a land and development asset to a newly formed unconsolidated entity in which the Company owns a 50.0% equity interest (refer to Note 7). The Company recognized a gain of $8.8 million, reflecting the Company's share of the interest sold to a third party, which was recorded as "Income from sales of real estate" in the Company's consolidated statement of operations.</w:t>
      </w:r>
    </w:p>
    <w:p>
      <w:pPr>
        <w:spacing w:after="0" w:line="16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In April 2015, the Company transferred a land asset to a purchaser at a stated price of $16.1 million, as part of an agreement to construct an amphitheater, for which the Company received immediate payment of $5.3 million, with the remainder to be received upon completion of the development project. Due to the Company's continuing involvement in the project, no sale was recognized and the proceeds were recorded as unearned revenue in "Accounts payable, accrued expenses and other liabilities" on the Company's consolidated balance sheets (refer to Note 8).</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year ended December 31, 2014, the Company contributed land with a carrying value of $9.5 million to a newly formed unconsolidated entity (refer to Note 7). During the same period, the Company also sold properties with a carrying value of $6.8 million for proceeds that approximated carrying value.</w:t>
      </w:r>
    </w:p>
    <w:p>
      <w:pPr>
        <w:spacing w:after="0" w:line="137" w:lineRule="exact"/>
        <w:rPr>
          <w:sz w:val="20"/>
          <w:szCs w:val="20"/>
          <w:color w:val="auto"/>
        </w:rPr>
      </w:pPr>
    </w:p>
    <w:p>
      <w:pPr>
        <w:ind w:right="260" w:firstLine="486"/>
        <w:spacing w:after="0" w:line="282" w:lineRule="auto"/>
        <w:rPr>
          <w:sz w:val="20"/>
          <w:szCs w:val="20"/>
          <w:color w:val="auto"/>
        </w:rPr>
      </w:pPr>
      <w:r>
        <w:rPr>
          <w:rFonts w:ascii="Arial" w:cs="Arial" w:eastAsia="Arial" w:hAnsi="Arial"/>
          <w:sz w:val="18"/>
          <w:szCs w:val="18"/>
          <w:b w:val="1"/>
          <w:bCs w:val="1"/>
          <w:color w:val="auto"/>
        </w:rPr>
        <w:t>Impairments—</w:t>
      </w:r>
      <w:r>
        <w:rPr>
          <w:rFonts w:ascii="Arial" w:cs="Arial" w:eastAsia="Arial" w:hAnsi="Arial"/>
          <w:sz w:val="18"/>
          <w:szCs w:val="18"/>
          <w:color w:val="auto"/>
        </w:rPr>
        <w:t>During the years ended December 31, 2016, 2015 and 2014, the Company recorded impairments on land and development assets of</w:t>
      </w:r>
      <w:r>
        <w:rPr>
          <w:rFonts w:ascii="Arial" w:cs="Arial" w:eastAsia="Arial" w:hAnsi="Arial"/>
          <w:sz w:val="18"/>
          <w:szCs w:val="18"/>
          <w:b w:val="1"/>
          <w:bCs w:val="1"/>
          <w:color w:val="auto"/>
        </w:rPr>
        <w:t xml:space="preserve"> </w:t>
      </w:r>
      <w:r>
        <w:rPr>
          <w:rFonts w:ascii="Arial" w:cs="Arial" w:eastAsia="Arial" w:hAnsi="Arial"/>
          <w:sz w:val="18"/>
          <w:szCs w:val="18"/>
          <w:color w:val="auto"/>
        </w:rPr>
        <w:t>$3.8 million, $4.6 million and $22.8 million, respectively.</w:t>
      </w:r>
    </w:p>
    <w:p>
      <w:pPr>
        <w:spacing w:after="0" w:line="162"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b w:val="1"/>
          <w:bCs w:val="1"/>
          <w:color w:val="auto"/>
        </w:rPr>
        <w:t>Redeemable Noncontrolling Interest—</w:t>
      </w:r>
      <w:r>
        <w:rPr>
          <w:rFonts w:ascii="Arial" w:cs="Arial" w:eastAsia="Arial" w:hAnsi="Arial"/>
          <w:sz w:val="18"/>
          <w:szCs w:val="18"/>
          <w:color w:val="auto"/>
        </w:rPr>
        <w:t>The Company has a majority interest in a strategic venture that provides the third party minority partner an</w:t>
      </w:r>
      <w:r>
        <w:rPr>
          <w:rFonts w:ascii="Arial" w:cs="Arial" w:eastAsia="Arial" w:hAnsi="Arial"/>
          <w:sz w:val="18"/>
          <w:szCs w:val="18"/>
          <w:b w:val="1"/>
          <w:bCs w:val="1"/>
          <w:color w:val="auto"/>
        </w:rPr>
        <w:t xml:space="preserve"> </w:t>
      </w:r>
      <w:r>
        <w:rPr>
          <w:rFonts w:ascii="Arial" w:cs="Arial" w:eastAsia="Arial" w:hAnsi="Arial"/>
          <w:sz w:val="18"/>
          <w:szCs w:val="18"/>
          <w:color w:val="auto"/>
        </w:rPr>
        <w:t>option to redeem its interest at fair value. The Company has reflected the partner's noncontrolling interest in this venture as a component of redeemable noncontrolling interest within its consolidated balance sheets. Changes in fair value are being accreted over the term from the date of issuance of the redemption option to the earliest redemption date using the interest method. As of December 31, 2016 and December 31, 2015, this interest had a carrying value of $1.3 million and $7.2 million, respectively. As of December 31, 2016 and 2015, this interest had a redemption value of zero and $9.2 million, respectively.</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2" w:right="239" w:bottom="1440" w:gutter="0" w:footer="0" w:header="0"/>
        </w:sectPr>
      </w:pPr>
    </w:p>
    <w:bookmarkStart w:id="75" w:name="page76"/>
    <w:bookmarkEnd w:id="75"/>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6—Loans Receivable and Other Lending Investments,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Company's loans receivable and other lending investments by class ($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Type of Investment</w:t>
            </w: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2015</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mortgages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940,738</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975,915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Corporate/Partnership loans</w:t>
            </w: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490,389</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643,270</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Subordinate mortgages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24,941</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28,676</w:t>
            </w:r>
          </w:p>
        </w:tc>
      </w:tr>
      <w:tr>
        <w:trPr>
          <w:trHeight w:val="237"/>
        </w:trPr>
        <w:tc>
          <w:tcPr>
            <w:tcW w:w="7660" w:type="dxa"/>
            <w:vAlign w:val="bottom"/>
          </w:tcPr>
          <w:p>
            <w:pPr>
              <w:ind w:left="180"/>
              <w:spacing w:after="0"/>
              <w:rPr>
                <w:sz w:val="20"/>
                <w:szCs w:val="20"/>
                <w:color w:val="auto"/>
              </w:rPr>
            </w:pPr>
            <w:r>
              <w:rPr>
                <w:rFonts w:ascii="Arial" w:cs="Arial" w:eastAsia="Arial" w:hAnsi="Arial"/>
                <w:sz w:val="18"/>
                <w:szCs w:val="18"/>
                <w:color w:val="auto"/>
              </w:rPr>
              <w:t>Total gross carrying value of loans</w:t>
            </w: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1,456,068</w:t>
            </w:r>
          </w:p>
        </w:tc>
        <w:tc>
          <w:tcPr>
            <w:tcW w:w="1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1,647,861</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Reserves for loan losses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(85,545)</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(108,165)</w:t>
            </w:r>
          </w:p>
        </w:tc>
      </w:tr>
      <w:tr>
        <w:trPr>
          <w:trHeight w:val="237"/>
        </w:trPr>
        <w:tc>
          <w:tcPr>
            <w:tcW w:w="7660" w:type="dxa"/>
            <w:vAlign w:val="bottom"/>
          </w:tcPr>
          <w:p>
            <w:pPr>
              <w:ind w:left="180"/>
              <w:spacing w:after="0"/>
              <w:rPr>
                <w:sz w:val="20"/>
                <w:szCs w:val="20"/>
                <w:color w:val="auto"/>
              </w:rPr>
            </w:pPr>
            <w:r>
              <w:rPr>
                <w:rFonts w:ascii="Arial" w:cs="Arial" w:eastAsia="Arial" w:hAnsi="Arial"/>
                <w:sz w:val="18"/>
                <w:szCs w:val="18"/>
                <w:color w:val="auto"/>
              </w:rPr>
              <w:t>Total loans receivable, net</w:t>
            </w: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1,370,523</w:t>
            </w:r>
          </w:p>
        </w:tc>
        <w:tc>
          <w:tcPr>
            <w:tcW w:w="1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1,539,696</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lending investments—securities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79,916</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62,289</w:t>
            </w:r>
          </w:p>
        </w:tc>
      </w:tr>
      <w:tr>
        <w:trPr>
          <w:trHeight w:val="257"/>
        </w:trPr>
        <w:tc>
          <w:tcPr>
            <w:tcW w:w="7660" w:type="dxa"/>
            <w:vAlign w:val="bottom"/>
          </w:tcPr>
          <w:p>
            <w:pPr>
              <w:ind w:left="180"/>
              <w:spacing w:after="0"/>
              <w:rPr>
                <w:sz w:val="20"/>
                <w:szCs w:val="20"/>
                <w:color w:val="auto"/>
              </w:rPr>
            </w:pPr>
            <w:r>
              <w:rPr>
                <w:rFonts w:ascii="Arial" w:cs="Arial" w:eastAsia="Arial" w:hAnsi="Arial"/>
                <w:sz w:val="18"/>
                <w:szCs w:val="18"/>
                <w:color w:val="auto"/>
              </w:rPr>
              <w:t>Total loans receivable and other lending investments, net</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1,450,439</w:t>
            </w:r>
          </w:p>
        </w:tc>
        <w:tc>
          <w:tcPr>
            <w:tcW w:w="12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1,601,985</w:t>
            </w:r>
          </w:p>
        </w:tc>
      </w:tr>
      <w:tr>
        <w:trPr>
          <w:trHeight w:val="20"/>
        </w:trPr>
        <w:tc>
          <w:tcPr>
            <w:tcW w:w="7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June 2015, the Company received a loan with a fair value of $146.7 million as a non-cash paydown on a $196.6 million loan and reduced the principal balance by the fair value to $49.9 million. The loan received has been recorded as a loan receivable and is included in "Loans receivable and other lending investments, net" on the Company’s consolidated balance sheet. In connection with the transaction, the Company recorded a provision for loan losses of $25.9 million on the original loan resulting in a remaining balance of $24.0 million. In October 2015, the Company received full payment of the $24.0 million remaining balance of the original $196.6 million loan.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During the year ended December 31, 2015, the Company sold a loan with a carrying value of $5.5 million. No gain or loss was recorded on the sale.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2014, the Company sold loans with an aggregate carrying value of $30.8 million and recorded gains of $19.1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Gains on sales of loans are recorded in "Other income" in the Company's consolidated statements of operations.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2" w:right="239" w:bottom="1440" w:gutter="0" w:footer="0" w:header="0"/>
        </w:sectPr>
      </w:pPr>
    </w:p>
    <w:bookmarkStart w:id="76" w:name="page77"/>
    <w:bookmarkEnd w:id="76"/>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Reserve for Loan Losses</w:t>
      </w:r>
      <w:r>
        <w:rPr>
          <w:rFonts w:ascii="Arial" w:cs="Arial" w:eastAsia="Arial" w:hAnsi="Arial"/>
          <w:sz w:val="18"/>
          <w:szCs w:val="18"/>
          <w:color w:val="auto"/>
        </w:rPr>
        <w:t>—Changes in the Company's reserve for loan losses were as follows ($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For the Years Ended 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Reserve for loan losses at beginning of period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108,165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98,490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377,204</w:t>
            </w:r>
          </w:p>
        </w:tc>
        <w:tc>
          <w:tcPr>
            <w:tcW w:w="0" w:type="dxa"/>
            <w:vAlign w:val="bottom"/>
          </w:tcPr>
          <w:p>
            <w:pPr>
              <w:spacing w:after="0"/>
              <w:rPr>
                <w:sz w:val="1"/>
                <w:szCs w:val="1"/>
                <w:color w:val="auto"/>
              </w:rPr>
            </w:pPr>
          </w:p>
        </w:tc>
      </w:tr>
      <w:tr>
        <w:trPr>
          <w:trHeight w:val="270"/>
        </w:trPr>
        <w:tc>
          <w:tcPr>
            <w:tcW w:w="6740" w:type="dxa"/>
            <w:vAlign w:val="bottom"/>
          </w:tcPr>
          <w:p>
            <w:pPr>
              <w:ind w:left="180"/>
              <w:spacing w:after="0" w:line="270" w:lineRule="exact"/>
              <w:rPr>
                <w:sz w:val="20"/>
                <w:szCs w:val="20"/>
                <w:color w:val="auto"/>
              </w:rPr>
            </w:pPr>
            <w:r>
              <w:rPr>
                <w:rFonts w:ascii="Arial" w:cs="Arial" w:eastAsia="Arial" w:hAnsi="Arial"/>
                <w:sz w:val="18"/>
                <w:szCs w:val="18"/>
                <w:color w:val="auto"/>
              </w:rPr>
              <w:t>(Recovery of) provision for loan losses</w:t>
            </w:r>
            <w:r>
              <w:rPr>
                <w:rFonts w:ascii="Arial" w:cs="Arial" w:eastAsia="Arial" w:hAnsi="Arial"/>
                <w:sz w:val="25"/>
                <w:szCs w:val="25"/>
                <w:color w:val="auto"/>
                <w:vertAlign w:val="superscript"/>
              </w:rPr>
              <w:t>(1)</w:t>
            </w:r>
          </w:p>
        </w:tc>
        <w:tc>
          <w:tcPr>
            <w:tcW w:w="3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(12,514)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36,567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Charge-offs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(26,892)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(277,000)</w:t>
            </w: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Reserve for loan losses at end of period</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85,545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108,165</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98,490</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______________________________________________________________________________</w:t>
            </w: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7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60" w:hanging="652"/>
        <w:spacing w:after="0" w:line="255" w:lineRule="auto"/>
        <w:tabs>
          <w:tab w:leader="none" w:pos="6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For the years ended December 31, 2016, 2015 and 2014, the provision for loan losses includes recoveries of previously recorded asset-specific loan loss reserves of $13.7 million, $0.6 million and $10.1 million, respectively.</w:t>
      </w:r>
    </w:p>
    <w:p>
      <w:pPr>
        <w:spacing w:after="0" w:line="19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Company's recorded investment in loans (comprised of a loan's carrying value plus accrued interest) and the associated reserve for loan losses were as follows ($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Individually</w:t>
            </w:r>
          </w:p>
        </w:tc>
        <w:tc>
          <w:tcPr>
            <w:tcW w:w="22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Collectively</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Evaluated for</w:t>
            </w:r>
          </w:p>
        </w:tc>
        <w:tc>
          <w:tcPr>
            <w:tcW w:w="22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Evaluated for</w:t>
            </w:r>
          </w:p>
        </w:tc>
        <w:tc>
          <w:tcPr>
            <w:tcW w:w="360" w:type="dxa"/>
            <w:vAlign w:val="bottom"/>
          </w:tcPr>
          <w:p>
            <w:pPr>
              <w:spacing w:after="0"/>
              <w:rPr>
                <w:sz w:val="12"/>
                <w:szCs w:val="12"/>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Impairment</w:t>
            </w:r>
            <w:r>
              <w:rPr>
                <w:rFonts w:ascii="Arial" w:cs="Arial" w:eastAsia="Arial" w:hAnsi="Arial"/>
                <w:sz w:val="8"/>
                <w:szCs w:val="8"/>
                <w:b w:val="1"/>
                <w:bCs w:val="1"/>
                <w:color w:val="auto"/>
                <w:w w:val="98"/>
              </w:rPr>
              <w:t>(1)</w:t>
            </w:r>
          </w:p>
        </w:tc>
        <w:tc>
          <w:tcPr>
            <w:tcW w:w="22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Impairment</w:t>
            </w:r>
            <w:r>
              <w:rPr>
                <w:rFonts w:ascii="Arial" w:cs="Arial" w:eastAsia="Arial" w:hAnsi="Arial"/>
                <w:sz w:val="8"/>
                <w:szCs w:val="8"/>
                <w:b w:val="1"/>
                <w:bCs w:val="1"/>
                <w:color w:val="auto"/>
              </w:rPr>
              <w:t>(2)</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2016</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Loans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253,941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1,209,062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1,463,003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Reserve for loan losses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(62,245)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(85,545)</w:t>
            </w: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180"/>
              <w:spacing w:after="0" w:line="264" w:lineRule="exact"/>
              <w:rPr>
                <w:sz w:val="20"/>
                <w:szCs w:val="20"/>
                <w:color w:val="auto"/>
              </w:rPr>
            </w:pPr>
            <w:r>
              <w:rPr>
                <w:rFonts w:ascii="Arial" w:cs="Arial" w:eastAsia="Arial" w:hAnsi="Arial"/>
                <w:sz w:val="18"/>
                <w:szCs w:val="18"/>
                <w:color w:val="auto"/>
              </w:rPr>
              <w:t>Total</w:t>
            </w:r>
            <w:r>
              <w:rPr>
                <w:rFonts w:ascii="Arial" w:cs="Arial" w:eastAsia="Arial" w:hAnsi="Arial"/>
                <w:sz w:val="25"/>
                <w:szCs w:val="25"/>
                <w:color w:val="auto"/>
                <w:vertAlign w:val="superscript"/>
              </w:rPr>
              <w:t>(3)</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191,696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1,185,762</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1,377,458</w:t>
            </w: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2015</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Loans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132,492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1,524,347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1,656,839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Reserve for loan losses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(72,165)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(108,165)</w:t>
            </w:r>
          </w:p>
        </w:tc>
        <w:tc>
          <w:tcPr>
            <w:tcW w:w="0" w:type="dxa"/>
            <w:vAlign w:val="bottom"/>
          </w:tcPr>
          <w:p>
            <w:pPr>
              <w:spacing w:after="0"/>
              <w:rPr>
                <w:sz w:val="1"/>
                <w:szCs w:val="1"/>
                <w:color w:val="auto"/>
              </w:rPr>
            </w:pPr>
          </w:p>
        </w:tc>
      </w:tr>
      <w:tr>
        <w:trPr>
          <w:trHeight w:val="297"/>
        </w:trPr>
        <w:tc>
          <w:tcPr>
            <w:tcW w:w="5160" w:type="dxa"/>
            <w:vAlign w:val="bottom"/>
          </w:tcPr>
          <w:p>
            <w:pPr>
              <w:ind w:left="180"/>
              <w:spacing w:after="0"/>
              <w:rPr>
                <w:sz w:val="20"/>
                <w:szCs w:val="20"/>
                <w:color w:val="auto"/>
              </w:rPr>
            </w:pPr>
            <w:r>
              <w:rPr>
                <w:rFonts w:ascii="Arial" w:cs="Arial" w:eastAsia="Arial" w:hAnsi="Arial"/>
                <w:sz w:val="18"/>
                <w:szCs w:val="18"/>
                <w:color w:val="auto"/>
              </w:rPr>
              <w:t>Total</w:t>
            </w:r>
            <w:r>
              <w:rPr>
                <w:rFonts w:ascii="Arial" w:cs="Arial" w:eastAsia="Arial" w:hAnsi="Arial"/>
                <w:sz w:val="25"/>
                <w:szCs w:val="25"/>
                <w:color w:val="auto"/>
                <w:vertAlign w:val="superscript"/>
              </w:rPr>
              <w:t>(3)</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60,327</w:t>
            </w:r>
          </w:p>
        </w:tc>
        <w:tc>
          <w:tcPr>
            <w:tcW w:w="100" w:type="dxa"/>
            <w:vAlign w:val="bottom"/>
          </w:tcPr>
          <w:p>
            <w:pPr>
              <w:spacing w:after="0"/>
              <w:rPr>
                <w:sz w:val="24"/>
                <w:szCs w:val="24"/>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1,488,347</w:t>
            </w:r>
          </w:p>
        </w:tc>
        <w:tc>
          <w:tcPr>
            <w:tcW w:w="100" w:type="dxa"/>
            <w:vAlign w:val="bottom"/>
          </w:tcPr>
          <w:p>
            <w:pPr>
              <w:spacing w:after="0"/>
              <w:rPr>
                <w:sz w:val="24"/>
                <w:szCs w:val="24"/>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1,548,674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-20955</wp:posOffset>
            </wp:positionV>
            <wp:extent cx="296735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967355" cy="2603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 w:lineRule="exact"/>
        <w:rPr>
          <w:sz w:val="20"/>
          <w:szCs w:val="20"/>
          <w:color w:val="auto"/>
        </w:rPr>
      </w:pPr>
    </w:p>
    <w:p>
      <w:pPr>
        <w:jc w:val="both"/>
        <w:ind w:left="420" w:hanging="412"/>
        <w:spacing w:after="0" w:line="241" w:lineRule="auto"/>
        <w:tabs>
          <w:tab w:leader="none" w:pos="4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carrying value of these loans include unamortized discounts, premiums, deferred fees and costs totaling net discounts of $0.4 million and $0.2 million as of December 31, 2016 and 2015, respectively. The Company's loans individually evaluated for impairment primarily represent loans on non-accrual status and therefore, the unamortized amounts associated with these loans are not currently being amortized into income. During the year ended December 31, 2016, the Company transferred a loan with a gross carrying value of $157.2 million to non-performing status due to the initiation of bankruptcy proceedings related to the collateral, which resulted in the release of $11.6 million of the general reserve. The Company performed a valuation and recorded a specific reserve of $12.5 million.</w:t>
      </w:r>
    </w:p>
    <w:p>
      <w:pPr>
        <w:spacing w:after="0" w:line="1" w:lineRule="exact"/>
        <w:rPr>
          <w:rFonts w:ascii="Arial" w:cs="Arial" w:eastAsia="Arial" w:hAnsi="Arial"/>
          <w:sz w:val="14"/>
          <w:szCs w:val="14"/>
          <w:color w:val="auto"/>
        </w:rPr>
      </w:pPr>
    </w:p>
    <w:p>
      <w:pPr>
        <w:ind w:left="420" w:hanging="412"/>
        <w:spacing w:after="0" w:line="241" w:lineRule="auto"/>
        <w:tabs>
          <w:tab w:leader="none" w:pos="4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carrying value of these loans include unamortized discounts, premiums, deferred fees and costs totaling net discounts of $1.9 million and $8.2 million as of December 31, 2016 and 2015, respectively.</w:t>
      </w:r>
    </w:p>
    <w:p>
      <w:pPr>
        <w:jc w:val="both"/>
        <w:ind w:left="420" w:hanging="412"/>
        <w:spacing w:after="0" w:line="248" w:lineRule="auto"/>
        <w:tabs>
          <w:tab w:leader="none" w:pos="4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Company's recorded investment in loans as of December 31, 2016 and 2015 includes accrued interest of $6.9 million and $9.0 million, respectively, which are included in "Accrued interest and operating lease income receivable, net" on the Company's consolidated balance sheets. As of December 31, 2016 and 2015, excludes $79.9 million and $62.3 million, respectively, of securities that are evaluated for impairment under ASC 320.</w:t>
      </w:r>
    </w:p>
    <w:p>
      <w:pPr>
        <w:spacing w:after="0" w:line="192"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7"/>
          <w:szCs w:val="17"/>
          <w:b w:val="1"/>
          <w:bCs w:val="1"/>
          <w:color w:val="auto"/>
        </w:rPr>
        <w:t>Credit Characteristics</w:t>
      </w:r>
      <w:r>
        <w:rPr>
          <w:rFonts w:ascii="Arial" w:cs="Arial" w:eastAsia="Arial" w:hAnsi="Arial"/>
          <w:sz w:val="17"/>
          <w:szCs w:val="17"/>
          <w:color w:val="auto"/>
        </w:rPr>
        <w:t>—As part of the Company's process for monitoring the credit quality of its loans, it performs a quarterly loan portfolio</w:t>
      </w:r>
      <w:r>
        <w:rPr>
          <w:rFonts w:ascii="Arial" w:cs="Arial" w:eastAsia="Arial" w:hAnsi="Arial"/>
          <w:sz w:val="17"/>
          <w:szCs w:val="17"/>
          <w:b w:val="1"/>
          <w:bCs w:val="1"/>
          <w:color w:val="auto"/>
        </w:rPr>
        <w:t xml:space="preserve"> </w:t>
      </w:r>
      <w:r>
        <w:rPr>
          <w:rFonts w:ascii="Arial" w:cs="Arial" w:eastAsia="Arial" w:hAnsi="Arial"/>
          <w:sz w:val="17"/>
          <w:szCs w:val="17"/>
          <w:color w:val="auto"/>
        </w:rPr>
        <w:t>assessment and assigns risk ratings to each of its performing loans. Risk ratings, which range from 1 (lower risk) to 5 (higher risk), are based on judgments which are inherently uncertain and there can be no assurance that actual performance will be similar to current expectation.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1" w:right="239" w:bottom="1440" w:gutter="0" w:footer="0" w:header="0"/>
        </w:sectPr>
      </w:pPr>
    </w:p>
    <w:bookmarkStart w:id="77" w:name="page78"/>
    <w:bookmarkEnd w:id="77"/>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Company's recorded investment in performing loans, presented by class and by credit quality, as indicated by risk rating, was as follows ($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jc w:val="right"/>
              <w:ind w:right="654"/>
              <w:spacing w:after="0"/>
              <w:rPr>
                <w:sz w:val="20"/>
                <w:szCs w:val="20"/>
                <w:color w:val="auto"/>
              </w:rPr>
            </w:pPr>
            <w:r>
              <w:rPr>
                <w:rFonts w:ascii="Arial" w:cs="Arial" w:eastAsia="Arial" w:hAnsi="Arial"/>
                <w:sz w:val="14"/>
                <w:szCs w:val="14"/>
                <w:b w:val="1"/>
                <w:bCs w:val="1"/>
                <w:color w:val="auto"/>
              </w:rPr>
              <w:t>As of December 31,</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w w:val="89"/>
              </w:rPr>
              <w:t>2016</w:t>
            </w:r>
          </w:p>
        </w:tc>
        <w:tc>
          <w:tcPr>
            <w:tcW w:w="11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w w:val="89"/>
              </w:rPr>
              <w:t>2015</w:t>
            </w:r>
          </w:p>
        </w:tc>
        <w:tc>
          <w:tcPr>
            <w:tcW w:w="11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96"/>
              </w:rPr>
              <w:t>Performing</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3"/>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3"/>
                <w:szCs w:val="13"/>
                <w:color w:val="auto"/>
              </w:rPr>
            </w:pPr>
          </w:p>
        </w:tc>
        <w:tc>
          <w:tcPr>
            <w:tcW w:w="104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w w:val="96"/>
              </w:rPr>
              <w:t>Performing</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center"/>
              <w:ind w:right="94"/>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55"/>
              <w:spacing w:after="0"/>
              <w:rPr>
                <w:sz w:val="20"/>
                <w:szCs w:val="20"/>
                <w:color w:val="auto"/>
              </w:rPr>
            </w:pPr>
            <w:r>
              <w:rPr>
                <w:rFonts w:ascii="Arial" w:cs="Arial" w:eastAsia="Arial" w:hAnsi="Arial"/>
                <w:sz w:val="14"/>
                <w:szCs w:val="14"/>
                <w:b w:val="1"/>
                <w:bCs w:val="1"/>
                <w:color w:val="auto"/>
                <w:w w:val="92"/>
              </w:rPr>
              <w:t>Loans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Risk Ratings</w:t>
            </w:r>
          </w:p>
        </w:tc>
        <w:tc>
          <w:tcPr>
            <w:tcW w:w="220" w:type="dxa"/>
            <w:vAlign w:val="bottom"/>
          </w:tcPr>
          <w:p>
            <w:pPr>
              <w:spacing w:after="0"/>
              <w:rPr>
                <w:sz w:val="16"/>
                <w:szCs w:val="16"/>
                <w:color w:val="auto"/>
              </w:rPr>
            </w:pPr>
          </w:p>
        </w:tc>
        <w:tc>
          <w:tcPr>
            <w:tcW w:w="1040" w:type="dxa"/>
            <w:vAlign w:val="bottom"/>
          </w:tcPr>
          <w:p>
            <w:pPr>
              <w:jc w:val="center"/>
              <w:ind w:right="34"/>
              <w:spacing w:after="0"/>
              <w:rPr>
                <w:sz w:val="20"/>
                <w:szCs w:val="20"/>
                <w:color w:val="auto"/>
              </w:rPr>
            </w:pPr>
            <w:r>
              <w:rPr>
                <w:rFonts w:ascii="Arial" w:cs="Arial" w:eastAsia="Arial" w:hAnsi="Arial"/>
                <w:sz w:val="14"/>
                <w:szCs w:val="14"/>
                <w:b w:val="1"/>
                <w:bCs w:val="1"/>
                <w:color w:val="auto"/>
                <w:w w:val="87"/>
              </w:rPr>
              <w:t>Loans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94"/>
              <w:spacing w:after="0"/>
              <w:rPr>
                <w:sz w:val="20"/>
                <w:szCs w:val="20"/>
                <w:color w:val="auto"/>
              </w:rPr>
            </w:pPr>
            <w:r>
              <w:rPr>
                <w:rFonts w:ascii="Arial" w:cs="Arial" w:eastAsia="Arial" w:hAnsi="Arial"/>
                <w:sz w:val="14"/>
                <w:szCs w:val="14"/>
                <w:b w:val="1"/>
                <w:bCs w:val="1"/>
                <w:color w:val="auto"/>
                <w:w w:val="91"/>
              </w:rPr>
              <w:t>Risk Ratings</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mortgages</w:t>
            </w: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859,250</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853,595</w:t>
            </w: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Corporate/Partnership loans</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335,677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641,713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Subordinate mortgages</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14,135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29,039</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57"/>
        </w:trPr>
        <w:tc>
          <w:tcPr>
            <w:tcW w:w="4120" w:type="dxa"/>
            <w:vAlign w:val="bottom"/>
          </w:tcPr>
          <w:p>
            <w:pPr>
              <w:ind w:left="12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1,209,062</w:t>
            </w:r>
          </w:p>
        </w:tc>
        <w:tc>
          <w:tcPr>
            <w:tcW w:w="10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1,524,347</w:t>
            </w:r>
          </w:p>
        </w:tc>
        <w:tc>
          <w:tcPr>
            <w:tcW w:w="8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0"/>
        </w:trPr>
        <w:tc>
          <w:tcPr>
            <w:tcW w:w="5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860" w:type="dxa"/>
            <w:vAlign w:val="bottom"/>
            <w:gridSpan w:val="17"/>
          </w:tcPr>
          <w:p>
            <w:pPr>
              <w:ind w:left="440"/>
              <w:spacing w:after="0"/>
              <w:rPr>
                <w:sz w:val="20"/>
                <w:szCs w:val="20"/>
                <w:color w:val="auto"/>
              </w:rPr>
            </w:pPr>
            <w:r>
              <w:rPr>
                <w:rFonts w:ascii="Arial" w:cs="Arial" w:eastAsia="Arial" w:hAnsi="Arial"/>
                <w:sz w:val="18"/>
                <w:szCs w:val="18"/>
                <w:color w:val="auto"/>
                <w:w w:val="91"/>
              </w:rPr>
              <w:t>The Company's recorded investment in loans, aged by payment status and presented by class, were as follows ($ in thousands):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center"/>
              <w:ind w:right="35"/>
              <w:spacing w:after="0"/>
              <w:rPr>
                <w:sz w:val="20"/>
                <w:szCs w:val="20"/>
                <w:color w:val="auto"/>
              </w:rPr>
            </w:pPr>
            <w:r>
              <w:rPr>
                <w:rFonts w:ascii="Arial" w:cs="Arial" w:eastAsia="Arial" w:hAnsi="Arial"/>
                <w:sz w:val="14"/>
                <w:szCs w:val="14"/>
                <w:b w:val="1"/>
                <w:bCs w:val="1"/>
                <w:color w:val="auto"/>
                <w:w w:val="92"/>
              </w:rPr>
              <w:t>Less Than</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6"/>
              </w:rPr>
              <w:t>Greater</w:t>
            </w:r>
          </w:p>
        </w:tc>
        <w:tc>
          <w:tcPr>
            <w:tcW w:w="220" w:type="dxa"/>
            <w:vAlign w:val="bottom"/>
          </w:tcPr>
          <w:p>
            <w:pPr>
              <w:spacing w:after="0"/>
              <w:rPr>
                <w:sz w:val="24"/>
                <w:szCs w:val="24"/>
                <w:color w:val="auto"/>
              </w:rPr>
            </w:pPr>
          </w:p>
        </w:tc>
        <w:tc>
          <w:tcPr>
            <w:tcW w:w="104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95"/>
              </w:rPr>
              <w:t>Total</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 of December 31, 2016</w:t>
            </w:r>
          </w:p>
        </w:tc>
        <w:tc>
          <w:tcPr>
            <w:tcW w:w="300" w:type="dxa"/>
            <w:vAlign w:val="bottom"/>
          </w:tcPr>
          <w:p>
            <w:pPr>
              <w:spacing w:after="0"/>
              <w:rPr>
                <w:sz w:val="12"/>
                <w:szCs w:val="12"/>
                <w:color w:val="auto"/>
              </w:rPr>
            </w:pPr>
          </w:p>
        </w:tc>
        <w:tc>
          <w:tcPr>
            <w:tcW w:w="112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Current</w:t>
            </w:r>
          </w:p>
        </w:tc>
        <w:tc>
          <w:tcPr>
            <w:tcW w:w="8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5"/>
              </w:rPr>
              <w:t>and Equal</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rPr>
              <w:t>Than</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1"/>
              </w:rPr>
              <w:t>to 90 Days</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2"/>
              </w:rPr>
              <w:t>90 Days</w:t>
            </w:r>
            <w:r>
              <w:rPr>
                <w:rFonts w:ascii="Arial" w:cs="Arial" w:eastAsia="Arial" w:hAnsi="Arial"/>
                <w:sz w:val="8"/>
                <w:szCs w:val="8"/>
                <w:b w:val="1"/>
                <w:bCs w:val="1"/>
                <w:color w:val="auto"/>
                <w:w w:val="92"/>
              </w:rPr>
              <w:t>(1)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0"/>
              </w:rPr>
              <w:t>Past Due</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mortgages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868,505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76,677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76,677</w:t>
            </w:r>
          </w:p>
        </w:tc>
        <w:tc>
          <w:tcPr>
            <w:tcW w:w="4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945,182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Corporate/Partnership loans</w:t>
            </w:r>
          </w:p>
        </w:tc>
        <w:tc>
          <w:tcPr>
            <w:tcW w:w="30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335,677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157,146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157,146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492,823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Subordinate mortgages</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24,998</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24,998</w:t>
            </w:r>
          </w:p>
        </w:tc>
        <w:tc>
          <w:tcPr>
            <w:tcW w:w="0" w:type="dxa"/>
            <w:vAlign w:val="bottom"/>
          </w:tcPr>
          <w:p>
            <w:pPr>
              <w:spacing w:after="0"/>
              <w:rPr>
                <w:sz w:val="1"/>
                <w:szCs w:val="1"/>
                <w:color w:val="auto"/>
              </w:rPr>
            </w:pPr>
          </w:p>
        </w:tc>
      </w:tr>
      <w:tr>
        <w:trPr>
          <w:trHeight w:val="297"/>
        </w:trPr>
        <w:tc>
          <w:tcPr>
            <w:tcW w:w="41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1,229,180</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gridSpan w:val="2"/>
          </w:tcPr>
          <w:p>
            <w:pPr>
              <w:spacing w:after="0"/>
              <w:rPr>
                <w:sz w:val="24"/>
                <w:szCs w:val="24"/>
                <w:color w:val="auto"/>
              </w:rPr>
            </w:pPr>
          </w:p>
        </w:tc>
        <w:tc>
          <w:tcPr>
            <w:tcW w:w="2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233,823</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233,823</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gridSpan w:val="2"/>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1,463,003</w:t>
            </w: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2015</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Senior mortgages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864,099</w:t>
            </w:r>
          </w:p>
        </w:tc>
        <w:tc>
          <w:tcPr>
            <w:tcW w:w="80" w:type="dxa"/>
            <w:vAlign w:val="bottom"/>
          </w:tcPr>
          <w:p>
            <w:pPr>
              <w:spacing w:after="0"/>
              <w:rPr>
                <w:sz w:val="21"/>
                <w:szCs w:val="21"/>
                <w:color w:val="auto"/>
              </w:rPr>
            </w:pP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5"/>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116,250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116,250</w:t>
            </w:r>
          </w:p>
        </w:tc>
        <w:tc>
          <w:tcPr>
            <w:tcW w:w="4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980,349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Corporate/Partnership loans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647,451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647,451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Subordinate mortgages</w:t>
            </w:r>
          </w:p>
        </w:tc>
        <w:tc>
          <w:tcPr>
            <w:tcW w:w="30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29,039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29,039</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1,540,589</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spacing w:after="0"/>
              <w:rPr>
                <w:sz w:val="22"/>
                <w:szCs w:val="22"/>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116,250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116,250</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1,656,839</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-98425</wp:posOffset>
            </wp:positionV>
            <wp:extent cx="46310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jc w:val="both"/>
        <w:ind w:left="420" w:hanging="412"/>
        <w:spacing w:after="0" w:line="276" w:lineRule="auto"/>
        <w:tabs>
          <w:tab w:leader="none" w:pos="420" w:val="left"/>
        </w:tabs>
        <w:numPr>
          <w:ilvl w:val="0"/>
          <w:numId w:val="40"/>
        </w:numPr>
        <w:rPr>
          <w:rFonts w:ascii="Arial" w:cs="Arial" w:eastAsia="Arial" w:hAnsi="Arial"/>
          <w:sz w:val="13"/>
          <w:szCs w:val="13"/>
          <w:color w:val="auto"/>
        </w:rPr>
      </w:pPr>
      <w:r>
        <w:rPr>
          <w:rFonts w:ascii="Arial" w:cs="Arial" w:eastAsia="Arial" w:hAnsi="Arial"/>
          <w:sz w:val="13"/>
          <w:szCs w:val="13"/>
          <w:color w:val="auto"/>
        </w:rPr>
        <w:t>As of December 31, 2016, the Company had four loans which were greater than 90 days delinquent and were in various stages of resolution, including legal proceedings, environmental concerns and foreclosure-related proceedings, and ranged from 1.0 to 8.0 years outstanding. As of December 31, 2015, the Company had four loans which were greater than 90 days delinquent and were in various stages of resolution, including legal proceedings, environmental concerns and foreclosure-related proceedings, and ranged from 1.0 to 7.0 years outstanding.</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1" w:right="239" w:bottom="1440" w:gutter="0" w:footer="0" w:header="0"/>
        </w:sectPr>
      </w:pPr>
    </w:p>
    <w:bookmarkStart w:id="78" w:name="page79"/>
    <w:bookmarkEnd w:id="78"/>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Impaired Loans</w:t>
      </w:r>
      <w:r>
        <w:rPr>
          <w:rFonts w:ascii="Arial" w:cs="Arial" w:eastAsia="Arial" w:hAnsi="Arial"/>
          <w:sz w:val="18"/>
          <w:szCs w:val="18"/>
          <w:color w:val="auto"/>
        </w:rPr>
        <w:t>—The Company's recorded investment in impaired loans, presented by class, were as follows ($ in thousands)</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As of December 31, 2016</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jc w:val="center"/>
              <w:ind w:right="50"/>
              <w:spacing w:after="0"/>
              <w:rPr>
                <w:sz w:val="20"/>
                <w:szCs w:val="20"/>
                <w:color w:val="auto"/>
              </w:rPr>
            </w:pPr>
            <w:r>
              <w:rPr>
                <w:rFonts w:ascii="Arial" w:cs="Arial" w:eastAsia="Arial" w:hAnsi="Arial"/>
                <w:sz w:val="14"/>
                <w:szCs w:val="14"/>
                <w:b w:val="1"/>
                <w:bCs w:val="1"/>
                <w:color w:val="auto"/>
                <w:w w:val="92"/>
              </w:rPr>
              <w:t>As of December 31, 2015</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Recorded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3"/>
          </w:tcPr>
          <w:p>
            <w:pPr>
              <w:jc w:val="center"/>
              <w:ind w:right="380"/>
              <w:spacing w:after="0" w:line="153" w:lineRule="exact"/>
              <w:rPr>
                <w:sz w:val="20"/>
                <w:szCs w:val="20"/>
                <w:color w:val="auto"/>
              </w:rPr>
            </w:pPr>
            <w:r>
              <w:rPr>
                <w:rFonts w:ascii="Arial" w:cs="Arial" w:eastAsia="Arial" w:hAnsi="Arial"/>
                <w:sz w:val="14"/>
                <w:szCs w:val="14"/>
                <w:b w:val="1"/>
                <w:bCs w:val="1"/>
                <w:color w:val="auto"/>
                <w:w w:val="96"/>
              </w:rPr>
              <w:t>Unpaid</w:t>
            </w:r>
          </w:p>
        </w:tc>
        <w:tc>
          <w:tcPr>
            <w:tcW w:w="180" w:type="dxa"/>
            <w:vAlign w:val="bottom"/>
          </w:tcPr>
          <w:p>
            <w:pPr>
              <w:spacing w:after="0"/>
              <w:rPr>
                <w:sz w:val="13"/>
                <w:szCs w:val="13"/>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Related</w:t>
            </w:r>
          </w:p>
        </w:tc>
        <w:tc>
          <w:tcPr>
            <w:tcW w:w="200" w:type="dxa"/>
            <w:vAlign w:val="bottom"/>
          </w:tcPr>
          <w:p>
            <w:pPr>
              <w:spacing w:after="0"/>
              <w:rPr>
                <w:sz w:val="13"/>
                <w:szCs w:val="13"/>
                <w:color w:val="auto"/>
              </w:rPr>
            </w:pPr>
          </w:p>
        </w:tc>
        <w:tc>
          <w:tcPr>
            <w:tcW w:w="10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Recorded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6"/>
              </w:rPr>
              <w:t>Unpaid</w:t>
            </w:r>
          </w:p>
        </w:tc>
        <w:tc>
          <w:tcPr>
            <w:tcW w:w="220" w:type="dxa"/>
            <w:vAlign w:val="bottom"/>
          </w:tcPr>
          <w:p>
            <w:pPr>
              <w:spacing w:after="0"/>
              <w:rPr>
                <w:sz w:val="13"/>
                <w:szCs w:val="13"/>
                <w:color w:val="auto"/>
              </w:rPr>
            </w:pPr>
          </w:p>
        </w:tc>
        <w:tc>
          <w:tcPr>
            <w:tcW w:w="104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Related</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Principal</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Principal</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153"/>
              <w:spacing w:after="0"/>
              <w:rPr>
                <w:sz w:val="20"/>
                <w:szCs w:val="20"/>
                <w:color w:val="auto"/>
              </w:rPr>
            </w:pPr>
            <w:r>
              <w:rPr>
                <w:rFonts w:ascii="Arial" w:cs="Arial" w:eastAsia="Arial" w:hAnsi="Arial"/>
                <w:sz w:val="14"/>
                <w:szCs w:val="14"/>
                <w:b w:val="1"/>
                <w:bCs w:val="1"/>
                <w:color w:val="auto"/>
              </w:rPr>
              <w:t>Investment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9"/>
              </w:rPr>
              <w:t>Balance</w:t>
            </w:r>
          </w:p>
        </w:tc>
        <w:tc>
          <w:tcPr>
            <w:tcW w:w="18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Allowance</w:t>
            </w:r>
          </w:p>
        </w:tc>
        <w:tc>
          <w:tcPr>
            <w:tcW w:w="200" w:type="dxa"/>
            <w:vAlign w:val="bottom"/>
          </w:tcPr>
          <w:p>
            <w:pPr>
              <w:spacing w:after="0"/>
              <w:rPr>
                <w:sz w:val="16"/>
                <w:szCs w:val="16"/>
                <w:color w:val="auto"/>
              </w:rPr>
            </w:pPr>
          </w:p>
        </w:tc>
        <w:tc>
          <w:tcPr>
            <w:tcW w:w="1000" w:type="dxa"/>
            <w:vAlign w:val="bottom"/>
          </w:tcPr>
          <w:p>
            <w:pPr>
              <w:jc w:val="right"/>
              <w:ind w:right="153"/>
              <w:spacing w:after="0"/>
              <w:rPr>
                <w:sz w:val="20"/>
                <w:szCs w:val="20"/>
                <w:color w:val="auto"/>
              </w:rPr>
            </w:pPr>
            <w:r>
              <w:rPr>
                <w:rFonts w:ascii="Arial" w:cs="Arial" w:eastAsia="Arial" w:hAnsi="Arial"/>
                <w:sz w:val="14"/>
                <w:szCs w:val="14"/>
                <w:b w:val="1"/>
                <w:bCs w:val="1"/>
                <w:color w:val="auto"/>
              </w:rPr>
              <w:t>Investment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Balance</w:t>
            </w:r>
          </w:p>
        </w:tc>
        <w:tc>
          <w:tcPr>
            <w:tcW w:w="220" w:type="dxa"/>
            <w:vAlign w:val="bottom"/>
          </w:tcPr>
          <w:p>
            <w:pPr>
              <w:spacing w:after="0"/>
              <w:rPr>
                <w:sz w:val="16"/>
                <w:szCs w:val="16"/>
                <w:color w:val="auto"/>
              </w:rPr>
            </w:pPr>
          </w:p>
        </w:tc>
        <w:tc>
          <w:tcPr>
            <w:tcW w:w="1040" w:type="dxa"/>
            <w:vAlign w:val="bottom"/>
          </w:tcPr>
          <w:p>
            <w:pPr>
              <w:jc w:val="right"/>
              <w:ind w:right="213"/>
              <w:spacing w:after="0"/>
              <w:rPr>
                <w:sz w:val="20"/>
                <w:szCs w:val="20"/>
                <w:color w:val="auto"/>
              </w:rPr>
            </w:pPr>
            <w:r>
              <w:rPr>
                <w:rFonts w:ascii="Arial" w:cs="Arial" w:eastAsia="Arial" w:hAnsi="Arial"/>
                <w:sz w:val="14"/>
                <w:szCs w:val="14"/>
                <w:b w:val="1"/>
                <w:bCs w:val="1"/>
                <w:color w:val="auto"/>
              </w:rPr>
              <w:t>Allowance</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With no related allowance recorded:</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Subordinate mortgages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10,862</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10,846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Subtotal</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10,862</w:t>
            </w:r>
          </w:p>
        </w:tc>
        <w:tc>
          <w:tcPr>
            <w:tcW w:w="4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10,846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With an allowance recorded:</w:t>
            </w: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Senior mortgages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85,933</w:t>
            </w:r>
          </w:p>
        </w:tc>
        <w:tc>
          <w:tcPr>
            <w:tcW w:w="4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85,780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126,754</w:t>
            </w:r>
          </w:p>
        </w:tc>
        <w:tc>
          <w:tcPr>
            <w:tcW w:w="4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125,776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(69,627)</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Corporate/Partnership loans</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157,146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146,783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5,738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5,738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(2,538)</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Subtotal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243,079</w:t>
            </w:r>
          </w:p>
        </w:tc>
        <w:tc>
          <w:tcPr>
            <w:tcW w:w="4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232,563</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(62,245)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132,492</w:t>
            </w:r>
          </w:p>
        </w:tc>
        <w:tc>
          <w:tcPr>
            <w:tcW w:w="4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131,514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(72,165)</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Senior mortgages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85,933</w:t>
            </w:r>
          </w:p>
        </w:tc>
        <w:tc>
          <w:tcPr>
            <w:tcW w:w="4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85,780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126,754</w:t>
            </w:r>
          </w:p>
        </w:tc>
        <w:tc>
          <w:tcPr>
            <w:tcW w:w="4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125,776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(69,627)</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Corporate/Partnership loans</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157,146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146,783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5,738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5,738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(2,538)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Subordinate mortgages</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10,862</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10,846</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340" w:type="dxa"/>
            <w:vAlign w:val="bottom"/>
          </w:tcPr>
          <w:p>
            <w:pPr>
              <w:ind w:left="3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253,941</w:t>
            </w:r>
          </w:p>
        </w:tc>
        <w:tc>
          <w:tcPr>
            <w:tcW w:w="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243,409</w:t>
            </w: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(62,245)</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132,492</w:t>
            </w:r>
          </w:p>
        </w:tc>
        <w:tc>
          <w:tcPr>
            <w:tcW w:w="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131,514</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(72,165)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8890</wp:posOffset>
            </wp:positionV>
            <wp:extent cx="51371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-98425</wp:posOffset>
            </wp:positionV>
            <wp:extent cx="51371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ind w:left="420" w:hanging="412"/>
        <w:spacing w:after="0"/>
        <w:tabs>
          <w:tab w:leader="none" w:pos="4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All of the Company's non-accrual loans are considered impaired and included in the table above.</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Company's average recorded investment in impaired loans and interest income recognized, presented by class, were as follows ($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9"/>
              </w:rPr>
              <w:t>For the Years Ended December 31,</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43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2015</w:t>
            </w: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2014</w:t>
            </w:r>
          </w:p>
        </w:tc>
        <w:tc>
          <w:tcPr>
            <w:tcW w:w="880" w:type="dxa"/>
            <w:vAlign w:val="bottom"/>
            <w:tcBorders>
              <w:bottom w:val="single" w:sz="8" w:color="auto"/>
            </w:tcBorders>
          </w:tcPr>
          <w:p>
            <w:pPr>
              <w:spacing w:after="0"/>
              <w:rPr>
                <w:sz w:val="22"/>
                <w:szCs w:val="22"/>
                <w:color w:val="auto"/>
              </w:rPr>
            </w:pPr>
          </w:p>
        </w:tc>
      </w:tr>
      <w:tr>
        <w:trPr>
          <w:trHeight w:val="152"/>
        </w:trPr>
        <w:tc>
          <w:tcPr>
            <w:tcW w:w="4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3"/>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Interest</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Interest</w:t>
            </w:r>
          </w:p>
        </w:tc>
        <w:tc>
          <w:tcPr>
            <w:tcW w:w="160" w:type="dxa"/>
            <w:vAlign w:val="bottom"/>
          </w:tcPr>
          <w:p>
            <w:pPr>
              <w:spacing w:after="0"/>
              <w:rPr>
                <w:sz w:val="13"/>
                <w:szCs w:val="13"/>
                <w:color w:val="auto"/>
              </w:rPr>
            </w:pPr>
          </w:p>
        </w:tc>
        <w:tc>
          <w:tcPr>
            <w:tcW w:w="10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3"/>
                <w:szCs w:val="13"/>
                <w:color w:val="auto"/>
              </w:rPr>
            </w:pPr>
          </w:p>
        </w:tc>
        <w:tc>
          <w:tcPr>
            <w:tcW w:w="880" w:type="dxa"/>
            <w:vAlign w:val="bottom"/>
          </w:tcPr>
          <w:p>
            <w:pPr>
              <w:jc w:val="center"/>
              <w:ind w:right="74"/>
              <w:spacing w:after="0" w:line="153" w:lineRule="exact"/>
              <w:rPr>
                <w:sz w:val="20"/>
                <w:szCs w:val="20"/>
                <w:color w:val="auto"/>
              </w:rPr>
            </w:pPr>
            <w:r>
              <w:rPr>
                <w:rFonts w:ascii="Arial" w:cs="Arial" w:eastAsia="Arial" w:hAnsi="Arial"/>
                <w:sz w:val="14"/>
                <w:szCs w:val="14"/>
                <w:b w:val="1"/>
                <w:bCs w:val="1"/>
                <w:color w:val="auto"/>
                <w:w w:val="94"/>
              </w:rPr>
              <w:t>Interest</w:t>
            </w:r>
          </w:p>
        </w:tc>
      </w:tr>
      <w:tr>
        <w:trPr>
          <w:trHeight w:val="149"/>
        </w:trPr>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Recorded</w:t>
            </w:r>
          </w:p>
        </w:tc>
        <w:tc>
          <w:tcPr>
            <w:tcW w:w="12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Recorded</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Recorded</w:t>
            </w:r>
          </w:p>
        </w:tc>
        <w:tc>
          <w:tcPr>
            <w:tcW w:w="140" w:type="dxa"/>
            <w:vAlign w:val="bottom"/>
          </w:tcPr>
          <w:p>
            <w:pPr>
              <w:spacing w:after="0"/>
              <w:rPr>
                <w:sz w:val="12"/>
                <w:szCs w:val="12"/>
                <w:color w:val="auto"/>
              </w:rPr>
            </w:pPr>
          </w:p>
        </w:tc>
        <w:tc>
          <w:tcPr>
            <w:tcW w:w="88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3"/>
              </w:rPr>
              <w:t>Income</w:t>
            </w:r>
          </w:p>
        </w:tc>
      </w:tr>
      <w:tr>
        <w:trPr>
          <w:trHeight w:val="192"/>
        </w:trPr>
        <w:tc>
          <w:tcPr>
            <w:tcW w:w="4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Recognized</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Investment</w:t>
            </w: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Recognized</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Investment</w:t>
            </w:r>
          </w:p>
        </w:tc>
        <w:tc>
          <w:tcPr>
            <w:tcW w:w="140" w:type="dxa"/>
            <w:vAlign w:val="bottom"/>
          </w:tcPr>
          <w:p>
            <w:pPr>
              <w:spacing w:after="0"/>
              <w:rPr>
                <w:sz w:val="16"/>
                <w:szCs w:val="16"/>
                <w:color w:val="auto"/>
              </w:rPr>
            </w:pPr>
          </w:p>
        </w:tc>
        <w:tc>
          <w:tcPr>
            <w:tcW w:w="88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Recognized</w:t>
            </w:r>
          </w:p>
        </w:tc>
      </w:tr>
      <w:tr>
        <w:trPr>
          <w:trHeight w:val="250"/>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With no related allowance recorded:</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Senior mortgages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3,661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35,659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1,922</w:t>
            </w: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Subordinate mortgages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6,799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4360" w:type="dxa"/>
            <w:vAlign w:val="bottom"/>
          </w:tcPr>
          <w:p>
            <w:pPr>
              <w:ind w:left="380"/>
              <w:spacing w:after="0"/>
              <w:rPr>
                <w:sz w:val="20"/>
                <w:szCs w:val="20"/>
                <w:color w:val="auto"/>
              </w:rPr>
            </w:pPr>
            <w:r>
              <w:rPr>
                <w:rFonts w:ascii="Arial" w:cs="Arial" w:eastAsia="Arial" w:hAnsi="Arial"/>
                <w:sz w:val="18"/>
                <w:szCs w:val="18"/>
                <w:color w:val="auto"/>
              </w:rPr>
              <w:t>Subtotal</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10,460</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35,659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1,922</w:t>
            </w: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With an allowance recorded:</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Senior mortgages</w:t>
            </w:r>
          </w:p>
        </w:tc>
        <w:tc>
          <w:tcPr>
            <w:tcW w:w="18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118,921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129,135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334,351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158</w:t>
            </w: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Corporate/Partnership loans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66,101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24,252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52,963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w:t>
            </w:r>
          </w:p>
        </w:tc>
      </w:tr>
      <w:tr>
        <w:trPr>
          <w:trHeight w:val="237"/>
        </w:trPr>
        <w:tc>
          <w:tcPr>
            <w:tcW w:w="4360" w:type="dxa"/>
            <w:vAlign w:val="bottom"/>
          </w:tcPr>
          <w:p>
            <w:pPr>
              <w:ind w:left="380"/>
              <w:spacing w:after="0"/>
              <w:rPr>
                <w:sz w:val="20"/>
                <w:szCs w:val="20"/>
                <w:color w:val="auto"/>
              </w:rPr>
            </w:pPr>
            <w:r>
              <w:rPr>
                <w:rFonts w:ascii="Arial" w:cs="Arial" w:eastAsia="Arial" w:hAnsi="Arial"/>
                <w:sz w:val="18"/>
                <w:szCs w:val="18"/>
                <w:color w:val="auto"/>
              </w:rPr>
              <w:t>Subtotal</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185,022</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153,387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387,314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339</w:t>
            </w: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Senior mortgages</w:t>
            </w:r>
          </w:p>
        </w:tc>
        <w:tc>
          <w:tcPr>
            <w:tcW w:w="18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122,582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129,135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370,010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2,080</w:t>
            </w: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Corporate/Partnership loans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66,101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24,252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52,963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w:t>
            </w: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Subordinate mortgages</w:t>
            </w:r>
          </w:p>
        </w:tc>
        <w:tc>
          <w:tcPr>
            <w:tcW w:w="18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6,799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195,482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153,387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422,973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2,261</w:t>
            </w:r>
          </w:p>
        </w:tc>
      </w:tr>
      <w:tr>
        <w:trPr>
          <w:trHeight w:val="20"/>
        </w:trPr>
        <w:tc>
          <w:tcPr>
            <w:tcW w:w="4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There was no interest income related to the resolution of non-performing loans recorded during the years ended December 31, 2016, 2015 and 2014.</w:t>
      </w:r>
    </w:p>
    <w:p>
      <w:pPr>
        <w:spacing w:after="0" w:line="244" w:lineRule="exact"/>
        <w:rPr>
          <w:sz w:val="20"/>
          <w:szCs w:val="20"/>
          <w:color w:val="auto"/>
        </w:rPr>
      </w:pPr>
    </w:p>
    <w:p>
      <w:pPr>
        <w:jc w:val="both"/>
        <w:ind w:firstLine="405"/>
        <w:spacing w:after="0" w:line="281" w:lineRule="auto"/>
        <w:rPr>
          <w:sz w:val="20"/>
          <w:szCs w:val="20"/>
          <w:color w:val="auto"/>
        </w:rPr>
      </w:pPr>
      <w:r>
        <w:rPr>
          <w:rFonts w:ascii="Arial" w:cs="Arial" w:eastAsia="Arial" w:hAnsi="Arial"/>
          <w:sz w:val="17"/>
          <w:szCs w:val="17"/>
          <w:b w:val="1"/>
          <w:bCs w:val="1"/>
          <w:color w:val="auto"/>
        </w:rPr>
        <w:t>Troubled Debt Restructurings</w:t>
      </w:r>
      <w:r>
        <w:rPr>
          <w:rFonts w:ascii="Arial" w:cs="Arial" w:eastAsia="Arial" w:hAnsi="Arial"/>
          <w:sz w:val="17"/>
          <w:szCs w:val="17"/>
          <w:color w:val="auto"/>
        </w:rPr>
        <w:t>—During the year ended December 31, 2015, the Company modified two senior loans that were determined to be</w:t>
      </w:r>
      <w:r>
        <w:rPr>
          <w:rFonts w:ascii="Arial" w:cs="Arial" w:eastAsia="Arial" w:hAnsi="Arial"/>
          <w:sz w:val="17"/>
          <w:szCs w:val="17"/>
          <w:b w:val="1"/>
          <w:bCs w:val="1"/>
          <w:color w:val="auto"/>
        </w:rPr>
        <w:t xml:space="preserve"> </w:t>
      </w:r>
      <w:r>
        <w:rPr>
          <w:rFonts w:ascii="Arial" w:cs="Arial" w:eastAsia="Arial" w:hAnsi="Arial"/>
          <w:sz w:val="17"/>
          <w:szCs w:val="17"/>
          <w:color w:val="auto"/>
        </w:rPr>
        <w:t>troubled debt restructurings. The Company restructured one non-performing loan with a recorded investment of $5.8 million to grant a maturity extension of one year. The Company also modified one non-performing loan with a recorded investment of $11.6 million to grant a discounted payoff option and a maturity extension of one year. The Company's recorded investment in these loans was not impacted by the modifications.</w:t>
      </w:r>
    </w:p>
    <w:p>
      <w:pPr>
        <w:sectPr>
          <w:pgSz w:w="11900" w:h="16838" w:orient="portrait"/>
          <w:cols w:equalWidth="0" w:num="1">
            <w:col w:w="11420"/>
          </w:cols>
          <w:pgMar w:left="240" w:top="121" w:right="239" w:bottom="1440" w:gutter="0" w:footer="0" w:header="0"/>
        </w:sect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121" w:right="23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year ended December 31, 2014, the Company restructured one non-performing senior loan that was determined to be a troubled debt restructuring with a recorded investment of $7.0 million to grant a maturity extension of one year and included conditional extension options. The Company's recorded investment in this loan was not impacted by the modification.</w:t>
      </w:r>
    </w:p>
    <w:p>
      <w:pPr>
        <w:spacing w:after="0" w:line="14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Generally when granting concessions, the Company will seek to protect its position by requiring incremental pay downs, additional collateral or guarantees and in some cases lookback features or equity kickers to offset concessions granted should conditions impacting the loan improve. The Company's determination of credit losses is impacted by troubled debt restructurings whereby loans that have gone through troubled debt restructurings are considered impaired, assessed for specific reserves, and are not included in the Company's assessment of general loan loss reserves. Loans previously restructured under troubled debt restructurings that subsequently default are reassessed to incorporate the Company's current assumptions on expected cash flows and additional provision expense is recorded to the extent necessary. As of December 31, 2016, there were no unfunded commitments associated with modified loans considered troubled debt restructurings.</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Securities</w:t>
      </w:r>
      <w:r>
        <w:rPr>
          <w:rFonts w:ascii="Arial" w:cs="Arial" w:eastAsia="Arial" w:hAnsi="Arial"/>
          <w:sz w:val="18"/>
          <w:szCs w:val="18"/>
          <w:color w:val="auto"/>
        </w:rPr>
        <w:t>—Other lending investments—securities includes the following ($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Face Value</w:t>
            </w: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Amortized Cost</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Net Unrealized</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Estimated Fair</w:t>
            </w: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Net Carrying Value</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Basis</w:t>
            </w: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Gain (Loss)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2016</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Municipal debt securities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21,240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21,240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21,666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21,666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Held-to-Maturity Securities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securities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58,454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58,250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2,753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61,003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58,250</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79,694</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79,490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3,179</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82,669</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79,916</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2015</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Municipal debt securities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Held-to-Maturity Securities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securities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54,549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61,128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61,199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61,128</w:t>
            </w:r>
          </w:p>
        </w:tc>
        <w:tc>
          <w:tcPr>
            <w:tcW w:w="0" w:type="dxa"/>
            <w:vAlign w:val="bottom"/>
          </w:tcPr>
          <w:p>
            <w:pPr>
              <w:spacing w:after="0"/>
              <w:rPr>
                <w:sz w:val="1"/>
                <w:szCs w:val="1"/>
                <w:color w:val="auto"/>
              </w:rPr>
            </w:pPr>
          </w:p>
        </w:tc>
      </w:tr>
      <w:tr>
        <w:trPr>
          <w:trHeight w:val="257"/>
        </w:trPr>
        <w:tc>
          <w:tcPr>
            <w:tcW w:w="4700" w:type="dxa"/>
            <w:vAlign w:val="bottom"/>
          </w:tcPr>
          <w:p>
            <w:pPr>
              <w:ind w:left="2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55,559</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62,138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62,360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62,289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2016, the contractual maturities of the Company's securities were as follows ($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335"/>
              <w:spacing w:after="0"/>
              <w:rPr>
                <w:sz w:val="20"/>
                <w:szCs w:val="20"/>
                <w:color w:val="auto"/>
              </w:rPr>
            </w:pPr>
            <w:r>
              <w:rPr>
                <w:rFonts w:ascii="Arial" w:cs="Arial" w:eastAsia="Arial" w:hAnsi="Arial"/>
                <w:sz w:val="14"/>
                <w:szCs w:val="14"/>
                <w:b w:val="1"/>
                <w:bCs w:val="1"/>
                <w:color w:val="auto"/>
              </w:rPr>
              <w:t>Held-to-Maturity Securities</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Available-for-Sale Securities</w:t>
            </w:r>
          </w:p>
        </w:tc>
      </w:tr>
      <w:tr>
        <w:trPr>
          <w:trHeight w:val="152"/>
        </w:trPr>
        <w:tc>
          <w:tcPr>
            <w:tcW w:w="3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Amortized Cost</w:t>
            </w:r>
          </w:p>
        </w:tc>
        <w:tc>
          <w:tcPr>
            <w:tcW w:w="140" w:type="dxa"/>
            <w:vAlign w:val="bottom"/>
          </w:tcPr>
          <w:p>
            <w:pPr>
              <w:spacing w:after="0"/>
              <w:rPr>
                <w:sz w:val="13"/>
                <w:szCs w:val="13"/>
                <w:color w:val="auto"/>
              </w:rPr>
            </w:pPr>
          </w:p>
        </w:tc>
        <w:tc>
          <w:tcPr>
            <w:tcW w:w="1080" w:type="dxa"/>
            <w:vAlign w:val="bottom"/>
          </w:tcPr>
          <w:p>
            <w:pPr>
              <w:jc w:val="right"/>
              <w:ind w:right="35"/>
              <w:spacing w:after="0" w:line="153" w:lineRule="exact"/>
              <w:rPr>
                <w:sz w:val="20"/>
                <w:szCs w:val="20"/>
                <w:color w:val="auto"/>
              </w:rPr>
            </w:pPr>
            <w:r>
              <w:rPr>
                <w:rFonts w:ascii="Arial" w:cs="Arial" w:eastAsia="Arial" w:hAnsi="Arial"/>
                <w:sz w:val="14"/>
                <w:szCs w:val="14"/>
                <w:b w:val="1"/>
                <w:bCs w:val="1"/>
                <w:color w:val="auto"/>
                <w:w w:val="97"/>
              </w:rPr>
              <w:t>Estimated Fair</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Amortized Cost</w:t>
            </w:r>
          </w:p>
        </w:tc>
        <w:tc>
          <w:tcPr>
            <w:tcW w:w="140" w:type="dxa"/>
            <w:vAlign w:val="bottom"/>
          </w:tcPr>
          <w:p>
            <w:pPr>
              <w:spacing w:after="0"/>
              <w:rPr>
                <w:sz w:val="13"/>
                <w:szCs w:val="13"/>
                <w:color w:val="auto"/>
              </w:rPr>
            </w:pPr>
          </w:p>
        </w:tc>
        <w:tc>
          <w:tcPr>
            <w:tcW w:w="1140" w:type="dxa"/>
            <w:vAlign w:val="bottom"/>
          </w:tcPr>
          <w:p>
            <w:pPr>
              <w:jc w:val="right"/>
              <w:ind w:right="95"/>
              <w:spacing w:after="0" w:line="153" w:lineRule="exact"/>
              <w:rPr>
                <w:sz w:val="20"/>
                <w:szCs w:val="20"/>
                <w:color w:val="auto"/>
              </w:rPr>
            </w:pPr>
            <w:r>
              <w:rPr>
                <w:rFonts w:ascii="Arial" w:cs="Arial" w:eastAsia="Arial" w:hAnsi="Arial"/>
                <w:sz w:val="14"/>
                <w:szCs w:val="14"/>
                <w:b w:val="1"/>
                <w:bCs w:val="1"/>
                <w:color w:val="auto"/>
                <w:w w:val="97"/>
              </w:rPr>
              <w:t>Estimated Fair</w:t>
            </w:r>
          </w:p>
        </w:tc>
      </w:tr>
      <w:tr>
        <w:trPr>
          <w:trHeight w:val="192"/>
        </w:trPr>
        <w:tc>
          <w:tcPr>
            <w:tcW w:w="3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Basis</w:t>
            </w:r>
          </w:p>
        </w:tc>
        <w:tc>
          <w:tcPr>
            <w:tcW w:w="140" w:type="dxa"/>
            <w:vAlign w:val="bottom"/>
          </w:tcPr>
          <w:p>
            <w:pPr>
              <w:spacing w:after="0"/>
              <w:rPr>
                <w:sz w:val="16"/>
                <w:szCs w:val="16"/>
                <w:color w:val="auto"/>
              </w:rPr>
            </w:pPr>
          </w:p>
        </w:tc>
        <w:tc>
          <w:tcPr>
            <w:tcW w:w="1080" w:type="dxa"/>
            <w:vAlign w:val="bottom"/>
          </w:tcPr>
          <w:p>
            <w:pPr>
              <w:jc w:val="right"/>
              <w:ind w:right="315"/>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ind w:left="340"/>
              <w:spacing w:after="0"/>
              <w:rPr>
                <w:sz w:val="20"/>
                <w:szCs w:val="20"/>
                <w:color w:val="auto"/>
              </w:rPr>
            </w:pPr>
            <w:r>
              <w:rPr>
                <w:rFonts w:ascii="Arial" w:cs="Arial" w:eastAsia="Arial" w:hAnsi="Arial"/>
                <w:sz w:val="14"/>
                <w:szCs w:val="14"/>
                <w:b w:val="1"/>
                <w:bCs w:val="1"/>
                <w:color w:val="auto"/>
              </w:rPr>
              <w:t>Basis</w:t>
            </w:r>
          </w:p>
        </w:tc>
        <w:tc>
          <w:tcPr>
            <w:tcW w:w="140" w:type="dxa"/>
            <w:vAlign w:val="bottom"/>
          </w:tcPr>
          <w:p>
            <w:pPr>
              <w:spacing w:after="0"/>
              <w:rPr>
                <w:sz w:val="16"/>
                <w:szCs w:val="16"/>
                <w:color w:val="auto"/>
              </w:rPr>
            </w:pPr>
          </w:p>
        </w:tc>
        <w:tc>
          <w:tcPr>
            <w:tcW w:w="1140" w:type="dxa"/>
            <w:vAlign w:val="bottom"/>
          </w:tcPr>
          <w:p>
            <w:pPr>
              <w:jc w:val="right"/>
              <w:ind w:right="375"/>
              <w:spacing w:after="0"/>
              <w:rPr>
                <w:sz w:val="20"/>
                <w:szCs w:val="20"/>
                <w:color w:val="auto"/>
              </w:rPr>
            </w:pPr>
            <w:r>
              <w:rPr>
                <w:rFonts w:ascii="Arial" w:cs="Arial" w:eastAsia="Arial" w:hAnsi="Arial"/>
                <w:sz w:val="14"/>
                <w:szCs w:val="14"/>
                <w:b w:val="1"/>
                <w:bCs w:val="1"/>
                <w:color w:val="auto"/>
              </w:rPr>
              <w:t>Value</w:t>
            </w:r>
          </w:p>
        </w:tc>
      </w:tr>
      <w:tr>
        <w:trPr>
          <w:trHeight w:val="250"/>
        </w:trPr>
        <w:tc>
          <w:tcPr>
            <w:tcW w:w="3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Maturities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Within one year</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After one year through 5 years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61,003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After 5 years through 10 years</w:t>
            </w:r>
          </w:p>
        </w:tc>
        <w:tc>
          <w:tcPr>
            <w:tcW w:w="1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
        </w:trPr>
        <w:tc>
          <w:tcPr>
            <w:tcW w:w="3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After 10 years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21,240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21,666</w:t>
            </w:r>
          </w:p>
        </w:tc>
      </w:tr>
      <w:tr>
        <w:trPr>
          <w:trHeight w:val="257"/>
        </w:trPr>
        <w:tc>
          <w:tcPr>
            <w:tcW w:w="3000" w:type="dxa"/>
            <w:vAlign w:val="bottom"/>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58,250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61,003</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21,240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21,666</w:t>
            </w:r>
          </w:p>
        </w:tc>
      </w:tr>
      <w:tr>
        <w:trPr>
          <w:trHeight w:val="20"/>
        </w:trPr>
        <w:tc>
          <w:tcPr>
            <w:tcW w:w="3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08"/>
        </w:trPr>
        <w:tc>
          <w:tcPr>
            <w:tcW w:w="3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gridSpan w:val="3"/>
          </w:tcPr>
          <w:p>
            <w:pPr>
              <w:jc w:val="right"/>
              <w:ind w:right="30"/>
              <w:spacing w:after="0"/>
              <w:rPr>
                <w:sz w:val="20"/>
                <w:szCs w:val="20"/>
                <w:color w:val="auto"/>
              </w:rPr>
            </w:pPr>
            <w:r>
              <w:rPr>
                <w:rFonts w:ascii="Arial" w:cs="Arial" w:eastAsia="Arial" w:hAnsi="Arial"/>
                <w:sz w:val="18"/>
                <w:szCs w:val="18"/>
                <w:color w:val="auto"/>
                <w:w w:val="79"/>
              </w:rPr>
              <w:t>76</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80" w:name="page81"/>
    <w:bookmarkEnd w:id="80"/>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7—Other Investments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Company's other investments and its proportionate share of earnings (losses) from equity method investments were as follows ($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center"/>
              <w:ind w:left="456"/>
              <w:spacing w:after="0"/>
              <w:rPr>
                <w:sz w:val="20"/>
                <w:szCs w:val="20"/>
                <w:color w:val="auto"/>
              </w:rPr>
            </w:pPr>
            <w:r>
              <w:rPr>
                <w:rFonts w:ascii="Arial" w:cs="Arial" w:eastAsia="Arial" w:hAnsi="Arial"/>
                <w:sz w:val="14"/>
                <w:szCs w:val="14"/>
                <w:b w:val="1"/>
                <w:bCs w:val="1"/>
                <w:color w:val="auto"/>
                <w:w w:val="97"/>
              </w:rPr>
              <w:t>Carrying Value</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6"/>
          </w:tcPr>
          <w:p>
            <w:pPr>
              <w:jc w:val="center"/>
              <w:ind w:left="376"/>
              <w:spacing w:after="0"/>
              <w:rPr>
                <w:sz w:val="20"/>
                <w:szCs w:val="20"/>
                <w:color w:val="auto"/>
              </w:rPr>
            </w:pPr>
            <w:r>
              <w:rPr>
                <w:rFonts w:ascii="Arial" w:cs="Arial" w:eastAsia="Arial" w:hAnsi="Arial"/>
                <w:sz w:val="14"/>
                <w:szCs w:val="14"/>
                <w:b w:val="1"/>
                <w:bCs w:val="1"/>
                <w:color w:val="auto"/>
                <w:w w:val="92"/>
              </w:rPr>
              <w:t>Equity in Earnings (Losses)</w:t>
            </w:r>
          </w:p>
        </w:tc>
        <w:tc>
          <w:tcPr>
            <w:tcW w:w="740" w:type="dxa"/>
            <w:vAlign w:val="bottom"/>
          </w:tcPr>
          <w:p>
            <w:pPr>
              <w:spacing w:after="0"/>
              <w:rPr>
                <w:sz w:val="16"/>
                <w:szCs w:val="16"/>
                <w:color w:val="auto"/>
              </w:rPr>
            </w:pPr>
          </w:p>
        </w:tc>
      </w:tr>
      <w:tr>
        <w:trPr>
          <w:trHeight w:val="276"/>
        </w:trPr>
        <w:tc>
          <w:tcPr>
            <w:tcW w:w="4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2"/>
              </w:rPr>
              <w:t>As of December 31,</w:t>
            </w:r>
          </w:p>
        </w:tc>
        <w:tc>
          <w:tcPr>
            <w:tcW w:w="280" w:type="dxa"/>
            <w:vAlign w:val="bottom"/>
          </w:tcPr>
          <w:p>
            <w:pPr>
              <w:spacing w:after="0"/>
              <w:rPr>
                <w:sz w:val="24"/>
                <w:szCs w:val="24"/>
                <w:color w:val="auto"/>
              </w:rPr>
            </w:pPr>
          </w:p>
        </w:tc>
        <w:tc>
          <w:tcPr>
            <w:tcW w:w="2680" w:type="dxa"/>
            <w:vAlign w:val="bottom"/>
            <w:gridSpan w:val="6"/>
          </w:tcPr>
          <w:p>
            <w:pPr>
              <w:jc w:val="center"/>
              <w:ind w:left="396"/>
              <w:spacing w:after="0"/>
              <w:rPr>
                <w:sz w:val="20"/>
                <w:szCs w:val="20"/>
                <w:color w:val="auto"/>
              </w:rPr>
            </w:pPr>
            <w:r>
              <w:rPr>
                <w:rFonts w:ascii="Arial" w:cs="Arial" w:eastAsia="Arial" w:hAnsi="Arial"/>
                <w:sz w:val="14"/>
                <w:szCs w:val="14"/>
                <w:b w:val="1"/>
                <w:bCs w:val="1"/>
                <w:color w:val="auto"/>
                <w:w w:val="93"/>
              </w:rPr>
              <w:t>For the Years Ended December 31,</w:t>
            </w:r>
          </w:p>
        </w:tc>
        <w:tc>
          <w:tcPr>
            <w:tcW w:w="740" w:type="dxa"/>
            <w:vAlign w:val="bottom"/>
          </w:tcPr>
          <w:p>
            <w:pPr>
              <w:spacing w:after="0"/>
              <w:rPr>
                <w:sz w:val="24"/>
                <w:szCs w:val="24"/>
                <w:color w:val="auto"/>
              </w:rPr>
            </w:pPr>
          </w:p>
        </w:tc>
      </w:tr>
      <w:tr>
        <w:trPr>
          <w:trHeight w:val="264"/>
        </w:trPr>
        <w:tc>
          <w:tcPr>
            <w:tcW w:w="414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top w:val="single" w:sz="8" w:color="auto"/>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89"/>
              </w:rPr>
              <w:t>2014</w:t>
            </w: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equity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iStar Net Lease I LLC ("Net Lease Venture")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92,669</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69,096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3,567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5,221</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1,915</w:t>
            </w:r>
          </w:p>
        </w:tc>
      </w:tr>
      <w:tr>
        <w:trPr>
          <w:trHeight w:val="27"/>
        </w:trPr>
        <w:tc>
          <w:tcPr>
            <w:tcW w:w="4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Marina Palms, LLC ("Marina Palms")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35,185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22,053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23,626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14,671</w:t>
            </w:r>
          </w:p>
        </w:tc>
      </w:tr>
      <w:tr>
        <w:trPr>
          <w:trHeight w:val="270"/>
        </w:trPr>
        <w:tc>
          <w:tcPr>
            <w:tcW w:w="41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Other real estate equity investments </w:t>
            </w:r>
            <w:r>
              <w:rPr>
                <w:rFonts w:ascii="Arial" w:cs="Arial" w:eastAsia="Arial" w:hAnsi="Arial"/>
                <w:sz w:val="25"/>
                <w:szCs w:val="25"/>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53,202</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81,452</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41,822</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(5,280)</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36,842</w:t>
            </w:r>
          </w:p>
        </w:tc>
      </w:tr>
      <w:tr>
        <w:trPr>
          <w:trHeight w:val="244"/>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Subtotal</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181,056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180,647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67,442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23,567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53,428</w:t>
            </w:r>
          </w:p>
        </w:tc>
      </w:tr>
      <w:tr>
        <w:trPr>
          <w:trHeight w:val="270"/>
        </w:trPr>
        <w:tc>
          <w:tcPr>
            <w:tcW w:w="41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Other strategic investments </w:t>
            </w:r>
            <w:r>
              <w:rPr>
                <w:rFonts w:ascii="Arial" w:cs="Arial" w:eastAsia="Arial" w:hAnsi="Arial"/>
                <w:sz w:val="25"/>
                <w:szCs w:val="25"/>
                <w:color w:val="auto"/>
                <w:vertAlign w:val="superscript"/>
              </w:rPr>
              <w:t>(2)(3)</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33,350</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73,525</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9,907</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8,586</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41,477</w:t>
            </w:r>
          </w:p>
        </w:tc>
      </w:tr>
      <w:tr>
        <w:trPr>
          <w:trHeight w:val="257"/>
        </w:trPr>
        <w:tc>
          <w:tcPr>
            <w:tcW w:w="4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214,406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254,172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77,349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32,153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94,905</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-98425</wp:posOffset>
            </wp:positionV>
            <wp:extent cx="40989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098925" cy="8890"/>
                    </a:xfrm>
                    <a:prstGeom prst="rect">
                      <a:avLst/>
                    </a:prstGeom>
                    <a:noFill/>
                  </pic:spPr>
                </pic:pic>
              </a:graphicData>
            </a:graphic>
          </wp:anchor>
        </w:drawing>
      </w:r>
    </w:p>
    <w:p>
      <w:pPr>
        <w:jc w:val="both"/>
        <w:ind w:left="420" w:hanging="412"/>
        <w:spacing w:after="0" w:line="241" w:lineRule="auto"/>
        <w:tabs>
          <w:tab w:leader="none" w:pos="4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During the year ended December 31, 2016, a majority-owned consolidated subsidiary of the Company sold its interest in a real estate equity method investment for net proceeds of $39.8 million and recognized equity in earnings of $31.5 million, of which $10.1 million was attributable to the noncontrolling interest. In addition, the Company received a distribution from one of its real estate equity method investments and recognized equity in earnings during the year ended December 31, 2016 of $11.6 million. During the year ended December 31, 2014, the Company recognized $32.9 million of earnings from equity method investments resulting from asset sales by one of its equity method investees.</w:t>
      </w:r>
    </w:p>
    <w:p>
      <w:pPr>
        <w:spacing w:after="0" w:line="1" w:lineRule="exact"/>
        <w:rPr>
          <w:rFonts w:ascii="Arial" w:cs="Arial" w:eastAsia="Arial" w:hAnsi="Arial"/>
          <w:sz w:val="14"/>
          <w:szCs w:val="14"/>
          <w:color w:val="auto"/>
        </w:rPr>
      </w:pPr>
    </w:p>
    <w:p>
      <w:pPr>
        <w:ind w:left="420" w:hanging="412"/>
        <w:spacing w:after="0" w:line="241" w:lineRule="auto"/>
        <w:tabs>
          <w:tab w:leader="none" w:pos="4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During the year ended December 31, 2014, the Company recognized $23.4 million of earnings from equity method investments resulting from asset sales and a legal settlement by one of its equity method investees.</w:t>
      </w:r>
    </w:p>
    <w:p>
      <w:pPr>
        <w:ind w:left="420" w:hanging="412"/>
        <w:spacing w:after="0" w:line="255" w:lineRule="auto"/>
        <w:tabs>
          <w:tab w:leader="none" w:pos="4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 conjunction with the sale of the Company's interests in Oak Hill Advisors, L.P. in 2011, the Company retained a share of the carried interest related to various funds. During the years ended December 31, 2016, 2015 and 2014, the Company recognized $4.3 million, $2.2 million and $9.0 million, respectively, of carried interest income.</w:t>
      </w:r>
    </w:p>
    <w:p>
      <w:pPr>
        <w:spacing w:after="0" w:line="132"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6"/>
          <w:szCs w:val="16"/>
          <w:b w:val="1"/>
          <w:bCs w:val="1"/>
          <w:color w:val="auto"/>
        </w:rPr>
        <w:t>Net Lease Venture</w:t>
      </w:r>
      <w:r>
        <w:rPr>
          <w:rFonts w:ascii="Arial" w:cs="Arial" w:eastAsia="Arial" w:hAnsi="Arial"/>
          <w:sz w:val="16"/>
          <w:szCs w:val="16"/>
          <w:color w:val="auto"/>
        </w:rPr>
        <w:t>—In February 2014, the Company partnered with a sovereign wealth fund to form a new unconsolidated entity in which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has an equity interest of approximately 51.9%. This entity is not a VIE and the Company does not have controlling interest due to the substantive participating rights of its partner. The partners plan to contribute up to an aggregate $500 million of equity to acquire and develop net lease assets over time. The Company is responsible for sourcing new opportunities and managing the venture and its assets in exchange for a promote and management fee. Several of the Company's senior executives whose time is substantially devoted to the Net Lease Venture own a total of 0.6% equity ownership in the venture via co-investment. These senior executives are also entitled to an amount equal to 50% of any promote payment received based on the 47.5% partner's interest. During the year ended December 31, 2016, the Net Lease Venture acquired two office properties and the Company made contributions to the Net Lease Venture of $37.7 million. During the year ended December 31, 2014, the Company sold a net lease asset for net proceeds of $93.7 million, which approximated carrying value, to the Net Lease Venture. The Company also sold its 72% interest in a previously consolidated entity, which owns a net lease asset subject to a mortgage of $26.0 million, to the Net Lease Venture for net proceeds of $10.1 million, which approximated carrying value. During the same period, the Net Lease Venture purchased a portfolio of 58 net lease assets for a purchase price of $200.0 million from a third party. As of December 31, 2016 and 2015, the venture's carrying value of total assets was $511.3 million and $400.2 million, respectively. During the years ended December 31, 2016, 2015 and 2014, the Company recorded $1.6 million, $1.5 million and $1.3 million, respectively, of management fees from the Net Lease Venture. The management fees are included in "Other income" in the Company's consolidated statements of operations. In November 2016, the Net Lease Venture placed five year non-recourse financing of $29.0 million on one of its net lease assets. Net proceeds from the financing were distributed to the members of which the Company received $13.2 million. In June 2015, the Net Lease Venture placed ten year non-recourse financing of $120.0 million on one of its net lease assets. Net proceeds from the financing were distributed to its members of which the Company received approximately $61.2 million.</w:t>
      </w:r>
    </w:p>
    <w:p>
      <w:pPr>
        <w:spacing w:after="0" w:line="121"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b w:val="1"/>
          <w:bCs w:val="1"/>
          <w:color w:val="auto"/>
        </w:rPr>
        <w:t>Marina Palms</w:t>
      </w:r>
      <w:r>
        <w:rPr>
          <w:rFonts w:ascii="Arial" w:cs="Arial" w:eastAsia="Arial" w:hAnsi="Arial"/>
          <w:sz w:val="18"/>
          <w:szCs w:val="18"/>
          <w:color w:val="auto"/>
        </w:rPr>
        <w:t>—As of December 31, 2016, the Company owned a 47.5% equity interest in Marina Palms, a 468 unit, two tower residential</w:t>
      </w:r>
      <w:r>
        <w:rPr>
          <w:rFonts w:ascii="Arial" w:cs="Arial" w:eastAsia="Arial" w:hAnsi="Arial"/>
          <w:sz w:val="18"/>
          <w:szCs w:val="18"/>
          <w:b w:val="1"/>
          <w:bCs w:val="1"/>
          <w:color w:val="auto"/>
        </w:rPr>
        <w:t xml:space="preserve"> </w:t>
      </w:r>
      <w:r>
        <w:rPr>
          <w:rFonts w:ascii="Arial" w:cs="Arial" w:eastAsia="Arial" w:hAnsi="Arial"/>
          <w:sz w:val="18"/>
          <w:szCs w:val="18"/>
          <w:color w:val="auto"/>
        </w:rPr>
        <w:t>condominium development in North Miami Beach, Florida. The 234 unit north tower has one unit remaining for sale as of December 31, 2016. The 234 unit south tower is 83% pre-sold (based on unit count) as of December 31, 2016. This entity is not a VIE and the Company does not have controlling interest due to shared control of the entity with its partner. As of December 31, 2016 and 2015, the venture's carrying value of total assets was $201.8 million and $278.5 million, respectively.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81" w:name="page82"/>
    <w:bookmarkEnd w:id="81"/>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7"/>
          <w:szCs w:val="17"/>
          <w:b w:val="1"/>
          <w:bCs w:val="1"/>
          <w:color w:val="auto"/>
        </w:rPr>
        <w:t>Other real estate equity investments</w:t>
      </w:r>
      <w:r>
        <w:rPr>
          <w:rFonts w:ascii="Arial" w:cs="Arial" w:eastAsia="Arial" w:hAnsi="Arial"/>
          <w:sz w:val="17"/>
          <w:szCs w:val="17"/>
          <w:color w:val="auto"/>
        </w:rPr>
        <w:t>—As of December 31, 2016, the Company's other real estate equity investments included equity interests in real</w:t>
      </w:r>
      <w:r>
        <w:rPr>
          <w:rFonts w:ascii="Arial" w:cs="Arial" w:eastAsia="Arial" w:hAnsi="Arial"/>
          <w:sz w:val="17"/>
          <w:szCs w:val="17"/>
          <w:b w:val="1"/>
          <w:bCs w:val="1"/>
          <w:color w:val="auto"/>
        </w:rPr>
        <w:t xml:space="preserve"> </w:t>
      </w:r>
      <w:r>
        <w:rPr>
          <w:rFonts w:ascii="Arial" w:cs="Arial" w:eastAsia="Arial" w:hAnsi="Arial"/>
          <w:sz w:val="17"/>
          <w:szCs w:val="17"/>
          <w:color w:val="auto"/>
        </w:rPr>
        <w:t>estate ventures ranging from 20% to 85%, comprised of investments of $3.6 million in operating properties and $49.6 million in land assets. As of December 31, 2015, the Company's other real estate equity investments included $11.1 million in operating properties and $70.4 million in land assets.</w:t>
      </w:r>
    </w:p>
    <w:p>
      <w:pPr>
        <w:spacing w:after="0" w:line="10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December 2016, the Company sold a land and development asset for $36.0 million to a newly formed unconsolidated entity in which the Company owns a 50.0% equity interest (refer to Note 5). The Company recognized a gain of $8.8 million, reflecting the Company's share of the interest sold to a third party, which was recorded as "Income from sales of real estate" in the Company's consolidated statements of operations. The Company and its partner both made $7.0 million contributions to the venture and the Company provided financing to the entity in the form of a $27.0 million senior loan, of which $23.0 million was funded as of December 31, 2016. The Company received $17.6 million of net proceeds from the sale of the asset. This entity is a VIE and the Company does not have a controlling interest due to shared control of the entity with its partner.</w:t>
      </w:r>
    </w:p>
    <w:p>
      <w:pPr>
        <w:spacing w:after="0" w:line="12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During the year ended December 31, 2015, the Company sold a commercial operating property for $68.5 million to a newly formed unconsolidated entity in which the Company owns a 50.0% equity interest (refer to Note 4). The Company recognized a gain on sale of $13.6 million, reflecting the Company's share of the interest sold to a third party, which was recorded as "Income from sales of real estate" in the Company's consolidated statements of operations. The venture placed financing on the property and proceeds from the financing were distributed to its members. Net proceeds received by the Company were $55.4 million, which was net of the Company's $13.6 million non-cash equity contribution to the venture and inclusive of a $21.0 million distribution from the financing proceeds. This entity is not a VIE and the Company does not have a controlling interest due to shared control of the entity with its partner.</w:t>
      </w:r>
    </w:p>
    <w:p>
      <w:pPr>
        <w:spacing w:after="0" w:line="13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During the year ended December 31, 2014, the Company contributed land to a newly formed unconsolidated entity in which the Company received an initial equity interest of 85.7%. As of December 31, 2016, this entity is not a VIE and the Company does not have a controlling interest due to shared control of the entity with the partner. Additionally, the Company committed to provide $45.7 million of mezzanine financing to the entity. As of December 31, 2015, the loan balance was $33.7 million and is included in "Loans receivable and other lending investments, net" on the Company's consolidated balance sheets. In September 2016, the entity secured non-recourse financing from a third-party lender, paid off in full the mezzanine loan from the Company and distributed the excess proceeds from the financing to the partners. The Company received a distribution in excess of its carrying value and recorded equity in earnings of $11.6 million. The Company has no further obligation nor intention to fund the venture in the future. Subsequent to the distribution of the financing proceeds, the operating agreement of the entity was amended and the Company retained a 50% interest in the entity. During the years ended December 31, 2016, 2015 and 2014, the Company recorded $3.6 million, $3.9 million and $0.6 million of interest income, respectively. As of December 31, 2016 and 2015, the Company had a recorded equity interest of zero and $6.3 million, respectively.</w:t>
      </w:r>
    </w:p>
    <w:p>
      <w:pPr>
        <w:spacing w:after="0" w:line="124"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During the year ended December 31, 2014, the Company and a consortium of co-lenders formed a new unconsolidated entity, in which the Company received an initial 15.7% equity interest, which acquired, via foreclosure sale, title to a land asset which previously served as collateral for a loan receivable held by the consortium. This entity is not a VIE and the Company does not have controlling interest in the entity as the Company's voting rights are based on its ownership percentage in the entity. During the year ended December 31, 2014, as a result of the transaction, the Company recorded an additional provision of $2.8 million in "Provision for (recovery of) loan losses" in its consolidated statements of operations. In 2016, the Company purchased the units of another member in the entity for $1.9 million that increased its equity interest to 20.1%. Also during 2016, the Company recorded a $3.6 million impairment in equity in earnings due to a reduction in the estimated fair value of the underlying property. As of December 31, 2016 and 2015, the Company had a recorded equity interest of $26.4 million and $24.0 million, respectively.</w:t>
      </w:r>
    </w:p>
    <w:p>
      <w:pPr>
        <w:spacing w:after="0" w:line="121"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b w:val="1"/>
          <w:bCs w:val="1"/>
          <w:color w:val="auto"/>
        </w:rPr>
        <w:t>Other strategic investments</w:t>
      </w:r>
      <w:r>
        <w:rPr>
          <w:rFonts w:ascii="Arial" w:cs="Arial" w:eastAsia="Arial" w:hAnsi="Arial"/>
          <w:sz w:val="18"/>
          <w:szCs w:val="18"/>
          <w:color w:val="auto"/>
        </w:rPr>
        <w:t>—As of December 31, 2016, the Company also had smaller investments in real estate related funds and other strategic</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in several other entities that were accounted for under the equity method or cost method. As of December 31, 2016 and 2015, the carrying value of the Company's cost method investments was $1.4 million and $1.5 million, respectively. During the year ended December 31, 2015, the Company sold available-for-sale securities for proceeds of $7.4 million for gains of $2.6 million, which are included in "Other income" in the Company's consolidated statements of operations. The amount reclassified out of accumulated other comprehensive income into earnings was determined based on the specific identification method.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1" w:right="239" w:bottom="1440" w:gutter="0" w:footer="0" w:header="0"/>
        </w:sectPr>
      </w:pPr>
    </w:p>
    <w:bookmarkStart w:id="82" w:name="page83"/>
    <w:bookmarkEnd w:id="82"/>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firstLine="432"/>
        <w:spacing w:after="0" w:line="282" w:lineRule="auto"/>
        <w:rPr>
          <w:sz w:val="20"/>
          <w:szCs w:val="20"/>
          <w:color w:val="auto"/>
        </w:rPr>
      </w:pPr>
      <w:r>
        <w:rPr>
          <w:rFonts w:ascii="Arial" w:cs="Arial" w:eastAsia="Arial" w:hAnsi="Arial"/>
          <w:sz w:val="18"/>
          <w:szCs w:val="18"/>
          <w:b w:val="1"/>
          <w:bCs w:val="1"/>
          <w:color w:val="auto"/>
        </w:rPr>
        <w:t>Summarized investee financial information</w:t>
      </w:r>
      <w:r>
        <w:rPr>
          <w:rFonts w:ascii="Arial" w:cs="Arial" w:eastAsia="Arial" w:hAnsi="Arial"/>
          <w:sz w:val="18"/>
          <w:szCs w:val="18"/>
          <w:color w:val="auto"/>
        </w:rPr>
        <w:t>—The following tables present the investee level summarized financial information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equity method investments ($ in thousands):</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1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20" w:type="dxa"/>
            <w:vAlign w:val="bottom"/>
            <w:gridSpan w:val="3"/>
          </w:tcPr>
          <w:p>
            <w:pPr>
              <w:jc w:val="right"/>
              <w:ind w:right="554"/>
              <w:spacing w:after="0"/>
              <w:rPr>
                <w:sz w:val="20"/>
                <w:szCs w:val="20"/>
                <w:color w:val="auto"/>
              </w:rPr>
            </w:pPr>
            <w:r>
              <w:rPr>
                <w:rFonts w:ascii="Arial" w:cs="Arial" w:eastAsia="Arial" w:hAnsi="Arial"/>
                <w:sz w:val="14"/>
                <w:szCs w:val="14"/>
                <w:b w:val="1"/>
                <w:bCs w:val="1"/>
                <w:color w:val="auto"/>
              </w:rPr>
              <w:t>As of December 31,</w:t>
            </w:r>
          </w:p>
        </w:tc>
        <w:tc>
          <w:tcPr>
            <w:tcW w:w="3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780" w:type="dxa"/>
            <w:vAlign w:val="bottom"/>
          </w:tcPr>
          <w:p>
            <w:pPr>
              <w:spacing w:after="0"/>
              <w:rPr>
                <w:sz w:val="16"/>
                <w:szCs w:val="16"/>
                <w:color w:val="auto"/>
              </w:rPr>
            </w:pPr>
          </w:p>
        </w:tc>
      </w:tr>
      <w:tr>
        <w:trPr>
          <w:trHeight w:val="276"/>
        </w:trPr>
        <w:tc>
          <w:tcPr>
            <w:tcW w:w="18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32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w w:val="89"/>
              </w:rPr>
              <w:t>2014</w:t>
            </w:r>
          </w:p>
        </w:tc>
      </w:tr>
      <w:tr>
        <w:trPr>
          <w:trHeight w:val="250"/>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Income Statements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18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2,803,411</w:t>
            </w:r>
          </w:p>
        </w:tc>
        <w:tc>
          <w:tcPr>
            <w:tcW w:w="10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  3,597,587</w:t>
            </w:r>
          </w:p>
        </w:tc>
        <w:tc>
          <w:tcPr>
            <w:tcW w:w="3280" w:type="dxa"/>
            <w:vAlign w:val="bottom"/>
          </w:tcPr>
          <w:p>
            <w:pPr>
              <w:ind w:left="240"/>
              <w:spacing w:after="0"/>
              <w:rPr>
                <w:sz w:val="20"/>
                <w:szCs w:val="20"/>
                <w:color w:val="auto"/>
              </w:rPr>
            </w:pPr>
            <w:r>
              <w:rPr>
                <w:rFonts w:ascii="Arial" w:cs="Arial" w:eastAsia="Arial" w:hAnsi="Arial"/>
                <w:sz w:val="18"/>
                <w:szCs w:val="18"/>
                <w:color w:val="auto"/>
              </w:rPr>
              <w:t>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272,281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481,224</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w w:val="98"/>
              </w:rPr>
              <w:t>626,039</w:t>
            </w:r>
          </w:p>
        </w:tc>
      </w:tr>
      <w:tr>
        <w:trPr>
          <w:trHeight w:val="27"/>
        </w:trPr>
        <w:tc>
          <w:tcPr>
            <w:tcW w:w="1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683,079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768,622</w:t>
            </w:r>
          </w:p>
        </w:tc>
        <w:tc>
          <w:tcPr>
            <w:tcW w:w="3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Expenses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(227,720)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(245,968)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(185,603)</w:t>
            </w:r>
          </w:p>
        </w:tc>
      </w:tr>
      <w:tr>
        <w:trPr>
          <w:trHeight w:val="229"/>
        </w:trPr>
        <w:tc>
          <w:tcPr>
            <w:tcW w:w="1840" w:type="dxa"/>
            <w:vAlign w:val="bottom"/>
          </w:tcPr>
          <w:p>
            <w:pPr>
              <w:ind w:left="20"/>
              <w:spacing w:after="0"/>
              <w:rPr>
                <w:sz w:val="20"/>
                <w:szCs w:val="20"/>
                <w:color w:val="auto"/>
              </w:rPr>
            </w:pPr>
            <w:r>
              <w:rPr>
                <w:rFonts w:ascii="Arial" w:cs="Arial" w:eastAsia="Arial" w:hAnsi="Arial"/>
                <w:sz w:val="18"/>
                <w:szCs w:val="18"/>
                <w:color w:val="auto"/>
              </w:rPr>
              <w:t>Noncontrolling</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1840" w:type="dxa"/>
            <w:vAlign w:val="bottom"/>
          </w:tcPr>
          <w:p>
            <w:pPr>
              <w:ind w:left="20"/>
              <w:spacing w:after="0"/>
              <w:rPr>
                <w:sz w:val="20"/>
                <w:szCs w:val="20"/>
                <w:color w:val="auto"/>
              </w:rPr>
            </w:pPr>
            <w:r>
              <w:rPr>
                <w:rFonts w:ascii="Arial" w:cs="Arial" w:eastAsia="Arial" w:hAnsi="Arial"/>
                <w:sz w:val="18"/>
                <w:szCs w:val="18"/>
                <w:color w:val="auto"/>
              </w:rPr>
              <w:t>interests</w:t>
            </w:r>
          </w:p>
        </w:tc>
        <w:tc>
          <w:tcPr>
            <w:tcW w:w="280" w:type="dxa"/>
            <w:vAlign w:val="bottom"/>
          </w:tcPr>
          <w:p>
            <w:pPr>
              <w:spacing w:after="0"/>
              <w:rPr>
                <w:sz w:val="20"/>
                <w:szCs w:val="20"/>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23,544</w:t>
            </w:r>
          </w:p>
        </w:tc>
        <w:tc>
          <w:tcPr>
            <w:tcW w:w="10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19,208</w:t>
            </w:r>
          </w:p>
        </w:tc>
        <w:tc>
          <w:tcPr>
            <w:tcW w:w="3280" w:type="dxa"/>
            <w:vAlign w:val="bottom"/>
          </w:tcPr>
          <w:p>
            <w:pPr>
              <w:ind w:left="240"/>
              <w:spacing w:after="0"/>
              <w:rPr>
                <w:sz w:val="20"/>
                <w:szCs w:val="20"/>
                <w:color w:val="auto"/>
              </w:rPr>
            </w:pPr>
            <w:r>
              <w:rPr>
                <w:rFonts w:ascii="Arial" w:cs="Arial" w:eastAsia="Arial" w:hAnsi="Arial"/>
                <w:sz w:val="18"/>
                <w:szCs w:val="18"/>
                <w:color w:val="auto"/>
                <w:w w:val="93"/>
              </w:rPr>
              <w:t>Net income attributable to parent entities</w:t>
            </w:r>
          </w:p>
        </w:tc>
        <w:tc>
          <w:tcPr>
            <w:tcW w:w="260" w:type="dxa"/>
            <w:vAlign w:val="bottom"/>
          </w:tcPr>
          <w:p>
            <w:pPr>
              <w:spacing w:after="0"/>
              <w:rPr>
                <w:sz w:val="20"/>
                <w:szCs w:val="20"/>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42,209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234,529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w w:val="98"/>
              </w:rPr>
              <w:t>440,210</w:t>
            </w:r>
          </w:p>
        </w:tc>
      </w:tr>
      <w:tr>
        <w:trPr>
          <w:trHeight w:val="27"/>
        </w:trPr>
        <w:tc>
          <w:tcPr>
            <w:tcW w:w="1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3"/>
        </w:trPr>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2,096,788</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2,809,757</w:t>
            </w:r>
          </w:p>
        </w:tc>
        <w:tc>
          <w:tcPr>
            <w:tcW w:w="3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7"/>
        </w:trPr>
        <w:tc>
          <w:tcPr>
            <w:tcW w:w="18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2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8—Other Assets and Other Liabilities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expenses and other assets, net, consist of the following items ($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60" w:type="dxa"/>
            <w:vAlign w:val="bottom"/>
            <w:tcBorders>
              <w:bottom w:val="single" w:sz="8" w:color="auto"/>
            </w:tcBorders>
          </w:tcPr>
          <w:p>
            <w:pPr>
              <w:spacing w:after="0"/>
              <w:rPr>
                <w:sz w:val="16"/>
                <w:szCs w:val="16"/>
                <w:color w:val="auto"/>
              </w:rPr>
            </w:pPr>
          </w:p>
        </w:tc>
      </w:tr>
      <w:tr>
        <w:trPr>
          <w:trHeight w:val="264"/>
        </w:trPr>
        <w:tc>
          <w:tcPr>
            <w:tcW w:w="53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2015</w:t>
            </w:r>
          </w:p>
        </w:tc>
      </w:tr>
      <w:tr>
        <w:trPr>
          <w:trHeight w:val="270"/>
        </w:trPr>
        <w:tc>
          <w:tcPr>
            <w:tcW w:w="53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Intangible assets, net</w:t>
            </w:r>
            <w:r>
              <w:rPr>
                <w:rFonts w:ascii="Arial" w:cs="Arial" w:eastAsia="Arial" w:hAnsi="Arial"/>
                <w:sz w:val="25"/>
                <w:szCs w:val="25"/>
                <w:color w:val="auto"/>
                <w:vertAlign w:val="superscript"/>
              </w:rPr>
              <w:t>(1)</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63,098</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71,446</w:t>
            </w:r>
          </w:p>
        </w:tc>
      </w:tr>
      <w:tr>
        <w:trPr>
          <w:trHeight w:val="270"/>
        </w:trPr>
        <w:tc>
          <w:tcPr>
            <w:tcW w:w="5300" w:type="dxa"/>
            <w:vAlign w:val="bottom"/>
          </w:tcPr>
          <w:p>
            <w:pPr>
              <w:ind w:left="40"/>
              <w:spacing w:after="0" w:line="270" w:lineRule="exact"/>
              <w:rPr>
                <w:sz w:val="20"/>
                <w:szCs w:val="20"/>
                <w:color w:val="auto"/>
              </w:rPr>
            </w:pPr>
            <w:r>
              <w:rPr>
                <w:rFonts w:ascii="Arial" w:cs="Arial" w:eastAsia="Arial" w:hAnsi="Arial"/>
                <w:sz w:val="18"/>
                <w:szCs w:val="18"/>
                <w:color w:val="auto"/>
              </w:rPr>
              <w:t>Other receivables</w:t>
            </w:r>
            <w:r>
              <w:rPr>
                <w:rFonts w:ascii="Arial" w:cs="Arial" w:eastAsia="Arial" w:hAnsi="Arial"/>
                <w:sz w:val="25"/>
                <w:szCs w:val="25"/>
                <w:color w:val="auto"/>
                <w:vertAlign w:val="superscript"/>
              </w:rPr>
              <w:t>(2)</w:t>
            </w:r>
          </w:p>
        </w:tc>
        <w:tc>
          <w:tcPr>
            <w:tcW w:w="1000" w:type="dxa"/>
            <w:vAlign w:val="bottom"/>
          </w:tcPr>
          <w:p>
            <w:pPr>
              <w:spacing w:after="0"/>
              <w:rPr>
                <w:sz w:val="23"/>
                <w:szCs w:val="23"/>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52,820</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22,557</w:t>
            </w: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39,591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36,999</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10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25,883</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26,657</w:t>
            </w:r>
          </w:p>
        </w:tc>
      </w:tr>
      <w:tr>
        <w:trPr>
          <w:trHeight w:val="27"/>
        </w:trPr>
        <w:tc>
          <w:tcPr>
            <w:tcW w:w="5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3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Leasing costs, net</w:t>
            </w:r>
            <w:r>
              <w:rPr>
                <w:rFonts w:ascii="Arial" w:cs="Arial" w:eastAsia="Arial" w:hAnsi="Arial"/>
                <w:sz w:val="25"/>
                <w:szCs w:val="25"/>
                <w:color w:val="auto"/>
                <w:vertAlign w:val="superscript"/>
              </w:rPr>
              <w:t>(3)</w:t>
            </w:r>
          </w:p>
        </w:tc>
        <w:tc>
          <w:tcPr>
            <w:tcW w:w="10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12,566</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19,393</w:t>
            </w:r>
          </w:p>
        </w:tc>
      </w:tr>
      <w:tr>
        <w:trPr>
          <w:trHeight w:val="270"/>
        </w:trPr>
        <w:tc>
          <w:tcPr>
            <w:tcW w:w="53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Corporate furniture, fixtures and equipment, net</w:t>
            </w:r>
            <w:r>
              <w:rPr>
                <w:rFonts w:ascii="Arial" w:cs="Arial" w:eastAsia="Arial" w:hAnsi="Arial"/>
                <w:sz w:val="25"/>
                <w:szCs w:val="25"/>
                <w:color w:val="auto"/>
                <w:vertAlign w:val="superscript"/>
              </w:rPr>
              <w:t>(4)</w:t>
            </w:r>
          </w:p>
        </w:tc>
        <w:tc>
          <w:tcPr>
            <w:tcW w:w="10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5,691</w:t>
            </w:r>
          </w:p>
        </w:tc>
        <w:tc>
          <w:tcPr>
            <w:tcW w:w="100" w:type="dxa"/>
            <w:vAlign w:val="bottom"/>
            <w:tcBorders>
              <w:bottom w:val="single" w:sz="8" w:color="CCEEFF"/>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4,405</w:t>
            </w:r>
          </w:p>
        </w:tc>
      </w:tr>
      <w:tr>
        <w:trPr>
          <w:trHeight w:val="257"/>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expenses and other assets, net</w:t>
            </w: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89"/>
              </w:rPr>
              <w:t>199,649</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181,457</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3366770</wp:posOffset>
            </wp:positionH>
            <wp:positionV relativeFrom="paragraph">
              <wp:posOffset>-98425</wp:posOffset>
            </wp:positionV>
            <wp:extent cx="22123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jc w:val="both"/>
        <w:ind w:left="420" w:hanging="412"/>
        <w:spacing w:after="0" w:line="241" w:lineRule="auto"/>
        <w:tabs>
          <w:tab w:leader="none" w:pos="4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Intangible assets, net includes above market and in-place lease assets related to the acquisition of real estate assets. This balance also includes a lease incentive asset of $32.8 million (refer to Note 4). Accumulated amortization on intangible assets, net was $32.6 million and $37.3 million as of December 31, 2016 and 2015, respectively. The amortization of above market leases and lease incentive assets decreased operating lease income in the Company's consolidated statements of operations by $4.1 million, $6.7 million and $8.6 million for the years ended December 31, 2016, 2015, and 2014, respectively. These intangible lease assets are amortized over the term of the lease. The amortization expense for in-place leases was $1.9 million, $3.6 million and $6.7 million for the years ended December 31, 2016, 2015, and 2014, respectively. These amounts are included in "Depreciation and amortization" in the Company's consolidated statements of operations.</w:t>
      </w:r>
    </w:p>
    <w:p>
      <w:pPr>
        <w:spacing w:after="0" w:line="2" w:lineRule="exact"/>
        <w:rPr>
          <w:rFonts w:ascii="Arial" w:cs="Arial" w:eastAsia="Arial" w:hAnsi="Arial"/>
          <w:sz w:val="14"/>
          <w:szCs w:val="14"/>
          <w:color w:val="auto"/>
        </w:rPr>
      </w:pPr>
    </w:p>
    <w:p>
      <w:pPr>
        <w:ind w:left="420" w:hanging="412"/>
        <w:spacing w:after="0"/>
        <w:tabs>
          <w:tab w:leader="none" w:pos="420" w:val="left"/>
        </w:tabs>
        <w:numPr>
          <w:ilvl w:val="0"/>
          <w:numId w:val="43"/>
        </w:numPr>
        <w:rPr>
          <w:rFonts w:ascii="Arial" w:cs="Arial" w:eastAsia="Arial" w:hAnsi="Arial"/>
          <w:sz w:val="13"/>
          <w:szCs w:val="13"/>
          <w:color w:val="auto"/>
        </w:rPr>
      </w:pPr>
      <w:r>
        <w:rPr>
          <w:rFonts w:ascii="Arial" w:cs="Arial" w:eastAsia="Arial" w:hAnsi="Arial"/>
          <w:sz w:val="13"/>
          <w:szCs w:val="13"/>
          <w:color w:val="auto"/>
        </w:rPr>
        <w:t>As of December 31, 2016 and 2015, includes $26.0 million and $11.3 million, respectively, of receivables related to the construction and development of an amphitheater (refer to Note 5).</w:t>
      </w:r>
    </w:p>
    <w:p>
      <w:pPr>
        <w:spacing w:after="0" w:line="12" w:lineRule="exact"/>
        <w:rPr>
          <w:rFonts w:ascii="Arial" w:cs="Arial" w:eastAsia="Arial" w:hAnsi="Arial"/>
          <w:sz w:val="13"/>
          <w:szCs w:val="13"/>
          <w:color w:val="auto"/>
        </w:rPr>
      </w:pPr>
    </w:p>
    <w:p>
      <w:pPr>
        <w:ind w:left="420" w:hanging="412"/>
        <w:spacing w:after="0"/>
        <w:tabs>
          <w:tab w:leader="none" w:pos="4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Accumulated amortization of leasing costs was $6.7 million and $9.8 million as of December 31, 2016 and 2015, respectively.</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Accumulated depreciation on corporate furniture, fixtures and equipment was $9.0 million and $8.1 million as of December 31, 2016 and 2015, respectively.</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1" w:right="239" w:bottom="1440" w:gutter="0" w:footer="0" w:header="0"/>
        </w:sectPr>
      </w:pPr>
    </w:p>
    <w:bookmarkStart w:id="83" w:name="page84"/>
    <w:bookmarkEnd w:id="83"/>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payable, accrued expenses and other liabilities consist of the following items ($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538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2015</w:t>
            </w:r>
          </w:p>
        </w:tc>
      </w:tr>
      <w:tr>
        <w:trPr>
          <w:trHeight w:val="270"/>
        </w:trPr>
        <w:tc>
          <w:tcPr>
            <w:tcW w:w="5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Other liabilities</w:t>
            </w:r>
            <w:r>
              <w:rPr>
                <w:rFonts w:ascii="Arial" w:cs="Arial" w:eastAsia="Arial" w:hAnsi="Arial"/>
                <w:sz w:val="25"/>
                <w:szCs w:val="25"/>
                <w:color w:val="auto"/>
                <w:vertAlign w:val="superscript"/>
              </w:rPr>
              <w:t>(1)</w:t>
            </w: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75,993</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80,332</w:t>
            </w:r>
          </w:p>
        </w:tc>
      </w:tr>
      <w:tr>
        <w:trPr>
          <w:trHeight w:val="270"/>
        </w:trPr>
        <w:tc>
          <w:tcPr>
            <w:tcW w:w="5380" w:type="dxa"/>
            <w:vAlign w:val="bottom"/>
          </w:tcPr>
          <w:p>
            <w:pPr>
              <w:ind w:left="40"/>
              <w:spacing w:after="0" w:line="270" w:lineRule="exact"/>
              <w:rPr>
                <w:sz w:val="20"/>
                <w:szCs w:val="20"/>
                <w:color w:val="auto"/>
              </w:rPr>
            </w:pPr>
            <w:r>
              <w:rPr>
                <w:rFonts w:ascii="Arial" w:cs="Arial" w:eastAsia="Arial" w:hAnsi="Arial"/>
                <w:sz w:val="18"/>
                <w:szCs w:val="18"/>
                <w:color w:val="auto"/>
              </w:rPr>
              <w:t>Accrued expenses</w:t>
            </w:r>
            <w:r>
              <w:rPr>
                <w:rFonts w:ascii="Arial" w:cs="Arial" w:eastAsia="Arial" w:hAnsi="Arial"/>
                <w:sz w:val="25"/>
                <w:szCs w:val="25"/>
                <w:color w:val="auto"/>
                <w:vertAlign w:val="superscript"/>
              </w:rPr>
              <w:t>(2)</w:t>
            </w:r>
          </w:p>
        </w:tc>
        <w:tc>
          <w:tcPr>
            <w:tcW w:w="10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72,693</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68,937</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 payable</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54,033</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55,081</w:t>
            </w:r>
          </w:p>
        </w:tc>
      </w:tr>
      <w:tr>
        <w:trPr>
          <w:trHeight w:val="270"/>
        </w:trPr>
        <w:tc>
          <w:tcPr>
            <w:tcW w:w="53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Intangible liabilities, net</w:t>
            </w:r>
            <w:r>
              <w:rPr>
                <w:rFonts w:ascii="Arial" w:cs="Arial" w:eastAsia="Arial" w:hAnsi="Arial"/>
                <w:sz w:val="25"/>
                <w:szCs w:val="25"/>
                <w:color w:val="auto"/>
                <w:vertAlign w:val="superscript"/>
              </w:rPr>
              <w:t>(3)</w:t>
            </w:r>
          </w:p>
        </w:tc>
        <w:tc>
          <w:tcPr>
            <w:tcW w:w="10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8,851</w:t>
            </w:r>
          </w:p>
        </w:tc>
        <w:tc>
          <w:tcPr>
            <w:tcW w:w="120" w:type="dxa"/>
            <w:vAlign w:val="bottom"/>
            <w:tcBorders>
              <w:bottom w:val="single" w:sz="8" w:color="CCEEFF"/>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10,485</w:t>
            </w: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accrued expenses and other liabilities</w:t>
            </w: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211,570</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214,835</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-98425</wp:posOffset>
            </wp:positionV>
            <wp:extent cx="22294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jc w:val="both"/>
        <w:ind w:left="420" w:hanging="412"/>
        <w:spacing w:after="0" w:line="241" w:lineRule="auto"/>
        <w:tabs>
          <w:tab w:leader="none" w:pos="4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As of December 31, 2016 and 2015, "Other liabilities" includes $24.0 million and $14.5 million, respectively, related to profit sharing arrangements with developers for certain properties sold. As of December 31, 2016 and 2015, includes $1.2 million and $4.4 million, respectively, associated with "Real estate available and held for sale" on the Company's consolidated balance sheets. As of December 31, 2016 and 2015, "Other liabilities" also includes $8.5 million and $6.6 million, respectively related to tax increment financing bonds which were issued by government entities to fund development within two of the Company's land projects. The amount represents tax assessments associated with each project, which will decrease as the Company sells units.</w:t>
      </w:r>
    </w:p>
    <w:p>
      <w:pPr>
        <w:spacing w:after="0" w:line="1" w:lineRule="exact"/>
        <w:rPr>
          <w:rFonts w:ascii="Arial" w:cs="Arial" w:eastAsia="Arial" w:hAnsi="Arial"/>
          <w:sz w:val="14"/>
          <w:szCs w:val="14"/>
          <w:color w:val="auto"/>
        </w:rPr>
      </w:pPr>
    </w:p>
    <w:p>
      <w:pPr>
        <w:ind w:left="420" w:hanging="412"/>
        <w:spacing w:after="0" w:line="241" w:lineRule="auto"/>
        <w:tabs>
          <w:tab w:leader="none" w:pos="4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As of December 31, 2016 and 2015, accrued expenses includes $1.7 million and $5.3 million, respectively, associated with "Real estate available and held for sale" on the Company's consolidated balance sheets.</w:t>
      </w:r>
    </w:p>
    <w:p>
      <w:pPr>
        <w:jc w:val="both"/>
        <w:ind w:left="420" w:hanging="412"/>
        <w:spacing w:after="0" w:line="248" w:lineRule="auto"/>
        <w:tabs>
          <w:tab w:leader="none" w:pos="4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Intangible liabilities, net includes below market lease liabilities related to the acquisition of real estate assets. Accumulated amortization on below market leases was $6.4 million and $6.6 million as of December 31, 2016 and 2015, respectively. The amortization of below market leases increased operating lease income in the Company's consolidated statements of operations by $1.1 million, $1.5 million and $2.5 million for the years ended December 31, 2016, 2015 and 2014, respectively.</w:t>
      </w:r>
    </w:p>
    <w:p>
      <w:pPr>
        <w:spacing w:after="0" w:line="192" w:lineRule="exact"/>
        <w:rPr>
          <w:sz w:val="20"/>
          <w:szCs w:val="20"/>
          <w:color w:val="auto"/>
        </w:rPr>
      </w:pPr>
    </w:p>
    <w:p>
      <w:pPr>
        <w:ind w:firstLine="405"/>
        <w:spacing w:after="0" w:line="282" w:lineRule="auto"/>
        <w:rPr>
          <w:sz w:val="20"/>
          <w:szCs w:val="20"/>
          <w:color w:val="auto"/>
        </w:rPr>
      </w:pPr>
      <w:r>
        <w:rPr>
          <w:rFonts w:ascii="Arial" w:cs="Arial" w:eastAsia="Arial" w:hAnsi="Arial"/>
          <w:sz w:val="18"/>
          <w:szCs w:val="18"/>
          <w:b w:val="1"/>
          <w:bCs w:val="1"/>
          <w:color w:val="auto"/>
        </w:rPr>
        <w:t>Intangible assets—</w:t>
      </w:r>
      <w:r>
        <w:rPr>
          <w:rFonts w:ascii="Arial" w:cs="Arial" w:eastAsia="Arial" w:hAnsi="Arial"/>
          <w:sz w:val="18"/>
          <w:szCs w:val="18"/>
          <w:color w:val="auto"/>
        </w:rPr>
        <w:t>The estimated expense from the amortization of lease incentives and in-place leases for each of the five succeeding fiscal years is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 ($ in thousands):</w:t>
      </w:r>
    </w:p>
    <w:p>
      <w:pPr>
        <w:spacing w:after="0" w:line="99" w:lineRule="exact"/>
        <w:rPr>
          <w:sz w:val="20"/>
          <w:szCs w:val="20"/>
          <w:color w:val="auto"/>
        </w:rPr>
      </w:pPr>
    </w:p>
    <w:tbl>
      <w:tblPr>
        <w:tblLayout w:type="fixed"/>
        <w:tblInd w:w="3800" w:type="dxa"/>
        <w:tblCellMar>
          <w:top w:w="0" w:type="dxa"/>
          <w:left w:w="0" w:type="dxa"/>
          <w:bottom w:w="0" w:type="dxa"/>
          <w:right w:w="0" w:type="dxa"/>
        </w:tblCellMar>
      </w:tblPr>
      <w:tr>
        <w:trPr>
          <w:trHeight w:val="270"/>
        </w:trPr>
        <w:tc>
          <w:tcPr>
            <w:tcW w:w="12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4"/>
              </w:rPr>
              <w:t>2017</w:t>
            </w:r>
          </w:p>
        </w:tc>
        <w:tc>
          <w:tcPr>
            <w:tcW w:w="15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w:t>
            </w:r>
          </w:p>
        </w:tc>
      </w:tr>
      <w:tr>
        <w:trPr>
          <w:trHeight w:val="243"/>
        </w:trPr>
        <w:tc>
          <w:tcPr>
            <w:tcW w:w="1200" w:type="dxa"/>
            <w:vAlign w:val="bottom"/>
          </w:tcPr>
          <w:p>
            <w:pPr>
              <w:jc w:val="right"/>
              <w:ind w:right="710"/>
              <w:spacing w:after="0"/>
              <w:rPr>
                <w:sz w:val="20"/>
                <w:szCs w:val="20"/>
                <w:color w:val="auto"/>
              </w:rPr>
            </w:pPr>
            <w:r>
              <w:rPr>
                <w:rFonts w:ascii="Arial" w:cs="Arial" w:eastAsia="Arial" w:hAnsi="Arial"/>
                <w:sz w:val="18"/>
                <w:szCs w:val="18"/>
                <w:color w:val="auto"/>
                <w:w w:val="94"/>
              </w:rPr>
              <w:t>2018</w:t>
            </w:r>
          </w:p>
        </w:tc>
        <w:tc>
          <w:tcPr>
            <w:tcW w:w="1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2,135</w:t>
            </w:r>
          </w:p>
        </w:tc>
      </w:tr>
      <w:tr>
        <w:trPr>
          <w:trHeight w:val="27"/>
        </w:trPr>
        <w:tc>
          <w:tcPr>
            <w:tcW w:w="1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12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4"/>
              </w:rPr>
              <w:t>2019</w:t>
            </w:r>
          </w:p>
        </w:tc>
        <w:tc>
          <w:tcPr>
            <w:tcW w:w="1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2,097</w:t>
            </w:r>
          </w:p>
        </w:tc>
      </w:tr>
      <w:tr>
        <w:trPr>
          <w:trHeight w:val="243"/>
        </w:trPr>
        <w:tc>
          <w:tcPr>
            <w:tcW w:w="1200" w:type="dxa"/>
            <w:vAlign w:val="bottom"/>
          </w:tcPr>
          <w:p>
            <w:pPr>
              <w:jc w:val="right"/>
              <w:ind w:right="710"/>
              <w:spacing w:after="0"/>
              <w:rPr>
                <w:sz w:val="20"/>
                <w:szCs w:val="20"/>
                <w:color w:val="auto"/>
              </w:rPr>
            </w:pPr>
            <w:r>
              <w:rPr>
                <w:rFonts w:ascii="Arial" w:cs="Arial" w:eastAsia="Arial" w:hAnsi="Arial"/>
                <w:sz w:val="18"/>
                <w:szCs w:val="18"/>
                <w:color w:val="auto"/>
                <w:w w:val="94"/>
              </w:rPr>
              <w:t>2020</w:t>
            </w:r>
          </w:p>
        </w:tc>
        <w:tc>
          <w:tcPr>
            <w:tcW w:w="1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2,068</w:t>
            </w:r>
          </w:p>
        </w:tc>
      </w:tr>
      <w:tr>
        <w:trPr>
          <w:trHeight w:val="27"/>
        </w:trPr>
        <w:tc>
          <w:tcPr>
            <w:tcW w:w="1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12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4"/>
              </w:rPr>
              <w:t>2021</w:t>
            </w:r>
          </w:p>
        </w:tc>
        <w:tc>
          <w:tcPr>
            <w:tcW w:w="15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r>
      <w:tr>
        <w:trPr>
          <w:trHeight w:val="27"/>
        </w:trPr>
        <w:tc>
          <w:tcPr>
            <w:tcW w:w="12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9—Loan Participations Payable,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loan participations payable, net were as follows ($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4"/>
          </w:tcPr>
          <w:p>
            <w:pPr>
              <w:jc w:val="right"/>
              <w:ind w:right="1054"/>
              <w:spacing w:after="0"/>
              <w:rPr>
                <w:sz w:val="20"/>
                <w:szCs w:val="20"/>
                <w:color w:val="auto"/>
              </w:rPr>
            </w:pPr>
            <w:r>
              <w:rPr>
                <w:rFonts w:ascii="Arial" w:cs="Arial" w:eastAsia="Arial" w:hAnsi="Arial"/>
                <w:sz w:val="14"/>
                <w:szCs w:val="14"/>
                <w:b w:val="1"/>
                <w:bCs w:val="1"/>
                <w:color w:val="auto"/>
              </w:rPr>
              <w:t>Carrying Value as of</w:t>
            </w:r>
          </w:p>
        </w:tc>
      </w:tr>
      <w:tr>
        <w:trPr>
          <w:trHeight w:val="264"/>
        </w:trPr>
        <w:tc>
          <w:tcPr>
            <w:tcW w:w="4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2016</w:t>
            </w:r>
          </w:p>
        </w:tc>
        <w:tc>
          <w:tcPr>
            <w:tcW w:w="160" w:type="dxa"/>
            <w:vAlign w:val="bottom"/>
          </w:tcPr>
          <w:p>
            <w:pPr>
              <w:spacing w:after="0"/>
              <w:rPr>
                <w:sz w:val="22"/>
                <w:szCs w:val="22"/>
                <w:color w:val="auto"/>
              </w:rPr>
            </w:pPr>
          </w:p>
        </w:tc>
        <w:tc>
          <w:tcPr>
            <w:tcW w:w="1440" w:type="dxa"/>
            <w:vAlign w:val="bottom"/>
          </w:tcPr>
          <w:p>
            <w:pPr>
              <w:jc w:val="right"/>
              <w:ind w:right="134"/>
              <w:spacing w:after="0"/>
              <w:rPr>
                <w:sz w:val="20"/>
                <w:szCs w:val="20"/>
                <w:color w:val="auto"/>
              </w:rPr>
            </w:pPr>
            <w:r>
              <w:rPr>
                <w:rFonts w:ascii="Arial" w:cs="Arial" w:eastAsia="Arial" w:hAnsi="Arial"/>
                <w:sz w:val="14"/>
                <w:szCs w:val="14"/>
                <w:b w:val="1"/>
                <w:bCs w:val="1"/>
                <w:color w:val="auto"/>
                <w:w w:val="95"/>
              </w:rPr>
              <w:t>December 31, 2015</w:t>
            </w:r>
          </w:p>
        </w:tc>
      </w:tr>
      <w:tr>
        <w:trPr>
          <w:trHeight w:val="270"/>
        </w:trPr>
        <w:tc>
          <w:tcPr>
            <w:tcW w:w="460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Loan participations payable</w:t>
            </w:r>
            <w:r>
              <w:rPr>
                <w:rFonts w:ascii="Arial" w:cs="Arial" w:eastAsia="Arial" w:hAnsi="Arial"/>
                <w:sz w:val="25"/>
                <w:szCs w:val="25"/>
                <w:color w:val="auto"/>
                <w:vertAlign w:val="superscript"/>
              </w:rPr>
              <w:t>(1)</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160,251</w:t>
            </w:r>
          </w:p>
        </w:tc>
        <w:tc>
          <w:tcPr>
            <w:tcW w:w="16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153,000</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Debt discounts and deferred financing costs, net</w:t>
            </w: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(930)</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(914)</w:t>
            </w:r>
          </w:p>
        </w:tc>
      </w:tr>
      <w:tr>
        <w:trPr>
          <w:trHeight w:val="27"/>
        </w:trPr>
        <w:tc>
          <w:tcPr>
            <w:tcW w:w="4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loan participations payable,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159,321</w:t>
            </w: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152,086</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-98425</wp:posOffset>
            </wp:positionV>
            <wp:extent cx="228981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ind w:left="500" w:hanging="492"/>
        <w:spacing w:after="0" w:line="255" w:lineRule="auto"/>
        <w:tabs>
          <w:tab w:leader="none" w:pos="5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As of December 31, 2016, the Company had three loan participations payable with a weighted average interest rate of 4.8%. As of December 31, 2015, the Company had two loan participations payable with a weighted average interest rate of 4.6%.</w:t>
      </w:r>
    </w:p>
    <w:p>
      <w:pPr>
        <w:spacing w:after="0" w:line="13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Loan participations represent transfers of financial assets that did not meet the sales criteria established under ASC Topic 860 and are accounted for as loan participations payable, net as of December 31, 2016 and 2015. As of December 31, 2016 and 2015, the corresponding loan receivable balances were $159.1 million and $153.0 million, respectively, and are included in "Loans receivable and other lending investments, net" on the Company's consolidated balance sheets. The principal and interest due on these loan participations payable are paid from cash flows of the corresponding loans receivable, which serve as collateral for the participations.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1" w:right="239" w:bottom="1440" w:gutter="0" w:footer="0" w:header="0"/>
        </w:sectPr>
      </w:pPr>
    </w:p>
    <w:bookmarkStart w:id="84" w:name="page85"/>
    <w:bookmarkEnd w:id="84"/>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10—Debt Obligations,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2016 and 2015, the Company's debt obligations were as follows ($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w w:val="99"/>
              </w:rPr>
              <w:t>Carrying Value as of December 31,</w:t>
            </w:r>
          </w:p>
        </w:tc>
        <w:tc>
          <w:tcPr>
            <w:tcW w:w="100" w:type="dxa"/>
            <w:vAlign w:val="bottom"/>
          </w:tcPr>
          <w:p>
            <w:pPr>
              <w:spacing w:after="0"/>
              <w:rPr>
                <w:sz w:val="16"/>
                <w:szCs w:val="16"/>
                <w:color w:val="auto"/>
              </w:rPr>
            </w:pPr>
          </w:p>
        </w:tc>
        <w:tc>
          <w:tcPr>
            <w:tcW w:w="1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Stated</w:t>
            </w:r>
          </w:p>
        </w:tc>
        <w:tc>
          <w:tcPr>
            <w:tcW w:w="440" w:type="dxa"/>
            <w:vAlign w:val="bottom"/>
          </w:tcPr>
          <w:p>
            <w:pPr>
              <w:spacing w:after="0"/>
              <w:rPr>
                <w:sz w:val="16"/>
                <w:szCs w:val="16"/>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Scheduled</w:t>
            </w:r>
          </w:p>
        </w:tc>
        <w:tc>
          <w:tcPr>
            <w:tcW w:w="0" w:type="dxa"/>
            <w:vAlign w:val="bottom"/>
          </w:tcPr>
          <w:p>
            <w:pPr>
              <w:spacing w:after="0"/>
              <w:rPr>
                <w:sz w:val="1"/>
                <w:szCs w:val="1"/>
                <w:color w:val="auto"/>
              </w:rPr>
            </w:pPr>
          </w:p>
        </w:tc>
      </w:tr>
      <w:tr>
        <w:trPr>
          <w:trHeight w:val="71"/>
        </w:trPr>
        <w:tc>
          <w:tcPr>
            <w:tcW w:w="4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8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vMerge w:val="restart"/>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6"/>
                <w:szCs w:val="6"/>
                <w:color w:val="auto"/>
              </w:rPr>
            </w:pPr>
          </w:p>
        </w:tc>
        <w:tc>
          <w:tcPr>
            <w:tcW w:w="190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1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Interest Rates</w:t>
            </w:r>
          </w:p>
        </w:tc>
        <w:tc>
          <w:tcPr>
            <w:tcW w:w="44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Secured credit facilities and mortgages: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w w:val="97"/>
              </w:rPr>
              <w:t>2015 $250 Million Secured Revolving Credit Facility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5"/>
              </w:rPr>
              <w:t>LIBOR + 2.75%</w:t>
            </w:r>
          </w:p>
        </w:tc>
        <w:tc>
          <w:tcPr>
            <w:tcW w:w="440" w:type="dxa"/>
            <w:vAlign w:val="bottom"/>
          </w:tcPr>
          <w:p>
            <w:pPr>
              <w:jc w:val="right"/>
              <w:ind w:right="217"/>
              <w:spacing w:after="0"/>
              <w:rPr>
                <w:sz w:val="20"/>
                <w:szCs w:val="20"/>
                <w:color w:val="auto"/>
              </w:rPr>
            </w:pPr>
            <w:r>
              <w:rPr>
                <w:rFonts w:ascii="Arial" w:cs="Arial" w:eastAsia="Arial" w:hAnsi="Arial"/>
                <w:sz w:val="13"/>
                <w:szCs w:val="13"/>
                <w:color w:val="auto"/>
                <w:w w:val="87"/>
              </w:rPr>
              <w:t>(1)</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March 2018</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2016 Senior Secured Credit Facility</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498,648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LIBOR + 4.50%</w:t>
            </w:r>
          </w:p>
        </w:tc>
        <w:tc>
          <w:tcPr>
            <w:tcW w:w="44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3"/>
                <w:szCs w:val="13"/>
                <w:color w:val="auto"/>
                <w:w w:val="87"/>
              </w:rPr>
              <w:t>(2)</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July 2020</w:t>
            </w:r>
          </w:p>
        </w:tc>
        <w:tc>
          <w:tcPr>
            <w:tcW w:w="0" w:type="dxa"/>
            <w:vAlign w:val="bottom"/>
          </w:tcPr>
          <w:p>
            <w:pPr>
              <w:spacing w:after="0"/>
              <w:rPr>
                <w:sz w:val="1"/>
                <w:szCs w:val="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Mortgages collateralized by net lease assets</w:t>
            </w:r>
          </w:p>
        </w:tc>
        <w:tc>
          <w:tcPr>
            <w:tcW w:w="3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249,987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239,547</w:t>
            </w:r>
          </w:p>
        </w:tc>
        <w:tc>
          <w:tcPr>
            <w:tcW w:w="2000" w:type="dxa"/>
            <w:vAlign w:val="bottom"/>
            <w:gridSpan w:val="2"/>
          </w:tcPr>
          <w:p>
            <w:pPr>
              <w:jc w:val="right"/>
              <w:ind w:right="116"/>
              <w:spacing w:after="0"/>
              <w:rPr>
                <w:sz w:val="20"/>
                <w:szCs w:val="20"/>
                <w:color w:val="auto"/>
              </w:rPr>
            </w:pPr>
            <w:r>
              <w:rPr>
                <w:rFonts w:ascii="Arial" w:cs="Arial" w:eastAsia="Arial" w:hAnsi="Arial"/>
                <w:sz w:val="18"/>
                <w:szCs w:val="18"/>
                <w:color w:val="auto"/>
              </w:rPr>
              <w:t>3.875% - 7.26%</w:t>
            </w:r>
          </w:p>
        </w:tc>
        <w:tc>
          <w:tcPr>
            <w:tcW w:w="440" w:type="dxa"/>
            <w:vAlign w:val="bottom"/>
          </w:tcPr>
          <w:p>
            <w:pPr>
              <w:jc w:val="right"/>
              <w:ind w:right="217"/>
              <w:spacing w:after="0"/>
              <w:rPr>
                <w:sz w:val="20"/>
                <w:szCs w:val="20"/>
                <w:color w:val="auto"/>
              </w:rPr>
            </w:pPr>
            <w:r>
              <w:rPr>
                <w:rFonts w:ascii="Arial" w:cs="Arial" w:eastAsia="Arial" w:hAnsi="Arial"/>
                <w:sz w:val="13"/>
                <w:szCs w:val="13"/>
                <w:color w:val="auto"/>
                <w:w w:val="87"/>
              </w:rPr>
              <w:t>(3)</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Various through 2032</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2012 Tranche A-2 Facility</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339,717</w:t>
            </w:r>
          </w:p>
        </w:tc>
        <w:tc>
          <w:tcPr>
            <w:tcW w:w="1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LIBOR + 5.75%</w:t>
            </w:r>
          </w:p>
        </w:tc>
        <w:tc>
          <w:tcPr>
            <w:tcW w:w="44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3"/>
                <w:szCs w:val="13"/>
                <w:color w:val="auto"/>
                <w:w w:val="87"/>
              </w:rPr>
              <w:t>(4)</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Total secured credit facilities and mortgages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748,635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829,264</w:t>
            </w: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Unsecured notes: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5.875% senior notes</w:t>
            </w: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261,403</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5.875%</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3.875% 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265,000</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3.875%</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4220" w:type="dxa"/>
            <w:vAlign w:val="bottom"/>
          </w:tcPr>
          <w:p>
            <w:pPr>
              <w:ind w:left="180"/>
              <w:spacing w:after="0" w:line="270" w:lineRule="exact"/>
              <w:rPr>
                <w:sz w:val="20"/>
                <w:szCs w:val="20"/>
                <w:color w:val="auto"/>
              </w:rPr>
            </w:pPr>
            <w:r>
              <w:rPr>
                <w:rFonts w:ascii="Arial" w:cs="Arial" w:eastAsia="Arial" w:hAnsi="Arial"/>
                <w:sz w:val="18"/>
                <w:szCs w:val="18"/>
                <w:color w:val="auto"/>
              </w:rPr>
              <w:t>3.00% senior convertible notes</w:t>
            </w:r>
            <w:r>
              <w:rPr>
                <w:rFonts w:ascii="Arial" w:cs="Arial" w:eastAsia="Arial" w:hAnsi="Arial"/>
                <w:sz w:val="25"/>
                <w:szCs w:val="25"/>
                <w:color w:val="auto"/>
                <w:vertAlign w:val="superscript"/>
              </w:rPr>
              <w:t>(5)</w:t>
            </w:r>
          </w:p>
        </w:tc>
        <w:tc>
          <w:tcPr>
            <w:tcW w:w="3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200,000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44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42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1.50% senior convertible notes</w:t>
            </w:r>
            <w:r>
              <w:rPr>
                <w:rFonts w:ascii="Arial" w:cs="Arial" w:eastAsia="Arial" w:hAnsi="Arial"/>
                <w:sz w:val="25"/>
                <w:szCs w:val="25"/>
                <w:color w:val="auto"/>
                <w:vertAlign w:val="superscript"/>
              </w:rPr>
              <w:t>(6)</w:t>
            </w:r>
          </w:p>
        </w:tc>
        <w:tc>
          <w:tcPr>
            <w:tcW w:w="3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200,000</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440" w:type="dxa"/>
            <w:vAlign w:val="bottom"/>
            <w:shd w:val="clear" w:color="auto" w:fill="CCEEFF"/>
          </w:tcPr>
          <w:p>
            <w:pPr>
              <w:spacing w:after="0"/>
              <w:rPr>
                <w:sz w:val="23"/>
                <w:szCs w:val="2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5.85% senior notes</w:t>
            </w:r>
          </w:p>
        </w:tc>
        <w:tc>
          <w:tcPr>
            <w:tcW w:w="3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99,722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99,722</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5.85%</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March 2017</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9.00% 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275,000</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June 2017</w:t>
            </w:r>
          </w:p>
        </w:tc>
        <w:tc>
          <w:tcPr>
            <w:tcW w:w="0" w:type="dxa"/>
            <w:vAlign w:val="bottom"/>
          </w:tcPr>
          <w:p>
            <w:pPr>
              <w:spacing w:after="0"/>
              <w:rPr>
                <w:sz w:val="1"/>
                <w:szCs w:val="1"/>
                <w:color w:val="auto"/>
              </w:rPr>
            </w:pPr>
          </w:p>
        </w:tc>
      </w:tr>
      <w:tr>
        <w:trPr>
          <w:trHeight w:val="270"/>
        </w:trPr>
        <w:tc>
          <w:tcPr>
            <w:tcW w:w="4220" w:type="dxa"/>
            <w:vAlign w:val="bottom"/>
          </w:tcPr>
          <w:p>
            <w:pPr>
              <w:ind w:left="180"/>
              <w:spacing w:after="0" w:line="270" w:lineRule="exact"/>
              <w:rPr>
                <w:sz w:val="20"/>
                <w:szCs w:val="20"/>
                <w:color w:val="auto"/>
              </w:rPr>
            </w:pPr>
            <w:r>
              <w:rPr>
                <w:rFonts w:ascii="Arial" w:cs="Arial" w:eastAsia="Arial" w:hAnsi="Arial"/>
                <w:sz w:val="18"/>
                <w:szCs w:val="18"/>
                <w:color w:val="auto"/>
              </w:rPr>
              <w:t>4.00% senior notes</w:t>
            </w:r>
            <w:r>
              <w:rPr>
                <w:rFonts w:ascii="Arial" w:cs="Arial" w:eastAsia="Arial" w:hAnsi="Arial"/>
                <w:sz w:val="25"/>
                <w:szCs w:val="25"/>
                <w:color w:val="auto"/>
                <w:vertAlign w:val="superscript"/>
              </w:rPr>
              <w:t>(7)</w:t>
            </w:r>
          </w:p>
        </w:tc>
        <w:tc>
          <w:tcPr>
            <w:tcW w:w="300" w:type="dxa"/>
            <w:vAlign w:val="bottom"/>
          </w:tcPr>
          <w:p>
            <w:pPr>
              <w:spacing w:after="0"/>
              <w:rPr>
                <w:sz w:val="23"/>
                <w:szCs w:val="23"/>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550,000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550,000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44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November 2017</w:t>
            </w:r>
          </w:p>
        </w:tc>
        <w:tc>
          <w:tcPr>
            <w:tcW w:w="0" w:type="dxa"/>
            <w:vAlign w:val="bottom"/>
          </w:tcPr>
          <w:p>
            <w:pPr>
              <w:spacing w:after="0"/>
              <w:rPr>
                <w:sz w:val="1"/>
                <w:szCs w:val="1"/>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7.125% 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300,000</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7.125%</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February 2018</w:t>
            </w:r>
          </w:p>
        </w:tc>
        <w:tc>
          <w:tcPr>
            <w:tcW w:w="0" w:type="dxa"/>
            <w:vAlign w:val="bottom"/>
          </w:tcPr>
          <w:p>
            <w:pPr>
              <w:spacing w:after="0"/>
              <w:rPr>
                <w:sz w:val="1"/>
                <w:szCs w:val="1"/>
                <w:color w:val="auto"/>
              </w:rPr>
            </w:pPr>
          </w:p>
        </w:tc>
      </w:tr>
      <w:tr>
        <w:trPr>
          <w:trHeight w:val="270"/>
        </w:trPr>
        <w:tc>
          <w:tcPr>
            <w:tcW w:w="4220" w:type="dxa"/>
            <w:vAlign w:val="bottom"/>
          </w:tcPr>
          <w:p>
            <w:pPr>
              <w:ind w:left="180"/>
              <w:spacing w:after="0" w:line="270" w:lineRule="exact"/>
              <w:rPr>
                <w:sz w:val="20"/>
                <w:szCs w:val="20"/>
                <w:color w:val="auto"/>
              </w:rPr>
            </w:pPr>
            <w:r>
              <w:rPr>
                <w:rFonts w:ascii="Arial" w:cs="Arial" w:eastAsia="Arial" w:hAnsi="Arial"/>
                <w:sz w:val="18"/>
                <w:szCs w:val="18"/>
                <w:color w:val="auto"/>
              </w:rPr>
              <w:t>4.875% senior notes</w:t>
            </w:r>
            <w:r>
              <w:rPr>
                <w:rFonts w:ascii="Arial" w:cs="Arial" w:eastAsia="Arial" w:hAnsi="Arial"/>
                <w:sz w:val="25"/>
                <w:szCs w:val="25"/>
                <w:color w:val="auto"/>
                <w:vertAlign w:val="superscript"/>
              </w:rPr>
              <w:t>(8)</w:t>
            </w:r>
          </w:p>
        </w:tc>
        <w:tc>
          <w:tcPr>
            <w:tcW w:w="300" w:type="dxa"/>
            <w:vAlign w:val="bottom"/>
          </w:tcPr>
          <w:p>
            <w:pPr>
              <w:spacing w:after="0"/>
              <w:rPr>
                <w:sz w:val="23"/>
                <w:szCs w:val="23"/>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300,000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4.875%</w:t>
            </w:r>
          </w:p>
        </w:tc>
        <w:tc>
          <w:tcPr>
            <w:tcW w:w="44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July 2018</w:t>
            </w:r>
          </w:p>
        </w:tc>
        <w:tc>
          <w:tcPr>
            <w:tcW w:w="0" w:type="dxa"/>
            <w:vAlign w:val="bottom"/>
          </w:tcPr>
          <w:p>
            <w:pPr>
              <w:spacing w:after="0"/>
              <w:rPr>
                <w:sz w:val="1"/>
                <w:szCs w:val="1"/>
                <w:color w:val="auto"/>
              </w:rPr>
            </w:pPr>
          </w:p>
        </w:tc>
      </w:tr>
      <w:tr>
        <w:trPr>
          <w:trHeight w:val="270"/>
        </w:trPr>
        <w:tc>
          <w:tcPr>
            <w:tcW w:w="42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5.00% senior notes</w:t>
            </w:r>
            <w:r>
              <w:rPr>
                <w:rFonts w:ascii="Arial" w:cs="Arial" w:eastAsia="Arial" w:hAnsi="Arial"/>
                <w:sz w:val="25"/>
                <w:szCs w:val="25"/>
                <w:color w:val="auto"/>
                <w:vertAlign w:val="superscript"/>
              </w:rPr>
              <w:t>(9)</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770,000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770,000</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440" w:type="dxa"/>
            <w:vAlign w:val="bottom"/>
            <w:shd w:val="clear" w:color="auto" w:fill="CCEEFF"/>
          </w:tcPr>
          <w:p>
            <w:pPr>
              <w:spacing w:after="0"/>
              <w:rPr>
                <w:sz w:val="23"/>
                <w:szCs w:val="2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July 2019</w:t>
            </w:r>
          </w:p>
        </w:tc>
        <w:tc>
          <w:tcPr>
            <w:tcW w:w="0" w:type="dxa"/>
            <w:vAlign w:val="bottom"/>
          </w:tcPr>
          <w:p>
            <w:pPr>
              <w:spacing w:after="0"/>
              <w:rPr>
                <w:sz w:val="1"/>
                <w:szCs w:val="1"/>
                <w:color w:val="auto"/>
              </w:rPr>
            </w:pPr>
          </w:p>
        </w:tc>
      </w:tr>
      <w:tr>
        <w:trPr>
          <w:trHeight w:val="270"/>
        </w:trPr>
        <w:tc>
          <w:tcPr>
            <w:tcW w:w="422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6.50% senior notes</w:t>
            </w:r>
            <w:r>
              <w:rPr>
                <w:rFonts w:ascii="Arial" w:cs="Arial" w:eastAsia="Arial" w:hAnsi="Arial"/>
                <w:sz w:val="25"/>
                <w:szCs w:val="25"/>
                <w:color w:val="auto"/>
                <w:vertAlign w:val="superscript"/>
              </w:rPr>
              <w:t>(10)</w:t>
            </w: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275,000</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6.50%</w:t>
            </w:r>
          </w:p>
        </w:tc>
        <w:tc>
          <w:tcPr>
            <w:tcW w:w="440" w:type="dxa"/>
            <w:vAlign w:val="bottom"/>
            <w:tcBorders>
              <w:bottom w:val="single" w:sz="8" w:color="CCEEFF"/>
            </w:tcBorders>
          </w:tcPr>
          <w:p>
            <w:pPr>
              <w:spacing w:after="0"/>
              <w:rPr>
                <w:sz w:val="23"/>
                <w:szCs w:val="23"/>
                <w:color w:val="auto"/>
              </w:rPr>
            </w:pPr>
          </w:p>
        </w:tc>
        <w:tc>
          <w:tcPr>
            <w:tcW w:w="17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0"/>
              </w:rPr>
              <w:t>July 2021</w:t>
            </w:r>
          </w:p>
        </w:tc>
        <w:tc>
          <w:tcPr>
            <w:tcW w:w="0" w:type="dxa"/>
            <w:vAlign w:val="bottom"/>
          </w:tcPr>
          <w:p>
            <w:pPr>
              <w:spacing w:after="0"/>
              <w:rPr>
                <w:sz w:val="1"/>
                <w:szCs w:val="1"/>
                <w:color w:val="auto"/>
              </w:rPr>
            </w:pP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unsecured notes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2,569,722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3,221,125</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b w:val="1"/>
                <w:bCs w:val="1"/>
                <w:color w:val="auto"/>
              </w:rPr>
              <w:t>Other debt obligations: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Trust preferred securities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LIBOR + 1.50%</w:t>
            </w:r>
          </w:p>
        </w:tc>
        <w:tc>
          <w:tcPr>
            <w:tcW w:w="4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October 2035</w:t>
            </w:r>
          </w:p>
        </w:tc>
        <w:tc>
          <w:tcPr>
            <w:tcW w:w="0" w:type="dxa"/>
            <w:vAlign w:val="bottom"/>
          </w:tcPr>
          <w:p>
            <w:pPr>
              <w:spacing w:after="0"/>
              <w:rPr>
                <w:sz w:val="1"/>
                <w:szCs w:val="1"/>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b w:val="1"/>
                <w:bCs w:val="1"/>
                <w:color w:val="auto"/>
              </w:rPr>
              <w:t>Total debt obligations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3,418,357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4,150,389</w:t>
            </w: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discounts and deferred financing costs, net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(28,449)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(31,566)</w:t>
            </w:r>
          </w:p>
        </w:tc>
        <w:tc>
          <w:tcPr>
            <w:tcW w:w="1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220" w:type="dxa"/>
            <w:vAlign w:val="bottom"/>
          </w:tcPr>
          <w:p>
            <w:pPr>
              <w:ind w:left="40"/>
              <w:spacing w:after="0"/>
              <w:rPr>
                <w:sz w:val="20"/>
                <w:szCs w:val="20"/>
                <w:color w:val="auto"/>
              </w:rPr>
            </w:pPr>
            <w:r>
              <w:rPr>
                <w:rFonts w:ascii="Arial" w:cs="Arial" w:eastAsia="Arial" w:hAnsi="Arial"/>
                <w:sz w:val="18"/>
                <w:szCs w:val="18"/>
                <w:b w:val="1"/>
                <w:bCs w:val="1"/>
                <w:color w:val="auto"/>
              </w:rPr>
              <w:t xml:space="preserve">Total debt obligations, net </w:t>
            </w:r>
            <w:r>
              <w:rPr>
                <w:rFonts w:ascii="Arial" w:cs="Arial" w:eastAsia="Arial" w:hAnsi="Arial"/>
                <w:sz w:val="25"/>
                <w:szCs w:val="25"/>
                <w:b w:val="1"/>
                <w:bCs w:val="1"/>
                <w:color w:val="auto"/>
                <w:vertAlign w:val="superscript"/>
              </w:rPr>
              <w:t>(11)</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3,389,908</w:t>
            </w:r>
          </w:p>
        </w:tc>
        <w:tc>
          <w:tcPr>
            <w:tcW w:w="100" w:type="dxa"/>
            <w:vAlign w:val="bottom"/>
          </w:tcPr>
          <w:p>
            <w:pPr>
              <w:spacing w:after="0"/>
              <w:rPr>
                <w:sz w:val="24"/>
                <w:szCs w:val="24"/>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4,118,823</w:t>
            </w: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-20955</wp:posOffset>
            </wp:positionV>
            <wp:extent cx="193802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38020" cy="2603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 w:lineRule="exact"/>
        <w:rPr>
          <w:sz w:val="20"/>
          <w:szCs w:val="20"/>
          <w:color w:val="auto"/>
        </w:rPr>
      </w:pPr>
    </w:p>
    <w:p>
      <w:pPr>
        <w:jc w:val="both"/>
        <w:ind w:left="420" w:hanging="412"/>
        <w:spacing w:after="0" w:line="241" w:lineRule="auto"/>
        <w:tabs>
          <w:tab w:leader="none" w:pos="4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loan bears interest at the Company's election of either (i) a base rate, which is the greater of (a) prime, (b) federal funds plus 0.5% or (c) LIBOR plus 1.0% and subject to a margin ranging from 1.25% to 1.75%, or (ii) LIBOR subject to a margin ranging from 2.25% to 2.75%. At maturity, the Company may convert outstanding borrowings to a one year term loan which matures in quarterly installments through March 2019.</w:t>
      </w:r>
    </w:p>
    <w:p>
      <w:pPr>
        <w:spacing w:after="0" w:line="1" w:lineRule="exact"/>
        <w:rPr>
          <w:rFonts w:ascii="Arial" w:cs="Arial" w:eastAsia="Arial" w:hAnsi="Arial"/>
          <w:sz w:val="14"/>
          <w:szCs w:val="14"/>
          <w:color w:val="auto"/>
        </w:rPr>
      </w:pPr>
    </w:p>
    <w:p>
      <w:pPr>
        <w:ind w:left="420" w:hanging="412"/>
        <w:spacing w:after="0" w:line="241" w:lineRule="auto"/>
        <w:tabs>
          <w:tab w:leader="none" w:pos="4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loan bears interest at the Company's election of either (i) a base rate, which is the greater of (a) prime, (b) federal funds plus 0.5% or (c) LIBOR plus 1.0% and subject to a margin of 3.5% or (ii) LIBOR subject to a margin of 4.5% with a minimum LIBOR rate of 1.0%.</w:t>
      </w:r>
    </w:p>
    <w:p>
      <w:pPr>
        <w:ind w:left="420" w:hanging="412"/>
        <w:spacing w:after="0"/>
        <w:tabs>
          <w:tab w:leader="none" w:pos="420" w:val="left"/>
        </w:tabs>
        <w:numPr>
          <w:ilvl w:val="0"/>
          <w:numId w:val="46"/>
        </w:numPr>
        <w:rPr>
          <w:rFonts w:ascii="Arial" w:cs="Arial" w:eastAsia="Arial" w:hAnsi="Arial"/>
          <w:sz w:val="13"/>
          <w:szCs w:val="13"/>
          <w:color w:val="auto"/>
        </w:rPr>
      </w:pPr>
      <w:r>
        <w:rPr>
          <w:rFonts w:ascii="Arial" w:cs="Arial" w:eastAsia="Arial" w:hAnsi="Arial"/>
          <w:sz w:val="13"/>
          <w:szCs w:val="13"/>
          <w:color w:val="auto"/>
        </w:rPr>
        <w:t>As of December 31, 2016 and 2015, includes a loan with a floating rate of LIBOR plus 2.00%. As of December 31, 2016, the weighted average interest rate of these loans is 5.1%.</w:t>
      </w:r>
    </w:p>
    <w:p>
      <w:pPr>
        <w:spacing w:after="0" w:line="12" w:lineRule="exact"/>
        <w:rPr>
          <w:rFonts w:ascii="Arial" w:cs="Arial" w:eastAsia="Arial" w:hAnsi="Arial"/>
          <w:sz w:val="13"/>
          <w:szCs w:val="13"/>
          <w:color w:val="auto"/>
        </w:rPr>
      </w:pPr>
    </w:p>
    <w:p>
      <w:pPr>
        <w:ind w:left="420" w:hanging="412"/>
        <w:spacing w:after="0"/>
        <w:tabs>
          <w:tab w:leader="none" w:pos="4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loan had a LIBOR floor of 1.25%.</w:t>
      </w:r>
    </w:p>
    <w:p>
      <w:pPr>
        <w:spacing w:after="0" w:line="1" w:lineRule="exact"/>
        <w:rPr>
          <w:rFonts w:ascii="Arial" w:cs="Arial" w:eastAsia="Arial" w:hAnsi="Arial"/>
          <w:sz w:val="14"/>
          <w:szCs w:val="14"/>
          <w:color w:val="auto"/>
        </w:rPr>
      </w:pPr>
    </w:p>
    <w:p>
      <w:pPr>
        <w:jc w:val="both"/>
        <w:ind w:left="420" w:hanging="412"/>
        <w:spacing w:after="0" w:line="241" w:lineRule="auto"/>
        <w:tabs>
          <w:tab w:leader="none" w:pos="4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Company's 3.00% senior convertible fixed rate notes due November 2016 ("3.00% Convertible Notes") were convertible at the option of the holders, into 85.0 shares per $1,000 principal amount of 3.00% Convertible Notes, at $11.77 per share at any time prior to the close of business on November 14, 2016. $9.6 million principal amount of the 3.00% Convertible Notes were converted into 0.8 million shares of common stock.</w:t>
      </w:r>
    </w:p>
    <w:p>
      <w:pPr>
        <w:spacing w:after="0" w:line="1" w:lineRule="exact"/>
        <w:rPr>
          <w:rFonts w:ascii="Arial" w:cs="Arial" w:eastAsia="Arial" w:hAnsi="Arial"/>
          <w:sz w:val="14"/>
          <w:szCs w:val="14"/>
          <w:color w:val="auto"/>
        </w:rPr>
      </w:pPr>
    </w:p>
    <w:p>
      <w:pPr>
        <w:jc w:val="both"/>
        <w:ind w:left="420" w:hanging="412"/>
        <w:spacing w:after="0" w:line="241" w:lineRule="auto"/>
        <w:tabs>
          <w:tab w:leader="none" w:pos="4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Company's 1.50% senior convertible fixed rate notes due November 2016 ("1.50% Convertible Notes") were convertible at the option of the holders, into 57.8 shares per $1,000 principal amount of 1.50% Convertible Notes, at $17.29 per share at any time prior to the close of business on November 14, 2016. None of the 1.50% Convertible Notes were converted into shares of common stock.</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Company can prepay these senior notes without penalty beginning August 1, 2017.</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Company can prepay these senior notes without penalty beginning January 1, 2018.</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Company can prepay these senior notes without penalty beginning July 1, 2018.</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Company can prepay these senior notes without penalty beginning July 1, 2020.</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Company capitalized interest relating to development activities of $5.8 million, $5.3 million and $4.9 million for the years ended December 31, 2016 2015 and 2014, respectively.</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1" w:right="239" w:bottom="1440" w:gutter="0" w:footer="0" w:header="0"/>
        </w:sectPr>
      </w:pPr>
    </w:p>
    <w:bookmarkStart w:id="85" w:name="page86"/>
    <w:bookmarkEnd w:id="85"/>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Future Scheduled Maturities</w:t>
      </w:r>
      <w:r>
        <w:rPr>
          <w:rFonts w:ascii="Arial" w:cs="Arial" w:eastAsia="Arial" w:hAnsi="Arial"/>
          <w:sz w:val="16"/>
          <w:szCs w:val="16"/>
          <w:color w:val="auto"/>
        </w:rPr>
        <w:t>—As of December 31, 2016, future scheduled maturities of outstanding debt obligations are as follows ($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0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Unsecured Debt</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Secured Debt</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0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2017</w:t>
            </w:r>
            <w:r>
              <w:rPr>
                <w:rFonts w:ascii="Arial" w:cs="Arial" w:eastAsia="Arial" w:hAnsi="Arial"/>
                <w:sz w:val="25"/>
                <w:szCs w:val="25"/>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924,722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924,722</w:t>
            </w: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600,000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11,196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611,196</w:t>
            </w:r>
          </w:p>
        </w:tc>
        <w:tc>
          <w:tcPr>
            <w:tcW w:w="0" w:type="dxa"/>
            <w:vAlign w:val="bottom"/>
          </w:tcPr>
          <w:p>
            <w:pPr>
              <w:spacing w:after="0"/>
              <w:rPr>
                <w:sz w:val="1"/>
                <w:szCs w:val="1"/>
                <w:color w:val="auto"/>
              </w:rPr>
            </w:pPr>
          </w:p>
        </w:tc>
      </w:tr>
      <w:tr>
        <w:trPr>
          <w:trHeight w:val="27"/>
        </w:trPr>
        <w:tc>
          <w:tcPr>
            <w:tcW w:w="6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770,000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29,191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799,191</w:t>
            </w: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498,648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498,648</w:t>
            </w:r>
          </w:p>
        </w:tc>
        <w:tc>
          <w:tcPr>
            <w:tcW w:w="0" w:type="dxa"/>
            <w:vAlign w:val="bottom"/>
          </w:tcPr>
          <w:p>
            <w:pPr>
              <w:spacing w:after="0"/>
              <w:rPr>
                <w:sz w:val="1"/>
                <w:szCs w:val="1"/>
                <w:color w:val="auto"/>
              </w:rPr>
            </w:pPr>
          </w:p>
        </w:tc>
      </w:tr>
      <w:tr>
        <w:trPr>
          <w:trHeight w:val="27"/>
        </w:trPr>
        <w:tc>
          <w:tcPr>
            <w:tcW w:w="6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119,860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394,860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89,740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189,740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principal maturities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2,669,722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748,635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3,418,357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Unamortized discounts and deferred financing costs, net</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(18,426)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(10,023)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(28,449)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 obligations,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2,651,296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738,612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3,389,908</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jc w:val="right"/>
              <w:ind w:right="430"/>
              <w:spacing w:after="0"/>
              <w:rPr>
                <w:sz w:val="20"/>
                <w:szCs w:val="20"/>
                <w:color w:val="auto"/>
              </w:rPr>
            </w:pPr>
            <w:r>
              <w:rPr>
                <w:rFonts w:ascii="Arial" w:cs="Arial" w:eastAsia="Arial" w:hAnsi="Arial"/>
                <w:sz w:val="14"/>
                <w:szCs w:val="14"/>
                <w:color w:val="auto"/>
                <w:w w:val="92"/>
              </w:rPr>
              <w:t>_____________________________________________________________________________</w:t>
            </w: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0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jc w:val="both"/>
        <w:ind w:left="420" w:hanging="412"/>
        <w:spacing w:after="0" w:line="348" w:lineRule="auto"/>
        <w:tabs>
          <w:tab w:leader="none" w:pos="420" w:val="left"/>
        </w:tabs>
        <w:numPr>
          <w:ilvl w:val="0"/>
          <w:numId w:val="47"/>
        </w:numPr>
        <w:rPr>
          <w:rFonts w:ascii="Arial" w:cs="Arial" w:eastAsia="Arial" w:hAnsi="Arial"/>
          <w:sz w:val="13"/>
          <w:szCs w:val="13"/>
          <w:color w:val="auto"/>
        </w:rPr>
      </w:pPr>
      <w:r>
        <w:rPr>
          <w:rFonts w:ascii="Arial" w:cs="Arial" w:eastAsia="Arial" w:hAnsi="Arial"/>
          <w:sz w:val="13"/>
          <w:szCs w:val="13"/>
          <w:color w:val="auto"/>
        </w:rPr>
        <w:t xml:space="preserve">The Company has $924.7 million </w:t>
      </w:r>
      <w:r>
        <w:rPr>
          <w:rFonts w:ascii="Arial" w:cs="Arial" w:eastAsia="Arial" w:hAnsi="Arial"/>
          <w:sz w:val="16"/>
          <w:szCs w:val="16"/>
          <w:color w:val="auto"/>
        </w:rPr>
        <w:t>of</w:t>
      </w:r>
      <w:r>
        <w:rPr>
          <w:rFonts w:ascii="Arial" w:cs="Arial" w:eastAsia="Arial" w:hAnsi="Arial"/>
          <w:sz w:val="13"/>
          <w:szCs w:val="13"/>
          <w:color w:val="auto"/>
        </w:rPr>
        <w:t xml:space="preserve"> debt obligations maturing in three separate tranches during 2017, and $311.2 million of other debt obligations maturing before the end of February 2018, as listed in the debt obligations table above. The Company's plans to satisfy these obligations primarily consist of accessing the debt and/or equity markets to obtain capital to satisfy the maturing obligations. In addition, management intends to execute on its business strategy of disposing of assets and selling interests in business lines as well as collecting loan repayments from borrowers to further generate available liquidity. Should these sources of capital not be sufficiently available, the Company will slow its pace of making new investments and will need to identify alternative sources of capital. As of February 23, 2017, the Company had approximately $710.7 million of cash and available capacity under existing borrowing arrangements.</w:t>
      </w:r>
    </w:p>
    <w:p>
      <w:pPr>
        <w:spacing w:after="0" w:line="102"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b w:val="1"/>
          <w:bCs w:val="1"/>
          <w:color w:val="auto"/>
        </w:rPr>
        <w:t>2016 Senior Secured Credit Facility</w:t>
      </w:r>
      <w:r>
        <w:rPr>
          <w:rFonts w:ascii="Arial" w:cs="Arial" w:eastAsia="Arial" w:hAnsi="Arial"/>
          <w:sz w:val="16"/>
          <w:szCs w:val="16"/>
          <w:color w:val="auto"/>
        </w:rPr>
        <w:t>—In June 2016, the Company entered into a senior secured credit facility of $450.0 million (the "2016 Senior</w:t>
      </w:r>
      <w:r>
        <w:rPr>
          <w:rFonts w:ascii="Arial" w:cs="Arial" w:eastAsia="Arial" w:hAnsi="Arial"/>
          <w:sz w:val="16"/>
          <w:szCs w:val="16"/>
          <w:b w:val="1"/>
          <w:bCs w:val="1"/>
          <w:color w:val="auto"/>
        </w:rPr>
        <w:t xml:space="preserve"> </w:t>
      </w:r>
      <w:r>
        <w:rPr>
          <w:rFonts w:ascii="Arial" w:cs="Arial" w:eastAsia="Arial" w:hAnsi="Arial"/>
          <w:sz w:val="16"/>
          <w:szCs w:val="16"/>
          <w:color w:val="auto"/>
        </w:rPr>
        <w:t>Secured Credit Facility"). In August 2016, the Company upsized the facility to $500.0 million. The initial $450.0 million of the 2016 Senior Secured Credit Facility was issued at 99% of par and the upsize was issued at par. The 2016 Senior Secured Credit Facility bears interest at a floating rate of LIBOR plus 4.50% with a 1.00% LIBOR floor. Subsequent to December 31, 2016, the Company repriced the 2016 Senior Secured Credit Facility to LIBOR plus 3.75% with a 1.00% LIBOR floor. The 2016 Senior Secured Credit Facility is collateralized 1.25x by a first lien on a fixed pool of assets. Proceeds from principal repayments and sales of collateral are applied to amortize the 2016 Senior Secured Credit Facility. Proceeds received for interest, rent, lease payments and fee income are retained by the Company. The Company may also make optional prepayments, subject to prepayment fees, and is required to repay 0.25% of the principal amount outstanding on the first business day of each quarter beginning on October 3, 2016. Proceeds from the 2016 Senior Secured Credit Facility, together with cash on hand, were primarily used to repay in full the remaining $323.2 million 2012 Secured Tranche A-2 Facility and repay the $245.0 million balance outstanding on the 2015 Secured Revolving Credit Facility (as defined below).</w:t>
      </w:r>
    </w:p>
    <w:p>
      <w:pPr>
        <w:spacing w:after="0" w:line="1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connection with the 2016 Senior Secured Credit Facility, the Company incurred $4.5 million of lender fees, substantially all of which was capitalized in "Debt obligations, net" on the Company's consolidated balance sheets. The Company also incurred $6.2 million in third party fees, of which $4.3 million was capitalized in “Debt obligations, net” on the Company's consolidated balance sheets, as it related to new lenders, and $1.9 million was recognized in “Other expense” in the Company's consolidated statements of operations as it related primarily to those lenders from the original facility that modified their debt under the new facility.</w:t>
      </w:r>
    </w:p>
    <w:p>
      <w:pPr>
        <w:spacing w:after="0" w:line="184"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2016 Secured Term Loan</w:t>
      </w:r>
      <w:r>
        <w:rPr>
          <w:rFonts w:ascii="Arial" w:cs="Arial" w:eastAsia="Arial" w:hAnsi="Arial"/>
          <w:sz w:val="18"/>
          <w:szCs w:val="18"/>
          <w:color w:val="auto"/>
        </w:rPr>
        <w:t>—In December 2016, the Company arranged a $170.0 million delayed draw secured term loan (the "2016 Secured Term</w:t>
      </w:r>
      <w:r>
        <w:rPr>
          <w:rFonts w:ascii="Arial" w:cs="Arial" w:eastAsia="Arial" w:hAnsi="Arial"/>
          <w:sz w:val="18"/>
          <w:szCs w:val="18"/>
          <w:b w:val="1"/>
          <w:bCs w:val="1"/>
          <w:color w:val="auto"/>
        </w:rPr>
        <w:t xml:space="preserve"> </w:t>
      </w:r>
      <w:r>
        <w:rPr>
          <w:rFonts w:ascii="Arial" w:cs="Arial" w:eastAsia="Arial" w:hAnsi="Arial"/>
          <w:sz w:val="18"/>
          <w:szCs w:val="18"/>
          <w:color w:val="auto"/>
        </w:rPr>
        <w:t>Loan"). The 2016 Secured Term Loan bears interest at a rate of LIBOR + 1.50%. As of December 31, 2016, the Company had not yet drawn on the 2016 Secured Term Loan.</w:t>
      </w:r>
    </w:p>
    <w:p>
      <w:pPr>
        <w:spacing w:after="0" w:line="17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b w:val="1"/>
          <w:bCs w:val="1"/>
          <w:color w:val="auto"/>
        </w:rPr>
        <w:t>2015 Secured Revolving Credit Facility</w:t>
      </w:r>
      <w:r>
        <w:rPr>
          <w:rFonts w:ascii="Arial" w:cs="Arial" w:eastAsia="Arial" w:hAnsi="Arial"/>
          <w:sz w:val="17"/>
          <w:szCs w:val="17"/>
          <w:color w:val="auto"/>
        </w:rPr>
        <w:t>—In March 2015, the Company entered into a secured revolving credit facility with a maximum capacity of</w:t>
      </w:r>
      <w:r>
        <w:rPr>
          <w:rFonts w:ascii="Arial" w:cs="Arial" w:eastAsia="Arial" w:hAnsi="Arial"/>
          <w:sz w:val="17"/>
          <w:szCs w:val="17"/>
          <w:b w:val="1"/>
          <w:bCs w:val="1"/>
          <w:color w:val="auto"/>
        </w:rPr>
        <w:t xml:space="preserve"> </w:t>
      </w:r>
      <w:r>
        <w:rPr>
          <w:rFonts w:ascii="Arial" w:cs="Arial" w:eastAsia="Arial" w:hAnsi="Arial"/>
          <w:sz w:val="17"/>
          <w:szCs w:val="17"/>
          <w:color w:val="auto"/>
        </w:rPr>
        <w:t>$250.0 million (the "2015 Secured Revolving Credit Facility"). Borrowings under this credit facility bear interest at a floating rate indexed to one of several base rates plus a margin which adjusts upward or downward based upon the Company's corporate credit rating. An undrawn credit facility commitment fee ranges from 0.375% to 0.5%, based on average utilization each quarter. During the year ended December 31, 2016, the weighted average cost of the credit facility was 3.19%. Commitments under the revolving facility mature in March 2018. At maturity, the Company may convert outstanding borrowings to a one year term loan which matures in quarterly installments through March 2019. As of December 31, 2016, the Company had $250.0 million of borrowing capacity available under the 2015 Secured Revolving Credit Facility.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1" w:right="239" w:bottom="1440" w:gutter="0" w:footer="0" w:header="0"/>
        </w:sectPr>
      </w:pPr>
    </w:p>
    <w:bookmarkStart w:id="86" w:name="page87"/>
    <w:bookmarkEnd w:id="86"/>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8"/>
          <w:szCs w:val="18"/>
          <w:b w:val="1"/>
          <w:bCs w:val="1"/>
          <w:color w:val="auto"/>
        </w:rPr>
        <w:t>2012 Secured Credit Facilities</w:t>
      </w:r>
      <w:r>
        <w:rPr>
          <w:rFonts w:ascii="Arial" w:cs="Arial" w:eastAsia="Arial" w:hAnsi="Arial"/>
          <w:sz w:val="18"/>
          <w:szCs w:val="18"/>
          <w:color w:val="auto"/>
        </w:rPr>
        <w:t>—In March 2012, the Company entered into an $880.0 million senior secured credit agreement providing for two</w:t>
      </w:r>
      <w:r>
        <w:rPr>
          <w:rFonts w:ascii="Arial" w:cs="Arial" w:eastAsia="Arial" w:hAnsi="Arial"/>
          <w:sz w:val="18"/>
          <w:szCs w:val="18"/>
          <w:b w:val="1"/>
          <w:bCs w:val="1"/>
          <w:color w:val="auto"/>
        </w:rPr>
        <w:t xml:space="preserve"> </w:t>
      </w:r>
      <w:r>
        <w:rPr>
          <w:rFonts w:ascii="Arial" w:cs="Arial" w:eastAsia="Arial" w:hAnsi="Arial"/>
          <w:sz w:val="18"/>
          <w:szCs w:val="18"/>
          <w:color w:val="auto"/>
        </w:rPr>
        <w:t>tranches of term loans: a $410.0 million 2012 A-1 tranche due March 2016, which accrued interest at a rate of LIBOR + 4.00% (the "2012 Secured Tranche A-1 Facility"), and a $470.0 million 2012 A-2 tranche due March 2017, which accrued interest at a rate of LIBOR + 5.75% (the "2012 Secured Tranche A-2 Facility," together the "2012 Secured Credit Facilities"). The 2012 A-1 and A-2 tranches were issued at 98.0% of par and 98.5% of par, respectively, and both tranches included a LIBOR floor of 1.25%.</w:t>
      </w:r>
    </w:p>
    <w:p>
      <w:pPr>
        <w:spacing w:after="0" w:line="18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2012 Secured Tranche A-1 Facility was fully repaid in August 2013. In June 2016, proceeds from the 2016 Senior Secured Credit Facility were used to repay in full the remaining 2012 Secured Tranche A-2 Facility. During the years ended December 31, 2016, 2015 and 2014, repayments of the 2012 Secured Tranche A-2 Facility prior to maturity resulted in losses on early extinguishment of debt of $1.2 million, $0.3 million and $1.5 million, respectively, related to the accelerated amortization of discounts and unamortized deferred financing fees on the portion of the facility that was repaid. These amounts are included in "Loss on early extinguishment of debt, net" in the Company's consolidated statements of operations.</w:t>
      </w:r>
    </w:p>
    <w:p>
      <w:pPr>
        <w:spacing w:after="0" w:line="169"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b w:val="1"/>
          <w:bCs w:val="1"/>
          <w:color w:val="auto"/>
        </w:rPr>
        <w:t>Unsecured Notes</w:t>
      </w:r>
      <w:r>
        <w:rPr>
          <w:rFonts w:ascii="Arial" w:cs="Arial" w:eastAsia="Arial" w:hAnsi="Arial"/>
          <w:sz w:val="17"/>
          <w:szCs w:val="17"/>
          <w:color w:val="auto"/>
        </w:rPr>
        <w:t>—In March 2016, the Company repaid its $261.4 million principal amount of 5.875% senior unsecured notes at maturity using</w:t>
      </w:r>
      <w:r>
        <w:rPr>
          <w:rFonts w:ascii="Arial" w:cs="Arial" w:eastAsia="Arial" w:hAnsi="Arial"/>
          <w:sz w:val="17"/>
          <w:szCs w:val="17"/>
          <w:b w:val="1"/>
          <w:bCs w:val="1"/>
          <w:color w:val="auto"/>
        </w:rPr>
        <w:t xml:space="preserve"> </w:t>
      </w:r>
      <w:r>
        <w:rPr>
          <w:rFonts w:ascii="Arial" w:cs="Arial" w:eastAsia="Arial" w:hAnsi="Arial"/>
          <w:sz w:val="17"/>
          <w:szCs w:val="17"/>
          <w:color w:val="auto"/>
        </w:rPr>
        <w:t>available cash. In addition, the Company issued $275.0 million principal amount of 6.50% senior unsecured notes due July 2021. Proceeds from the offering were primarily used to repay in full the $265.0 million principal amount of senior unsecured notes due July 2016 and repay $5.0 million of the 2015 Secured Revolving Credit Facility. In addition, the Company retired its $200.0 million principal amount of 3.0% senior unsecured convertible notes due November 2016 with available cash after the conversion of $9.6 million principal amount into 0.8 million shares of the Company's common stock. The Company also repurchased and retired its $200.0 million principal amount of 1.50% senior unsecured convertible notes due November 2016 using available cash. During the year ended December 31, 2016, repayments of unsecured notes prior to maturity resulted in losses on early extinguishment of debt of $0.4 million. This amount is included in "Loss on early extinguishment of debt, net" in the Company's consolidated statements of operations.</w:t>
      </w:r>
    </w:p>
    <w:p>
      <w:pPr>
        <w:spacing w:after="0" w:line="172"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b w:val="1"/>
          <w:bCs w:val="1"/>
          <w:color w:val="auto"/>
        </w:rPr>
        <w:t>Encumbered/Unencumbered Assets</w:t>
      </w:r>
      <w:r>
        <w:rPr>
          <w:rFonts w:ascii="Arial" w:cs="Arial" w:eastAsia="Arial" w:hAnsi="Arial"/>
          <w:sz w:val="18"/>
          <w:szCs w:val="18"/>
          <w:color w:val="auto"/>
        </w:rPr>
        <w:t>—As of December 31, 2016 and 2015, the carrying value of the Company's encumbered and unencumbered assets</w:t>
      </w:r>
      <w:r>
        <w:rPr>
          <w:rFonts w:ascii="Arial" w:cs="Arial" w:eastAsia="Arial" w:hAnsi="Arial"/>
          <w:sz w:val="18"/>
          <w:szCs w:val="18"/>
          <w:b w:val="1"/>
          <w:bCs w:val="1"/>
          <w:color w:val="auto"/>
        </w:rPr>
        <w:t xml:space="preserve"> </w:t>
      </w:r>
      <w:r>
        <w:rPr>
          <w:rFonts w:ascii="Arial" w:cs="Arial" w:eastAsia="Arial" w:hAnsi="Arial"/>
          <w:sz w:val="18"/>
          <w:szCs w:val="18"/>
          <w:color w:val="auto"/>
        </w:rPr>
        <w:t>by asset type are as follows ($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4"/>
                <w:szCs w:val="14"/>
                <w:b w:val="1"/>
                <w:bCs w:val="1"/>
                <w:color w:val="auto"/>
              </w:rPr>
              <w:t>As of December 31,</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3"/>
              </w:rPr>
              <w:t>2016</w:t>
            </w:r>
          </w:p>
        </w:tc>
        <w:tc>
          <w:tcPr>
            <w:tcW w:w="12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3"/>
              </w:rPr>
              <w:t>2015</w:t>
            </w:r>
          </w:p>
        </w:tc>
        <w:tc>
          <w:tcPr>
            <w:tcW w:w="12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Encumbered Assets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Unencumbered</w:t>
            </w: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Encumbered Assets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4"/>
              </w:rPr>
              <w:t>Unencumbered</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net</w:t>
            </w: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881,212</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610,540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816,721</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777,262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Real estate available and held for sale</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83,764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10,593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126,681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development, net</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35,165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910,400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17,714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984,249</w:t>
            </w:r>
          </w:p>
        </w:tc>
        <w:tc>
          <w:tcPr>
            <w:tcW w:w="0" w:type="dxa"/>
            <w:vAlign w:val="bottom"/>
          </w:tcPr>
          <w:p>
            <w:pPr>
              <w:spacing w:after="0"/>
              <w:rPr>
                <w:sz w:val="1"/>
                <w:szCs w:val="1"/>
                <w:color w:val="auto"/>
              </w:rPr>
            </w:pPr>
          </w:p>
        </w:tc>
      </w:tr>
      <w:tr>
        <w:trPr>
          <w:trHeight w:val="270"/>
        </w:trPr>
        <w:tc>
          <w:tcPr>
            <w:tcW w:w="5620" w:type="dxa"/>
            <w:vAlign w:val="bottom"/>
          </w:tcPr>
          <w:p>
            <w:pPr>
              <w:ind w:left="40"/>
              <w:spacing w:after="0" w:line="270" w:lineRule="exact"/>
              <w:rPr>
                <w:sz w:val="20"/>
                <w:szCs w:val="20"/>
                <w:color w:val="auto"/>
              </w:rPr>
            </w:pPr>
            <w:r>
              <w:rPr>
                <w:rFonts w:ascii="Arial" w:cs="Arial" w:eastAsia="Arial" w:hAnsi="Arial"/>
                <w:sz w:val="18"/>
                <w:szCs w:val="18"/>
                <w:color w:val="auto"/>
              </w:rPr>
              <w:t>Loans receivable and other lending investments, net</w:t>
            </w:r>
            <w:r>
              <w:rPr>
                <w:rFonts w:ascii="Arial" w:cs="Arial" w:eastAsia="Arial" w:hAnsi="Arial"/>
                <w:sz w:val="25"/>
                <w:szCs w:val="25"/>
                <w:color w:val="auto"/>
                <w:vertAlign w:val="superscript"/>
              </w:rPr>
              <w:t>(1)(2)</w:t>
            </w: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172,581</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1,142,050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170,162</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1,314,823</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214,406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22,352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231,820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Cash and other assets</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639,588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1,008,415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1,088,958</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3,600,748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1,037,542</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4,443,250</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-98425</wp:posOffset>
            </wp:positionV>
            <wp:extent cx="36874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ind w:left="420" w:hanging="412"/>
        <w:spacing w:after="0"/>
        <w:tabs>
          <w:tab w:leader="none" w:pos="4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As of December 31, 2016 and 2015, the amounts presented exclude general reserves for loan losses of $23.3 million and $36.0 million, respectively.</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As of December 31, 2016 and 2015, the amounts presented exclude loan participations of $159.1 million and $153.0 million,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229"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Company's outstanding unsecured debt securities contain corporate level covenants that include a covenant to maintain a ratio of unencumbered assets to unsecured indebtedness of at least 1.2x and a covenant not to incur additional indebtedness (except for incurrences of permitted debt), if on a pro forma basis, the Company's consolidated fixed charge coverage ratio, determined in accordance with the indentures governing the Company's debt securities, is 1.5x or lower. If any of the Company's covenants are breached and not cured within applicable cure periods, the breach could result in acceleration of its debt securities unless a waiver or modification is agreed upon with the requisite percentage of the bondholders. If the Company's ability to incur additional indebtedness under the fixed charge coverage ratio is limited, the Company is permitted to incur indebtedness for the purpose of refinancing existing indebtedness and for other permitted purposes under the indentures.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2" w:right="239" w:bottom="1440" w:gutter="0" w:footer="0" w:header="0"/>
        </w:sectPr>
      </w:pPr>
    </w:p>
    <w:bookmarkStart w:id="87" w:name="page88"/>
    <w:bookmarkEnd w:id="87"/>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The Company's 2016 Senior Secured Credit Facility and the 2015 Secured Revolving Credit Facility contain certain covenants, including covenants relating to collateral coverage, dividend payments, restrictions on fundamental changes, transactions with affiliates, matters relating to the liens granted to the lenders and the delivery of information to the lenders. In particular, the 2016 Senior Secured Credit Facility requires the Company to maintain collateral coverage of at least 1.25x outstanding borrowings on the facility. The 2015 Secured Revolving Credit Facility is secured by a borrowing base of assets and requires the Company to maintain both collateral coverage of at least 1.5x outstanding borrowings on the facility and a consolidated ratio of cash flow to fixed charges of at least 1.5x. The 2015 Secured Revolving Credit Facility does not require that proceeds from the borrowing base be used to pay down outstanding borrowings provided the collateral coverage remains at least 1.5x outstanding borrowings on the facility. To satisfy this covenant, the Company has the option to pay down outstanding borrowings or substitute assets in the borrowing base. In addition, for so long as the Company maintains its qualification as a REIT, the 2016 Senior Secured Credit Facility and the 2015 Secured Revolving Credit Facility permit the Company to distribute 100% of its REIT taxable income on an annual basis (prior to deducting certain cumulative net operating loss ("NOL") carryforwards). The Company may not pay common dividends if it ceases to qualify as a REIT.</w:t>
      </w:r>
    </w:p>
    <w:p>
      <w:pPr>
        <w:spacing w:after="0" w:line="18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Company's 2016 Senior Secured Credit Facility and the 2015 Secured Revolving Credit Facility contain cross default provisions that would allow the lenders to declare an event of default and accelerate the Company's indebtedness to them if the Company fails to pay amounts due in respect of its other recourse indebtedness in excess of specified thresholds or if the lenders under such other indebtedness are otherwise permitted to accelerate such indebtedness for any reason. The indentures governing the Company's unsecured public debt securities permit the bondholders to declare an event of default and accelerate the Company's indebtedness to them if the Company's other recourse indebtedness in excess of specified thresholds is not paid at final maturity or if such indebtedness is accelerated.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11—Commitments and Contingencies</w:t>
      </w:r>
    </w:p>
    <w:p>
      <w:pPr>
        <w:spacing w:after="0" w:line="225"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b w:val="1"/>
          <w:bCs w:val="1"/>
          <w:color w:val="auto"/>
        </w:rPr>
        <w:t>Unfunded Commitments</w:t>
      </w:r>
      <w:r>
        <w:rPr>
          <w:rFonts w:ascii="Arial" w:cs="Arial" w:eastAsia="Arial" w:hAnsi="Arial"/>
          <w:sz w:val="18"/>
          <w:szCs w:val="18"/>
          <w:color w:val="auto"/>
        </w:rPr>
        <w:t>—The Company generally funds construction and development loans and build-outs of space in real estate assets over a</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time if and when the borrowers and tenants meet established milestones and other performance criteria. The Company refers to these arrangements as Performance-Based Commitments. In addition, the Company sometimes establishes a maximum amount of additional funding which it will make available to a borrower or tenant for an expansion or addition to a project if it approves of the expansion or addition in its sole discretion. The Company refers to these arrangements as Discretionary Fundings. Finally, the Company has committed to invest capital in several real estate funds and other ventures. These arrangements are referred to as Strategic Investments.</w:t>
      </w:r>
    </w:p>
    <w:p>
      <w:pPr>
        <w:spacing w:after="0" w:line="19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December 31, 2016, the maximum amount of fundings the Company may be required to make under each category, assuming all performance hurdles and milestones are met under the Performance-Based Commitments, that it approves all Discretionary Fundings and that 100% of its capital committed to Strategic Investments is drawn down, are as follows ($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Loans and Other Lending</w:t>
            </w:r>
          </w:p>
        </w:tc>
        <w:tc>
          <w:tcPr>
            <w:tcW w:w="280" w:type="dxa"/>
            <w:vAlign w:val="bottom"/>
          </w:tcPr>
          <w:p>
            <w:pPr>
              <w:spacing w:after="0"/>
              <w:rPr>
                <w:sz w:val="14"/>
                <w:szCs w:val="14"/>
                <w:color w:val="auto"/>
              </w:rPr>
            </w:pPr>
          </w:p>
        </w:tc>
        <w:tc>
          <w:tcPr>
            <w:tcW w:w="14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Real Estate</w:t>
            </w:r>
          </w:p>
        </w:tc>
        <w:tc>
          <w:tcPr>
            <w:tcW w:w="320" w:type="dxa"/>
            <w:vAlign w:val="bottom"/>
          </w:tcPr>
          <w:p>
            <w:pPr>
              <w:spacing w:after="0"/>
              <w:rPr>
                <w:sz w:val="14"/>
                <w:szCs w:val="14"/>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Other</w:t>
            </w:r>
          </w:p>
        </w:tc>
        <w:tc>
          <w:tcPr>
            <w:tcW w:w="440" w:type="dxa"/>
            <w:vAlign w:val="bottom"/>
          </w:tcPr>
          <w:p>
            <w:pPr>
              <w:spacing w:after="0"/>
              <w:rPr>
                <w:sz w:val="14"/>
                <w:szCs w:val="14"/>
                <w:color w:val="auto"/>
              </w:rPr>
            </w:pPr>
          </w:p>
        </w:tc>
        <w:tc>
          <w:tcPr>
            <w:tcW w:w="1400" w:type="dxa"/>
            <w:vAlign w:val="bottom"/>
            <w:vMerge w:val="restart"/>
          </w:tcPr>
          <w:p>
            <w:pPr>
              <w:jc w:val="right"/>
              <w:ind w:right="6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Investments</w:t>
            </w:r>
            <w:r>
              <w:rPr>
                <w:rFonts w:ascii="Arial" w:cs="Arial" w:eastAsia="Arial" w:hAnsi="Arial"/>
                <w:sz w:val="8"/>
                <w:szCs w:val="8"/>
                <w:b w:val="1"/>
                <w:bCs w:val="1"/>
                <w:color w:val="auto"/>
                <w:w w:val="91"/>
              </w:rPr>
              <w:t>(1)</w:t>
            </w:r>
          </w:p>
        </w:tc>
        <w:tc>
          <w:tcPr>
            <w:tcW w:w="28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Investments</w:t>
            </w:r>
          </w:p>
        </w:tc>
        <w:tc>
          <w:tcPr>
            <w:tcW w:w="44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Performance-Based Commitments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366,287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14,616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25,574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406,477</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Strategic Investments</w:t>
            </w:r>
          </w:p>
        </w:tc>
        <w:tc>
          <w:tcPr>
            <w:tcW w:w="140" w:type="dxa"/>
            <w:vAlign w:val="bottom"/>
          </w:tcPr>
          <w:p>
            <w:pPr>
              <w:spacing w:after="0"/>
              <w:rPr>
                <w:sz w:val="21"/>
                <w:szCs w:val="21"/>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45,540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45,540</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80" w:type="dxa"/>
            <w:vAlign w:val="bottom"/>
            <w:tcBorders>
              <w:bottom w:val="single" w:sz="8" w:color="CCEEFF"/>
            </w:tcBorders>
            <w:shd w:val="clear" w:color="auto" w:fill="CCEEFF"/>
          </w:tcPr>
          <w:p>
            <w:pPr>
              <w:ind w:left="180"/>
              <w:spacing w:after="0" w:line="264" w:lineRule="exact"/>
              <w:rPr>
                <w:sz w:val="20"/>
                <w:szCs w:val="20"/>
                <w:color w:val="auto"/>
              </w:rPr>
            </w:pPr>
            <w:r>
              <w:rPr>
                <w:rFonts w:ascii="Arial" w:cs="Arial" w:eastAsia="Arial" w:hAnsi="Arial"/>
                <w:sz w:val="18"/>
                <w:szCs w:val="18"/>
                <w:color w:val="auto"/>
              </w:rPr>
              <w:t>Total</w:t>
            </w:r>
            <w:r>
              <w:rPr>
                <w:rFonts w:ascii="Arial" w:cs="Arial" w:eastAsia="Arial" w:hAnsi="Arial"/>
                <w:sz w:val="25"/>
                <w:szCs w:val="25"/>
                <w:color w:val="auto"/>
                <w:vertAlign w:val="superscript"/>
              </w:rPr>
              <w:t>(2)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366,287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14,616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71,114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452,017</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8" w:lineRule="exact"/>
        <w:rPr>
          <w:sz w:val="20"/>
          <w:szCs w:val="20"/>
          <w:color w:val="auto"/>
        </w:rPr>
      </w:pPr>
    </w:p>
    <w:p>
      <w:pPr>
        <w:ind w:left="420" w:hanging="412"/>
        <w:spacing w:after="0"/>
        <w:tabs>
          <w:tab w:leader="none" w:pos="4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Excludes $158.7 million of commitments on loan participations sold that are not the obligation of the Company.</w:t>
      </w:r>
    </w:p>
    <w:p>
      <w:pPr>
        <w:spacing w:after="0" w:line="13" w:lineRule="exact"/>
        <w:rPr>
          <w:rFonts w:ascii="Arial" w:cs="Arial" w:eastAsia="Arial" w:hAnsi="Arial"/>
          <w:sz w:val="14"/>
          <w:szCs w:val="14"/>
          <w:color w:val="auto"/>
        </w:rPr>
      </w:pPr>
    </w:p>
    <w:p>
      <w:pPr>
        <w:ind w:left="420" w:hanging="412"/>
        <w:spacing w:after="0"/>
        <w:tabs>
          <w:tab w:leader="none" w:pos="4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Company did not have any Discretionary Fundings as of December 31, 2016.</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2" w:right="239" w:bottom="1440" w:gutter="0" w:footer="0" w:header="0"/>
        </w:sectPr>
      </w:pPr>
    </w:p>
    <w:bookmarkStart w:id="88" w:name="page89"/>
    <w:bookmarkEnd w:id="88"/>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firstLine="432"/>
        <w:spacing w:after="0" w:line="282" w:lineRule="auto"/>
        <w:rPr>
          <w:sz w:val="20"/>
          <w:szCs w:val="20"/>
          <w:color w:val="auto"/>
        </w:rPr>
      </w:pPr>
      <w:r>
        <w:rPr>
          <w:rFonts w:ascii="Arial" w:cs="Arial" w:eastAsia="Arial" w:hAnsi="Arial"/>
          <w:sz w:val="18"/>
          <w:szCs w:val="18"/>
          <w:b w:val="1"/>
          <w:bCs w:val="1"/>
          <w:color w:val="auto"/>
        </w:rPr>
        <w:t>Other Commitments</w:t>
      </w:r>
      <w:r>
        <w:rPr>
          <w:rFonts w:ascii="Arial" w:cs="Arial" w:eastAsia="Arial" w:hAnsi="Arial"/>
          <w:sz w:val="18"/>
          <w:szCs w:val="18"/>
          <w:color w:val="auto"/>
        </w:rPr>
        <w:t>—Total operating lease expense for the years ended December 31, 2016, 2015 and 2014 was $5.9 million, $6.0 million and $5.8</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respectively. Future minimum lease obligations under non-cancelable operating leases are as follows ($ in thousands):</w:t>
      </w:r>
    </w:p>
    <w:p>
      <w:pPr>
        <w:spacing w:after="0" w:line="153" w:lineRule="exact"/>
        <w:rPr>
          <w:sz w:val="20"/>
          <w:szCs w:val="20"/>
          <w:color w:val="auto"/>
        </w:rPr>
      </w:pPr>
    </w:p>
    <w:tbl>
      <w:tblPr>
        <w:tblLayout w:type="fixed"/>
        <w:tblInd w:w="3040" w:type="dxa"/>
        <w:tblCellMar>
          <w:top w:w="0" w:type="dxa"/>
          <w:left w:w="0" w:type="dxa"/>
          <w:bottom w:w="0" w:type="dxa"/>
          <w:right w:w="0" w:type="dxa"/>
        </w:tblCellMar>
      </w:tblPr>
      <w:tr>
        <w:trPr>
          <w:trHeight w:val="270"/>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212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5,463</w:t>
            </w:r>
          </w:p>
        </w:tc>
      </w:tr>
      <w:tr>
        <w:trPr>
          <w:trHeight w:val="243"/>
        </w:trPr>
        <w:tc>
          <w:tcPr>
            <w:tcW w:w="2040" w:type="dxa"/>
            <w:vAlign w:val="bottom"/>
          </w:tcPr>
          <w:p>
            <w:pPr>
              <w:ind w:left="20"/>
              <w:spacing w:after="0"/>
              <w:rPr>
                <w:sz w:val="20"/>
                <w:szCs w:val="20"/>
                <w:color w:val="auto"/>
              </w:rPr>
            </w:pPr>
            <w:r>
              <w:rPr>
                <w:rFonts w:ascii="Arial" w:cs="Arial" w:eastAsia="Arial" w:hAnsi="Arial"/>
                <w:sz w:val="18"/>
                <w:szCs w:val="18"/>
                <w:color w:val="auto"/>
              </w:rPr>
              <w:t>2018</w:t>
            </w:r>
          </w:p>
        </w:tc>
        <w:tc>
          <w:tcPr>
            <w:tcW w:w="2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4,552</w:t>
            </w:r>
          </w:p>
        </w:tc>
      </w:tr>
      <w:tr>
        <w:trPr>
          <w:trHeight w:val="27"/>
        </w:trPr>
        <w:tc>
          <w:tcPr>
            <w:tcW w:w="2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2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3,692</w:t>
            </w:r>
          </w:p>
        </w:tc>
      </w:tr>
      <w:tr>
        <w:trPr>
          <w:trHeight w:val="243"/>
        </w:trPr>
        <w:tc>
          <w:tcPr>
            <w:tcW w:w="2040" w:type="dxa"/>
            <w:vAlign w:val="bottom"/>
          </w:tcPr>
          <w:p>
            <w:pPr>
              <w:ind w:left="20"/>
              <w:spacing w:after="0"/>
              <w:rPr>
                <w:sz w:val="20"/>
                <w:szCs w:val="20"/>
                <w:color w:val="auto"/>
              </w:rPr>
            </w:pPr>
            <w:r>
              <w:rPr>
                <w:rFonts w:ascii="Arial" w:cs="Arial" w:eastAsia="Arial" w:hAnsi="Arial"/>
                <w:sz w:val="18"/>
                <w:szCs w:val="18"/>
                <w:color w:val="auto"/>
              </w:rPr>
              <w:t>2020</w:t>
            </w:r>
          </w:p>
        </w:tc>
        <w:tc>
          <w:tcPr>
            <w:tcW w:w="2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3,696</w:t>
            </w:r>
          </w:p>
        </w:tc>
      </w:tr>
      <w:tr>
        <w:trPr>
          <w:trHeight w:val="27"/>
        </w:trPr>
        <w:tc>
          <w:tcPr>
            <w:tcW w:w="2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1,439</w:t>
            </w:r>
          </w:p>
        </w:tc>
      </w:tr>
      <w:tr>
        <w:trPr>
          <w:trHeight w:val="243"/>
        </w:trPr>
        <w:tc>
          <w:tcPr>
            <w:tcW w:w="20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3,752</w:t>
            </w:r>
          </w:p>
        </w:tc>
      </w:tr>
    </w:tbl>
    <w:p>
      <w:pPr>
        <w:spacing w:after="0" w:line="225"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7"/>
          <w:szCs w:val="17"/>
          <w:b w:val="1"/>
          <w:bCs w:val="1"/>
          <w:color w:val="auto"/>
        </w:rPr>
        <w:t>Legal Proceedings</w:t>
      </w:r>
      <w:r>
        <w:rPr>
          <w:rFonts w:ascii="Arial" w:cs="Arial" w:eastAsia="Arial" w:hAnsi="Arial"/>
          <w:sz w:val="17"/>
          <w:szCs w:val="17"/>
          <w:color w:val="auto"/>
        </w:rPr>
        <w:t>—The Company and/or one or more of its subsidiaries is party to various pending litigation matters that are considered ordinary</w:t>
      </w:r>
      <w:r>
        <w:rPr>
          <w:rFonts w:ascii="Arial" w:cs="Arial" w:eastAsia="Arial" w:hAnsi="Arial"/>
          <w:sz w:val="17"/>
          <w:szCs w:val="17"/>
          <w:b w:val="1"/>
          <w:bCs w:val="1"/>
          <w:color w:val="auto"/>
        </w:rPr>
        <w:t xml:space="preserve"> </w:t>
      </w:r>
      <w:r>
        <w:rPr>
          <w:rFonts w:ascii="Arial" w:cs="Arial" w:eastAsia="Arial" w:hAnsi="Arial"/>
          <w:sz w:val="17"/>
          <w:szCs w:val="17"/>
          <w:color w:val="auto"/>
        </w:rPr>
        <w:t>routine litigation incidental to the Company's business as a finance and investment company focused on the commercial real estate industry, including loan foreclosure and foreclosure-related proceedings. In addition to such matters, the Company is a party to the following legal proceedings: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Action</w:t>
      </w:r>
    </w:p>
    <w:p>
      <w:pPr>
        <w:spacing w:after="0" w:line="18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On March 7, 2014, a shareholder action purporting to assert derivative, class and individual claims was filed in the Circuit Court for Baltimore City, Maryland naming the Company, a number of our current and former senior executives (including our chief executive officer) and current and former directors as defendants. The complaint sought unspecified damages and other relief and alleged breach of fiduciary duty, breach of contract and other causes of action arising out of shares of our common stock issued by the Company to our senior executives pursuant to restricted stock unit awards granted in December 2008 and modified in July 2011. On October 30, 2014, the Circuit Court granted the Company’s motion to dismiss all of plaintiffs' claims in this action. Plaintiffs appealed the dismissal of their claims and, on January 28, 2016, the Maryland Court of Special Appeals affirmed the order of the Circuit Court. Plaintiffs filed a petition for certiorari with the Maryland Court of Appeals, which agreed to hear the appeal. On January 20, 2017, the Maryland Court of Appeals (Maryland’s highest court) issued its opinion affirming the dismissal of all of plaintiffs’ claims against the Company and the other defendants.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Home Corporation ("Lennar") v. Settlers Crossing, LLC, et al. (Civil Action No. DKC 08-1863)</w:t>
      </w:r>
    </w:p>
    <w:p>
      <w:pPr>
        <w:spacing w:after="0" w:line="185"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On January 22, 2015, the United States District Court for the District of Maryland (the "Court") entered a judgment in favor of the Company in the matter of Lennar v. Settlers Crossing, LLC, et al. (Civil Action No. DKC 08-1863). The litigation involved a dispute over the purchase and sale of approximately 1,250 acres of land in Prince George’s County, Maryland. The Court found that the Company is entitled to specific performance and awarded damages to it in the aggregate amount of: (i) the remaining purchase price to be paid by Lennar of $114.0 million; plus (ii) interest on the unpaid amount at a rate of 12% per annum, calculated on a per diem basis, from May 27, 2008, until Lennar proceeds to settlement on the land; plus (iii) real estate taxes paid by the Company; plus (iv) actual and reasonable attorneys' fees and costs incurred by the Company in connection with the litigation. Lennar appealed the Court's judgment and has posted an appeal bond. The Court granted Lennar's motion to stay the judgment pending appeal and also clarified the judgment that the unpaid amount will accrue simple interest at a rate of 12% annually, including while the appeal is pending. In the pending appeal before the United States Court of Appeals for the Fourth Circuit, oral argument is scheduled to be held on March 23, 2017. There can be no assurance as to the timing or actual receipt by the Company of amounts awarded by the Court or the outcome of the appeal. A third party purchased a participation interest in the Company's original loan and as of December 31, 2016 holds a 4.3% participation interest in all proceeds.</w:t>
      </w:r>
    </w:p>
    <w:p>
      <w:pPr>
        <w:spacing w:after="0" w:line="17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On a quarterly basis, the Company evaluates developments in legal proceedings that could require a liability to be accrued and/or disclosed. Based on its current knowledge, and after consultation with legal counsel, the Company believes it is not a party to, nor are any of its properties the subject of, any pending legal proceeding that would have a material adverse effect on the Company's consolidated financial statements.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1" w:right="239" w:bottom="1440" w:gutter="0" w:footer="0" w:header="0"/>
        </w:sectPr>
      </w:pPr>
    </w:p>
    <w:bookmarkStart w:id="89" w:name="page90"/>
    <w:bookmarkEnd w:id="89"/>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12—Risk Management and Derivatives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83"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In the normal course of its on-going business operations, the Company encounters economic risk. There are three main components of economic risk: interest rate risk, credit risk and market risk. The Company is subject to interest rate risk to the degree that its interest-bearing liabilities mature or reprice at different points in time and potentially at different bases, than its interest-earning assets. Credit risk is the risk of default on the Company's lending investments or leases that result from a borrower's or tenant's inability or unwillingness to make contractually required payments. Market risk reflects changes in the value of loans and other lending investments due to changes in interest rates or other market factors, including the rate of prepayments of principal and the value of the collateral underlying loans, the valuation of real estate assets by the Company as well as changes in foreign currency exchange rates.</w:t>
      </w:r>
    </w:p>
    <w:p>
      <w:pPr>
        <w:spacing w:after="0" w:line="215"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Risk concentrations</w:t>
      </w:r>
      <w:r>
        <w:rPr>
          <w:rFonts w:ascii="Arial" w:cs="Arial" w:eastAsia="Arial" w:hAnsi="Arial"/>
          <w:sz w:val="18"/>
          <w:szCs w:val="18"/>
          <w:color w:val="auto"/>
        </w:rPr>
        <w:t>—Concentrations of credit risks arise when a number of borrowers or tenants related to the Company's investments are engaged in</w:t>
      </w:r>
      <w:r>
        <w:rPr>
          <w:rFonts w:ascii="Arial" w:cs="Arial" w:eastAsia="Arial" w:hAnsi="Arial"/>
          <w:sz w:val="18"/>
          <w:szCs w:val="18"/>
          <w:b w:val="1"/>
          <w:bCs w:val="1"/>
          <w:color w:val="auto"/>
        </w:rPr>
        <w:t xml:space="preserve"> </w:t>
      </w:r>
      <w:r>
        <w:rPr>
          <w:rFonts w:ascii="Arial" w:cs="Arial" w:eastAsia="Arial" w:hAnsi="Arial"/>
          <w:sz w:val="18"/>
          <w:szCs w:val="18"/>
          <w:color w:val="auto"/>
        </w:rPr>
        <w:t>similar business activities, or activities in the same geographic region, or have similar economic features that would cause their ability to meet contractual obligations, including those to the Company, to be similarly affected by changes in economic conditions.</w:t>
      </w:r>
    </w:p>
    <w:p>
      <w:pPr>
        <w:spacing w:after="0" w:line="23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Substantially all of the Company's real estate as well as assets collateralizing its loans receivable are located in the United States. As of December 31, 2016, the only states with a concentration greater than 10.0% were New York with 19.0% and California with 13.0%. As of December 31, 2016, the Company's portfolio contains concentrations in the following asset types: land 22.4%, office/industrial 22.9%, hotel 12.5%, entertainment/leisure 10.6%, condominium 10.0% and mixed use/mixed collateral 10.0%.</w:t>
      </w:r>
    </w:p>
    <w:p>
      <w:pPr>
        <w:spacing w:after="0" w:line="24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underwrites the credit of prospective borrowers and tenants and often requires them to provide some form of credit support such as corporate guarantees, letters of credit and/or cash security deposits. Although the Company's loans and real estate assets are geographically diverse and the borrowers and tenants operate in a variety of industries, to the extent the Company has a significant concentration of interest or operating lease revenues from any single borrower or tenant, the inability of that borrower or tenant to make its payment could have a material adverse effect on the Company. As of December 31, 2016, the Company's five largest borrowers or tenants collectively accounted for approximately 18.4% of the Company's 2016 revenues, of which no single customer accounts for more than 5.9%.</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Company's use of derivative financial instruments is primarily limited to the utilization of interest rate swaps, interest rate caps and foreign exchange contracts. The principal objective of such financial instruments is to minimize the risks and/or costs associated with the Company's operating and financial structure and to manage its exposure to interest rates and foreign exchange rates. Derivatives not designated as hedges are not speculative and are used to manage the Company's exposure to interest rate movements, foreign exchange rate movements, and other identified risks, but may not meet the strict hedge accounting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1" w:right="239" w:bottom="1440" w:gutter="0" w:footer="0" w:header="0"/>
        </w:sectPr>
      </w:pPr>
    </w:p>
    <w:bookmarkStart w:id="90" w:name="page91"/>
    <w:bookmarkEnd w:id="90"/>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table below presents the fair value of the Company's derivative financial instruments as well as their classification on the consolidated balance sheets as of December 31, 2016 and 2015 ($ in thousands):</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940" w:type="dxa"/>
            <w:vAlign w:val="bottom"/>
          </w:tcPr>
          <w:p>
            <w:pPr>
              <w:spacing w:after="0"/>
              <w:rPr>
                <w:sz w:val="16"/>
                <w:szCs w:val="16"/>
                <w:color w:val="auto"/>
              </w:rPr>
            </w:pPr>
          </w:p>
        </w:tc>
        <w:tc>
          <w:tcPr>
            <w:tcW w:w="3580" w:type="dxa"/>
            <w:vAlign w:val="bottom"/>
            <w:tcBorders>
              <w:bottom w:val="single" w:sz="8" w:color="auto"/>
            </w:tcBorders>
            <w:gridSpan w:val="6"/>
          </w:tcPr>
          <w:p>
            <w:pPr>
              <w:ind w:left="1200"/>
              <w:spacing w:after="0"/>
              <w:rPr>
                <w:sz w:val="20"/>
                <w:szCs w:val="20"/>
                <w:color w:val="auto"/>
              </w:rPr>
            </w:pPr>
            <w:r>
              <w:rPr>
                <w:rFonts w:ascii="Arial" w:cs="Arial" w:eastAsia="Arial" w:hAnsi="Arial"/>
                <w:sz w:val="14"/>
                <w:szCs w:val="14"/>
                <w:b w:val="1"/>
                <w:bCs w:val="1"/>
                <w:color w:val="auto"/>
                <w:w w:val="95"/>
              </w:rPr>
              <w:t>Derivative Assets as of December 31,</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70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4"/>
                <w:szCs w:val="14"/>
                <w:b w:val="1"/>
                <w:bCs w:val="1"/>
                <w:color w:val="auto"/>
              </w:rPr>
              <w:t>Derivative Liabilities as of December 31,</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264"/>
        </w:trPr>
        <w:tc>
          <w:tcPr>
            <w:tcW w:w="1940" w:type="dxa"/>
            <w:vAlign w:val="bottom"/>
          </w:tcPr>
          <w:p>
            <w:pPr>
              <w:spacing w:after="0"/>
              <w:rPr>
                <w:sz w:val="22"/>
                <w:szCs w:val="22"/>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152"/>
        </w:trPr>
        <w:tc>
          <w:tcPr>
            <w:tcW w:w="1940" w:type="dxa"/>
            <w:vAlign w:val="bottom"/>
          </w:tcPr>
          <w:p>
            <w:pPr>
              <w:spacing w:after="0"/>
              <w:rPr>
                <w:sz w:val="13"/>
                <w:szCs w:val="13"/>
                <w:color w:val="auto"/>
              </w:rPr>
            </w:pPr>
          </w:p>
        </w:tc>
        <w:tc>
          <w:tcPr>
            <w:tcW w:w="1380" w:type="dxa"/>
            <w:vAlign w:val="bottom"/>
            <w:tcBorders>
              <w:top w:val="single" w:sz="8" w:color="auto"/>
            </w:tcBorders>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Balance Sheet</w:t>
            </w: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54"/>
              <w:spacing w:after="0" w:line="15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14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89"/>
              </w:rPr>
              <w:t>Balance Sheet</w:t>
            </w: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34"/>
              <w:spacing w:after="0" w:line="15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40" w:type="dxa"/>
            <w:vAlign w:val="bottom"/>
            <w:tcBorders>
              <w:top w:val="single" w:sz="8" w:color="auto"/>
            </w:tcBorders>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Balance Sheet</w:t>
            </w: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34"/>
              <w:spacing w:after="0" w:line="15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40" w:type="dxa"/>
            <w:vAlign w:val="bottom"/>
            <w:tcBorders>
              <w:top w:val="single" w:sz="8" w:color="auto"/>
            </w:tcBorders>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Balance Sheet</w:t>
            </w: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54"/>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194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Location</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Value</w:t>
            </w:r>
          </w:p>
        </w:tc>
      </w:tr>
      <w:tr>
        <w:trPr>
          <w:trHeight w:val="270"/>
        </w:trPr>
        <w:tc>
          <w:tcPr>
            <w:tcW w:w="332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Designated in Hedging Relationships</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29"/>
        </w:trPr>
        <w:tc>
          <w:tcPr>
            <w:tcW w:w="1940" w:type="dxa"/>
            <w:vAlign w:val="bottom"/>
          </w:tcPr>
          <w:p>
            <w:pPr>
              <w:ind w:left="20"/>
              <w:spacing w:after="0"/>
              <w:rPr>
                <w:sz w:val="20"/>
                <w:szCs w:val="20"/>
                <w:color w:val="auto"/>
              </w:rPr>
            </w:pPr>
            <w:r>
              <w:rPr>
                <w:rFonts w:ascii="Arial" w:cs="Arial" w:eastAsia="Arial" w:hAnsi="Arial"/>
                <w:sz w:val="18"/>
                <w:szCs w:val="18"/>
                <w:color w:val="auto"/>
              </w:rPr>
              <w:t>Foreign exchange</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1940" w:type="dxa"/>
            <w:vAlign w:val="bottom"/>
          </w:tcPr>
          <w:p>
            <w:pPr>
              <w:ind w:left="20"/>
              <w:spacing w:after="0"/>
              <w:rPr>
                <w:sz w:val="20"/>
                <w:szCs w:val="20"/>
                <w:color w:val="auto"/>
              </w:rPr>
            </w:pPr>
            <w:r>
              <w:rPr>
                <w:rFonts w:ascii="Arial" w:cs="Arial" w:eastAsia="Arial" w:hAnsi="Arial"/>
                <w:sz w:val="18"/>
                <w:szCs w:val="18"/>
                <w:color w:val="auto"/>
              </w:rPr>
              <w:t>contracts</w:t>
            </w: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Other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Other Assets</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Other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7"/>
        </w:trPr>
        <w:tc>
          <w:tcPr>
            <w:tcW w:w="1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N/A</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131</w:t>
            </w:r>
          </w:p>
        </w:tc>
      </w:tr>
      <w:tr>
        <w:trPr>
          <w:trHeight w:val="297"/>
        </w:trPr>
        <w:tc>
          <w:tcPr>
            <w:tcW w:w="19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gridSpan w:val="2"/>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131</w:t>
            </w:r>
          </w:p>
        </w:tc>
      </w:tr>
      <w:tr>
        <w:trPr>
          <w:trHeight w:val="257"/>
        </w:trPr>
        <w:tc>
          <w:tcPr>
            <w:tcW w:w="332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w w:val="93"/>
              </w:rPr>
              <w:t>Derivatives not Designated in Hedging Relationships</w:t>
            </w:r>
          </w:p>
        </w:tc>
        <w:tc>
          <w:tcPr>
            <w:tcW w:w="2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r>
      <w:tr>
        <w:trPr>
          <w:trHeight w:val="229"/>
        </w:trPr>
        <w:tc>
          <w:tcPr>
            <w:tcW w:w="1940" w:type="dxa"/>
            <w:vAlign w:val="bottom"/>
          </w:tcPr>
          <w:p>
            <w:pPr>
              <w:ind w:left="20"/>
              <w:spacing w:after="0"/>
              <w:rPr>
                <w:sz w:val="20"/>
                <w:szCs w:val="20"/>
                <w:color w:val="auto"/>
              </w:rPr>
            </w:pPr>
            <w:r>
              <w:rPr>
                <w:rFonts w:ascii="Arial" w:cs="Arial" w:eastAsia="Arial" w:hAnsi="Arial"/>
                <w:sz w:val="18"/>
                <w:szCs w:val="18"/>
                <w:color w:val="auto"/>
              </w:rPr>
              <w:t>Foreign exchange</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1940" w:type="dxa"/>
            <w:vAlign w:val="bottom"/>
          </w:tcPr>
          <w:p>
            <w:pPr>
              <w:ind w:left="20"/>
              <w:spacing w:after="0"/>
              <w:rPr>
                <w:sz w:val="20"/>
                <w:szCs w:val="20"/>
                <w:color w:val="auto"/>
              </w:rPr>
            </w:pPr>
            <w:r>
              <w:rPr>
                <w:rFonts w:ascii="Arial" w:cs="Arial" w:eastAsia="Arial" w:hAnsi="Arial"/>
                <w:sz w:val="18"/>
                <w:szCs w:val="18"/>
                <w:color w:val="auto"/>
              </w:rPr>
              <w:t>contracts</w:t>
            </w: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Other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Other Assets</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7"/>
        </w:trPr>
        <w:tc>
          <w:tcPr>
            <w:tcW w:w="1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cap</w:t>
            </w: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Other Assets</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1,105</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N/A</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N/A</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57"/>
        </w:trPr>
        <w:tc>
          <w:tcPr>
            <w:tcW w:w="1940" w:type="dxa"/>
            <w:vAlign w:val="bottom"/>
          </w:tcPr>
          <w:p>
            <w:pPr>
              <w:ind w:left="160"/>
              <w:spacing w:after="0"/>
              <w:rPr>
                <w:sz w:val="20"/>
                <w:szCs w:val="20"/>
                <w:color w:val="auto"/>
              </w:rPr>
            </w:pPr>
            <w:r>
              <w:rPr>
                <w:rFonts w:ascii="Arial" w:cs="Arial" w:eastAsia="Arial" w:hAnsi="Arial"/>
                <w:sz w:val="18"/>
                <w:szCs w:val="18"/>
                <w:color w:val="auto"/>
              </w:rPr>
              <w:t>Total</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0" w:type="dxa"/>
            <w:vAlign w:val="bottom"/>
            <w:gridSpan w:val="2"/>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1,483</w:t>
            </w: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r>
      <w:tr>
        <w:trPr>
          <w:trHeight w:val="20"/>
        </w:trPr>
        <w:tc>
          <w:tcPr>
            <w:tcW w:w="1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622"/>
        </w:trPr>
        <w:tc>
          <w:tcPr>
            <w:tcW w:w="1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gridSpan w:val="3"/>
          </w:tcPr>
          <w:p>
            <w:pPr>
              <w:jc w:val="right"/>
              <w:ind w:right="70"/>
              <w:spacing w:after="0"/>
              <w:rPr>
                <w:sz w:val="20"/>
                <w:szCs w:val="20"/>
                <w:color w:val="auto"/>
              </w:rPr>
            </w:pPr>
            <w:r>
              <w:rPr>
                <w:rFonts w:ascii="Arial" w:cs="Arial" w:eastAsia="Arial" w:hAnsi="Arial"/>
                <w:sz w:val="18"/>
                <w:szCs w:val="18"/>
                <w:color w:val="auto"/>
              </w:rPr>
              <w:t>87</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1" w:name="page92"/>
    <w:bookmarkEnd w:id="91"/>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tables below present the effect of the Company's derivative financial instruments in the consolidated statements of operations and the consolidated statements of comprehensive income (loss) for the years ended December 31, 2016, 2015 and 2014 ($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Amount of Gain (Loss)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Amount of Gain (Loss)</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92"/>
              </w:rPr>
              <w:t>Amount of Gain (Loss)</w:t>
            </w:r>
          </w:p>
        </w:tc>
        <w:tc>
          <w:tcPr>
            <w:tcW w:w="18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5"/>
            <w:vMerge w:val="continue"/>
          </w:tcPr>
          <w:p>
            <w:pPr>
              <w:spacing w:after="0"/>
              <w:rPr>
                <w:sz w:val="12"/>
                <w:szCs w:val="12"/>
                <w:color w:val="auto"/>
              </w:rPr>
            </w:pPr>
          </w:p>
        </w:tc>
        <w:tc>
          <w:tcPr>
            <w:tcW w:w="1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234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Location of Gain (Loss)</w:t>
            </w:r>
          </w:p>
        </w:tc>
        <w:tc>
          <w:tcPr>
            <w:tcW w:w="100" w:type="dxa"/>
            <w:vAlign w:val="bottom"/>
          </w:tcPr>
          <w:p>
            <w:pPr>
              <w:spacing w:after="0"/>
              <w:rPr>
                <w:sz w:val="12"/>
                <w:szCs w:val="12"/>
                <w:color w:val="auto"/>
              </w:rPr>
            </w:pPr>
          </w:p>
        </w:tc>
        <w:tc>
          <w:tcPr>
            <w:tcW w:w="194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Recognized in Accumulated</w:t>
            </w:r>
          </w:p>
        </w:tc>
        <w:tc>
          <w:tcPr>
            <w:tcW w:w="1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Accumulated 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 Income into</w:t>
            </w:r>
          </w:p>
        </w:tc>
        <w:tc>
          <w:tcPr>
            <w:tcW w:w="0" w:type="dxa"/>
            <w:vAlign w:val="bottom"/>
          </w:tcPr>
          <w:p>
            <w:pPr>
              <w:spacing w:after="0"/>
              <w:rPr>
                <w:sz w:val="1"/>
                <w:szCs w:val="1"/>
                <w:color w:val="auto"/>
              </w:rPr>
            </w:pPr>
          </w:p>
        </w:tc>
      </w:tr>
      <w:tr>
        <w:trPr>
          <w:trHeight w:val="149"/>
        </w:trPr>
        <w:tc>
          <w:tcPr>
            <w:tcW w:w="33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9"/>
              </w:rPr>
              <w:t>Derivatives Designated in Hedging Relationships</w:t>
            </w:r>
          </w:p>
        </w:tc>
        <w:tc>
          <w:tcPr>
            <w:tcW w:w="23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Other Comprehensive</w:t>
            </w:r>
          </w:p>
        </w:tc>
        <w:tc>
          <w:tcPr>
            <w:tcW w:w="1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Comprehensive Income into</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451"/>
              <w:spacing w:after="0" w:line="149" w:lineRule="exact"/>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192"/>
        </w:trPr>
        <w:tc>
          <w:tcPr>
            <w:tcW w:w="3300" w:type="dxa"/>
            <w:vAlign w:val="bottom"/>
            <w:vMerge w:val="continue"/>
          </w:tcPr>
          <w:p>
            <w:pPr>
              <w:spacing w:after="0"/>
              <w:rPr>
                <w:sz w:val="16"/>
                <w:szCs w:val="16"/>
                <w:color w:val="auto"/>
              </w:rPr>
            </w:pPr>
          </w:p>
        </w:tc>
        <w:tc>
          <w:tcPr>
            <w:tcW w:w="2340" w:type="dxa"/>
            <w:vAlign w:val="bottom"/>
            <w:gridSpan w:val="3"/>
          </w:tcPr>
          <w:p>
            <w:pPr>
              <w:ind w:left="500"/>
              <w:spacing w:after="0"/>
              <w:rPr>
                <w:sz w:val="20"/>
                <w:szCs w:val="20"/>
                <w:color w:val="auto"/>
              </w:rPr>
            </w:pPr>
            <w:r>
              <w:rPr>
                <w:rFonts w:ascii="Arial" w:cs="Arial" w:eastAsia="Arial" w:hAnsi="Arial"/>
                <w:sz w:val="14"/>
                <w:szCs w:val="14"/>
                <w:b w:val="1"/>
                <w:bCs w:val="1"/>
                <w:color w:val="auto"/>
              </w:rPr>
              <w:t>Recognized in Income</w:t>
            </w:r>
          </w:p>
        </w:tc>
        <w:tc>
          <w:tcPr>
            <w:tcW w:w="100" w:type="dxa"/>
            <w:vAlign w:val="bottom"/>
          </w:tcPr>
          <w:p>
            <w:pPr>
              <w:spacing w:after="0"/>
              <w:rPr>
                <w:sz w:val="16"/>
                <w:szCs w:val="16"/>
                <w:color w:val="auto"/>
              </w:rPr>
            </w:pPr>
          </w:p>
        </w:tc>
        <w:tc>
          <w:tcPr>
            <w:tcW w:w="19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4"/>
              </w:rPr>
              <w:t>Income (Effective Portion)</w:t>
            </w:r>
          </w:p>
        </w:tc>
        <w:tc>
          <w:tcPr>
            <w:tcW w:w="1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Earnings (Effective Portion)</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(Ineffective Portion)</w:t>
            </w:r>
          </w:p>
        </w:tc>
        <w:tc>
          <w:tcPr>
            <w:tcW w:w="0" w:type="dxa"/>
            <w:vAlign w:val="bottom"/>
          </w:tcPr>
          <w:p>
            <w:pPr>
              <w:spacing w:after="0"/>
              <w:rPr>
                <w:sz w:val="1"/>
                <w:szCs w:val="1"/>
                <w:color w:val="auto"/>
              </w:rPr>
            </w:pPr>
          </w:p>
        </w:tc>
      </w:tr>
      <w:tr>
        <w:trPr>
          <w:trHeight w:val="250"/>
        </w:trPr>
        <w:tc>
          <w:tcPr>
            <w:tcW w:w="33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7"/>
              </w:rPr>
              <w:t>For the Year Ended December 31, 2016</w:t>
            </w:r>
          </w:p>
        </w:tc>
        <w:tc>
          <w:tcPr>
            <w:tcW w:w="2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Interest rate cap</w:t>
            </w:r>
          </w:p>
        </w:tc>
        <w:tc>
          <w:tcPr>
            <w:tcW w:w="2340" w:type="dxa"/>
            <w:vAlign w:val="bottom"/>
            <w:gridSpan w:val="3"/>
          </w:tcPr>
          <w:p>
            <w:pPr>
              <w:ind w:left="60"/>
              <w:spacing w:after="0"/>
              <w:rPr>
                <w:sz w:val="20"/>
                <w:szCs w:val="20"/>
                <w:color w:val="auto"/>
              </w:rPr>
            </w:pPr>
            <w:r>
              <w:rPr>
                <w:rFonts w:ascii="Arial" w:cs="Arial" w:eastAsia="Arial" w:hAnsi="Arial"/>
                <w:sz w:val="18"/>
                <w:szCs w:val="18"/>
                <w:color w:val="auto"/>
              </w:rPr>
              <w:t>Interest Expense</w:t>
            </w:r>
          </w:p>
        </w:tc>
        <w:tc>
          <w:tcPr>
            <w:tcW w:w="1480" w:type="dxa"/>
            <w:vAlign w:val="bottom"/>
            <w:gridSpan w:val="2"/>
          </w:tcPr>
          <w:p>
            <w:pPr>
              <w:jc w:val="right"/>
              <w:ind w:right="1188"/>
              <w:spacing w:after="0"/>
              <w:rPr>
                <w:sz w:val="20"/>
                <w:szCs w:val="20"/>
                <w:color w:val="auto"/>
              </w:rPr>
            </w:pPr>
            <w:r>
              <w:rPr>
                <w:rFonts w:ascii="Arial" w:cs="Arial" w:eastAsia="Arial" w:hAnsi="Arial"/>
                <w:sz w:val="18"/>
                <w:szCs w:val="18"/>
                <w:color w:val="auto"/>
              </w:rPr>
              <w:t>$</w:t>
            </w:r>
          </w:p>
        </w:tc>
        <w:tc>
          <w:tcPr>
            <w:tcW w:w="5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823"/>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00" w:type="dxa"/>
            <w:vAlign w:val="bottom"/>
            <w:shd w:val="clear" w:color="auto" w:fill="CCEEFF"/>
          </w:tcPr>
          <w:p>
            <w:pPr>
              <w:spacing w:after="0"/>
              <w:rPr>
                <w:sz w:val="19"/>
                <w:szCs w:val="19"/>
                <w:color w:val="auto"/>
              </w:rPr>
            </w:pPr>
          </w:p>
        </w:tc>
        <w:tc>
          <w:tcPr>
            <w:tcW w:w="23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Earnings from equity</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cap</w:t>
            </w:r>
          </w:p>
        </w:tc>
        <w:tc>
          <w:tcPr>
            <w:tcW w:w="234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investments</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2340" w:type="dxa"/>
            <w:vAlign w:val="bottom"/>
            <w:gridSpan w:val="3"/>
          </w:tcPr>
          <w:p>
            <w:pPr>
              <w:ind w:left="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w w:val="90"/>
              </w:rPr>
              <w:t>(175)</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00" w:type="dxa"/>
            <w:vAlign w:val="bottom"/>
            <w:shd w:val="clear" w:color="auto" w:fill="CCEEFF"/>
          </w:tcPr>
          <w:p>
            <w:pPr>
              <w:spacing w:after="0"/>
              <w:rPr>
                <w:sz w:val="19"/>
                <w:szCs w:val="19"/>
                <w:color w:val="auto"/>
              </w:rPr>
            </w:pPr>
          </w:p>
        </w:tc>
        <w:tc>
          <w:tcPr>
            <w:tcW w:w="23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Earnings from equity</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234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investments</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3300" w:type="dxa"/>
            <w:vAlign w:val="bottom"/>
          </w:tcPr>
          <w:p>
            <w:pPr>
              <w:spacing w:after="0"/>
              <w:rPr>
                <w:sz w:val="19"/>
                <w:szCs w:val="19"/>
                <w:color w:val="auto"/>
              </w:rPr>
            </w:pPr>
          </w:p>
        </w:tc>
        <w:tc>
          <w:tcPr>
            <w:tcW w:w="2340" w:type="dxa"/>
            <w:vAlign w:val="bottom"/>
            <w:gridSpan w:val="3"/>
          </w:tcPr>
          <w:p>
            <w:pPr>
              <w:ind w:left="60"/>
              <w:spacing w:after="0"/>
              <w:rPr>
                <w:sz w:val="20"/>
                <w:szCs w:val="20"/>
                <w:color w:val="auto"/>
              </w:rPr>
            </w:pPr>
            <w:r>
              <w:rPr>
                <w:rFonts w:ascii="Arial" w:cs="Arial" w:eastAsia="Arial" w:hAnsi="Arial"/>
                <w:sz w:val="18"/>
                <w:szCs w:val="18"/>
                <w:color w:val="auto"/>
              </w:rPr>
              <w:t>Earnings from equity</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2340" w:type="dxa"/>
            <w:vAlign w:val="bottom"/>
            <w:gridSpan w:val="3"/>
          </w:tcPr>
          <w:p>
            <w:pPr>
              <w:ind w:left="60"/>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w w:val="90"/>
              </w:rPr>
              <w:t>(167)</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7"/>
              </w:rPr>
              <w:t>For the Year Ended December 31, 2015</w:t>
            </w:r>
          </w:p>
        </w:tc>
        <w:tc>
          <w:tcPr>
            <w:tcW w:w="2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Interest rate cap</w:t>
            </w:r>
          </w:p>
        </w:tc>
        <w:tc>
          <w:tcPr>
            <w:tcW w:w="2340" w:type="dxa"/>
            <w:vAlign w:val="bottom"/>
            <w:gridSpan w:val="3"/>
          </w:tcPr>
          <w:p>
            <w:pPr>
              <w:ind w:left="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cap</w:t>
            </w:r>
          </w:p>
        </w:tc>
        <w:tc>
          <w:tcPr>
            <w:tcW w:w="23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Earnings from equity</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3300" w:type="dxa"/>
            <w:vAlign w:val="bottom"/>
            <w:tcBorders>
              <w:bottom w:val="single" w:sz="8" w:color="CCEEFF"/>
            </w:tcBorders>
            <w:shd w:val="clear" w:color="auto" w:fill="CCEEFF"/>
          </w:tcPr>
          <w:p>
            <w:pPr>
              <w:spacing w:after="0"/>
              <w:rPr>
                <w:sz w:val="20"/>
                <w:szCs w:val="20"/>
                <w:color w:val="auto"/>
              </w:rPr>
            </w:pPr>
          </w:p>
        </w:tc>
        <w:tc>
          <w:tcPr>
            <w:tcW w:w="234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investments</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2340" w:type="dxa"/>
            <w:vAlign w:val="bottom"/>
            <w:gridSpan w:val="3"/>
          </w:tcPr>
          <w:p>
            <w:pPr>
              <w:ind w:left="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w w:val="90"/>
              </w:rPr>
              <w:t>(537)</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23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98"/>
              </w:rPr>
              <w:t>Earnings from equity method</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(528)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3300" w:type="dxa"/>
            <w:vAlign w:val="bottom"/>
            <w:tcBorders>
              <w:bottom w:val="single" w:sz="8" w:color="CCEEFF"/>
            </w:tcBorders>
            <w:shd w:val="clear" w:color="auto" w:fill="CCEEFF"/>
          </w:tcPr>
          <w:p>
            <w:pPr>
              <w:spacing w:after="0"/>
              <w:rPr>
                <w:sz w:val="20"/>
                <w:szCs w:val="20"/>
                <w:color w:val="auto"/>
              </w:rPr>
            </w:pPr>
          </w:p>
        </w:tc>
        <w:tc>
          <w:tcPr>
            <w:tcW w:w="234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investments</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0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2340" w:type="dxa"/>
            <w:vAlign w:val="bottom"/>
            <w:gridSpan w:val="3"/>
          </w:tcPr>
          <w:p>
            <w:pPr>
              <w:ind w:left="60"/>
              <w:spacing w:after="0"/>
              <w:rPr>
                <w:sz w:val="20"/>
                <w:szCs w:val="20"/>
                <w:color w:val="auto"/>
              </w:rPr>
            </w:pPr>
            <w:r>
              <w:rPr>
                <w:rFonts w:ascii="Arial" w:cs="Arial" w:eastAsia="Arial" w:hAnsi="Arial"/>
                <w:sz w:val="18"/>
                <w:szCs w:val="18"/>
                <w:color w:val="auto"/>
                <w:w w:val="98"/>
              </w:rPr>
              <w:t>Earnings from equity method</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w w:val="90"/>
              </w:rPr>
              <w:t>(124)</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p>
        </w:tc>
        <w:tc>
          <w:tcPr>
            <w:tcW w:w="2340" w:type="dxa"/>
            <w:vAlign w:val="bottom"/>
            <w:gridSpan w:val="3"/>
          </w:tcPr>
          <w:p>
            <w:pPr>
              <w:ind w:left="60"/>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7"/>
              </w:rPr>
              <w:t>For the Year Ended December 31, 2014</w:t>
            </w:r>
          </w:p>
        </w:tc>
        <w:tc>
          <w:tcPr>
            <w:tcW w:w="2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Interest rate cap</w:t>
            </w:r>
          </w:p>
        </w:tc>
        <w:tc>
          <w:tcPr>
            <w:tcW w:w="2340" w:type="dxa"/>
            <w:vAlign w:val="bottom"/>
            <w:gridSpan w:val="3"/>
          </w:tcPr>
          <w:p>
            <w:pPr>
              <w:ind w:left="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cap</w:t>
            </w:r>
          </w:p>
        </w:tc>
        <w:tc>
          <w:tcPr>
            <w:tcW w:w="234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Other Expense</w:t>
            </w:r>
          </w:p>
        </w:tc>
        <w:tc>
          <w:tcPr>
            <w:tcW w:w="1940" w:type="dxa"/>
            <w:vAlign w:val="bottom"/>
            <w:tcBorders>
              <w:bottom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(2,984)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(3,634)</w:t>
            </w:r>
          </w:p>
        </w:tc>
        <w:tc>
          <w:tcPr>
            <w:tcW w:w="0" w:type="dxa"/>
            <w:vAlign w:val="bottom"/>
          </w:tcPr>
          <w:p>
            <w:pPr>
              <w:spacing w:after="0"/>
              <w:rPr>
                <w:sz w:val="1"/>
                <w:szCs w:val="1"/>
                <w:color w:val="auto"/>
              </w:rPr>
            </w:pPr>
          </w:p>
        </w:tc>
      </w:tr>
      <w:tr>
        <w:trPr>
          <w:trHeight w:val="229"/>
        </w:trPr>
        <w:tc>
          <w:tcPr>
            <w:tcW w:w="3300" w:type="dxa"/>
            <w:vAlign w:val="bottom"/>
          </w:tcPr>
          <w:p>
            <w:pPr>
              <w:ind w:left="40"/>
              <w:spacing w:after="0"/>
              <w:rPr>
                <w:sz w:val="20"/>
                <w:szCs w:val="20"/>
                <w:color w:val="auto"/>
              </w:rPr>
            </w:pPr>
            <w:r>
              <w:rPr>
                <w:rFonts w:ascii="Arial" w:cs="Arial" w:eastAsia="Arial" w:hAnsi="Arial"/>
                <w:sz w:val="18"/>
                <w:szCs w:val="18"/>
                <w:color w:val="auto"/>
              </w:rPr>
              <w:t>Interest rate cap</w:t>
            </w:r>
          </w:p>
        </w:tc>
        <w:tc>
          <w:tcPr>
            <w:tcW w:w="2340" w:type="dxa"/>
            <w:vAlign w:val="bottom"/>
            <w:gridSpan w:val="3"/>
          </w:tcPr>
          <w:p>
            <w:pPr>
              <w:ind w:left="60"/>
              <w:spacing w:after="0"/>
              <w:rPr>
                <w:sz w:val="20"/>
                <w:szCs w:val="20"/>
                <w:color w:val="auto"/>
              </w:rPr>
            </w:pPr>
            <w:r>
              <w:rPr>
                <w:rFonts w:ascii="Arial" w:cs="Arial" w:eastAsia="Arial" w:hAnsi="Arial"/>
                <w:sz w:val="18"/>
                <w:szCs w:val="18"/>
                <w:color w:val="auto"/>
                <w:w w:val="98"/>
              </w:rPr>
              <w:t>Earnings from equity method</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p>
        </w:tc>
        <w:tc>
          <w:tcPr>
            <w:tcW w:w="2340" w:type="dxa"/>
            <w:vAlign w:val="bottom"/>
            <w:gridSpan w:val="3"/>
          </w:tcPr>
          <w:p>
            <w:pPr>
              <w:ind w:left="60"/>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234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(970)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3300" w:type="dxa"/>
            <w:vAlign w:val="bottom"/>
          </w:tcPr>
          <w:p>
            <w:pPr>
              <w:spacing w:after="0"/>
              <w:rPr>
                <w:sz w:val="19"/>
                <w:szCs w:val="19"/>
                <w:color w:val="auto"/>
              </w:rPr>
            </w:pPr>
          </w:p>
        </w:tc>
        <w:tc>
          <w:tcPr>
            <w:tcW w:w="2340" w:type="dxa"/>
            <w:vAlign w:val="bottom"/>
            <w:gridSpan w:val="3"/>
          </w:tcPr>
          <w:p>
            <w:pPr>
              <w:ind w:left="60"/>
              <w:spacing w:after="0"/>
              <w:rPr>
                <w:sz w:val="20"/>
                <w:szCs w:val="20"/>
                <w:color w:val="auto"/>
              </w:rPr>
            </w:pPr>
            <w:r>
              <w:rPr>
                <w:rFonts w:ascii="Arial" w:cs="Arial" w:eastAsia="Arial" w:hAnsi="Arial"/>
                <w:sz w:val="18"/>
                <w:szCs w:val="18"/>
                <w:color w:val="auto"/>
                <w:w w:val="98"/>
              </w:rPr>
              <w:t>Earnings from equity method</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40"/>
              <w:spacing w:after="0"/>
              <w:rPr>
                <w:sz w:val="20"/>
                <w:szCs w:val="20"/>
                <w:color w:val="auto"/>
              </w:rPr>
            </w:pPr>
            <w:r>
              <w:rPr>
                <w:rFonts w:ascii="Arial" w:cs="Arial" w:eastAsia="Arial" w:hAnsi="Arial"/>
                <w:sz w:val="18"/>
                <w:szCs w:val="18"/>
                <w:color w:val="auto"/>
              </w:rPr>
              <w:t>Interest rate swap</w:t>
            </w:r>
          </w:p>
        </w:tc>
        <w:tc>
          <w:tcPr>
            <w:tcW w:w="2340" w:type="dxa"/>
            <w:vAlign w:val="bottom"/>
            <w:gridSpan w:val="3"/>
          </w:tcPr>
          <w:p>
            <w:pPr>
              <w:ind w:left="60"/>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w w:val="90"/>
              </w:rPr>
              <w:t>(753)</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00" w:type="dxa"/>
            <w:vAlign w:val="bottom"/>
            <w:shd w:val="clear" w:color="auto" w:fill="CCEEFF"/>
          </w:tcPr>
          <w:p>
            <w:pPr>
              <w:spacing w:after="0"/>
              <w:rPr>
                <w:sz w:val="19"/>
                <w:szCs w:val="19"/>
                <w:color w:val="auto"/>
              </w:rPr>
            </w:pPr>
          </w:p>
        </w:tc>
        <w:tc>
          <w:tcPr>
            <w:tcW w:w="23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98"/>
              </w:rPr>
              <w:t>Earnings from equity method</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234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investments</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(471)</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569"/>
        </w:trPr>
        <w:tc>
          <w:tcPr>
            <w:tcW w:w="3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9"/>
          </w:tcPr>
          <w:p>
            <w:pPr>
              <w:jc w:val="center"/>
              <w:ind w:right="131"/>
              <w:spacing w:after="0"/>
              <w:rPr>
                <w:sz w:val="20"/>
                <w:szCs w:val="20"/>
                <w:color w:val="auto"/>
              </w:rPr>
            </w:pPr>
            <w:r>
              <w:rPr>
                <w:rFonts w:ascii="Arial" w:cs="Arial" w:eastAsia="Arial" w:hAnsi="Arial"/>
                <w:sz w:val="14"/>
                <w:szCs w:val="14"/>
                <w:b w:val="1"/>
                <w:bCs w:val="1"/>
                <w:color w:val="auto"/>
                <w:w w:val="92"/>
              </w:rPr>
              <w:t>Amount of Gain or (Loss) Recognized in Income</w:t>
            </w:r>
          </w:p>
        </w:tc>
        <w:tc>
          <w:tcPr>
            <w:tcW w:w="0" w:type="dxa"/>
            <w:vAlign w:val="bottom"/>
          </w:tcPr>
          <w:p>
            <w:pPr>
              <w:spacing w:after="0"/>
              <w:rPr>
                <w:sz w:val="1"/>
                <w:szCs w:val="1"/>
                <w:color w:val="auto"/>
              </w:rPr>
            </w:pPr>
          </w:p>
        </w:tc>
      </w:tr>
      <w:tr>
        <w:trPr>
          <w:trHeight w:val="228"/>
        </w:trPr>
        <w:tc>
          <w:tcPr>
            <w:tcW w:w="3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Location of Gain or</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gridSpan w:val="8"/>
          </w:tcPr>
          <w:p>
            <w:pPr>
              <w:jc w:val="center"/>
              <w:ind w:left="563"/>
              <w:spacing w:after="0"/>
              <w:rPr>
                <w:sz w:val="20"/>
                <w:szCs w:val="20"/>
                <w:color w:val="auto"/>
              </w:rPr>
            </w:pPr>
            <w:r>
              <w:rPr>
                <w:rFonts w:ascii="Arial" w:cs="Arial" w:eastAsia="Arial" w:hAnsi="Arial"/>
                <w:sz w:val="14"/>
                <w:szCs w:val="14"/>
                <w:b w:val="1"/>
                <w:bCs w:val="1"/>
                <w:color w:val="auto"/>
                <w:w w:val="92"/>
              </w:rPr>
              <w:t>For the Years Ended December 31,</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vMerge w:val="restart"/>
          </w:tcPr>
          <w:p>
            <w:pPr>
              <w:jc w:val="right"/>
              <w:spacing w:after="0" w:line="139" w:lineRule="exact"/>
              <w:rPr>
                <w:sz w:val="20"/>
                <w:szCs w:val="20"/>
                <w:color w:val="auto"/>
              </w:rPr>
            </w:pPr>
            <w:r>
              <w:rPr>
                <w:rFonts w:ascii="Arial" w:cs="Arial" w:eastAsia="Arial" w:hAnsi="Arial"/>
                <w:sz w:val="14"/>
                <w:szCs w:val="14"/>
                <w:b w:val="1"/>
                <w:bCs w:val="1"/>
                <w:color w:val="auto"/>
                <w:w w:val="95"/>
              </w:rPr>
              <w:t>(Loss) Recognized in</w:t>
            </w: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33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2"/>
              </w:rPr>
              <w:t>Derivatives not Designated in Hedging Relationships</w:t>
            </w:r>
          </w:p>
        </w:tc>
        <w:tc>
          <w:tcPr>
            <w:tcW w:w="2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vMerge w:val="restart"/>
          </w:tcPr>
          <w:p>
            <w:pPr>
              <w:jc w:val="right"/>
              <w:ind w:right="42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5"/>
                <w:szCs w:val="5"/>
                <w:color w:val="auto"/>
              </w:rPr>
            </w:pPr>
          </w:p>
        </w:tc>
        <w:tc>
          <w:tcPr>
            <w:tcW w:w="820" w:type="dxa"/>
            <w:vAlign w:val="bottom"/>
            <w:gridSpan w:val="3"/>
            <w:vMerge w:val="restart"/>
          </w:tcPr>
          <w:p>
            <w:pPr>
              <w:jc w:val="center"/>
              <w:ind w:left="351"/>
              <w:spacing w:after="0"/>
              <w:rPr>
                <w:sz w:val="20"/>
                <w:szCs w:val="20"/>
                <w:color w:val="auto"/>
              </w:rPr>
            </w:pPr>
            <w:r>
              <w:rPr>
                <w:rFonts w:ascii="Arial" w:cs="Arial" w:eastAsia="Arial" w:hAnsi="Arial"/>
                <w:sz w:val="14"/>
                <w:szCs w:val="14"/>
                <w:b w:val="1"/>
                <w:bCs w:val="1"/>
                <w:color w:val="auto"/>
                <w:w w:val="96"/>
              </w:rPr>
              <w:t>2015</w:t>
            </w: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4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2"/>
        </w:trPr>
        <w:tc>
          <w:tcPr>
            <w:tcW w:w="3300" w:type="dxa"/>
            <w:vAlign w:val="bottom"/>
            <w:tcBorders>
              <w:bottom w:val="single" w:sz="8" w:color="auto"/>
            </w:tcBorders>
            <w:vMerge w:val="continue"/>
          </w:tcPr>
          <w:p>
            <w:pPr>
              <w:spacing w:after="0"/>
              <w:rPr>
                <w:sz w:val="16"/>
                <w:szCs w:val="16"/>
                <w:color w:val="auto"/>
              </w:rPr>
            </w:pPr>
          </w:p>
        </w:tc>
        <w:tc>
          <w:tcPr>
            <w:tcW w:w="2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Income</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gridSpan w:val="3"/>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cap</w:t>
            </w:r>
          </w:p>
        </w:tc>
        <w:tc>
          <w:tcPr>
            <w:tcW w:w="2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348"/>
              <w:spacing w:after="0"/>
              <w:rPr>
                <w:sz w:val="20"/>
                <w:szCs w:val="20"/>
                <w:color w:val="auto"/>
              </w:rPr>
            </w:pPr>
            <w:r>
              <w:rPr>
                <w:rFonts w:ascii="Arial" w:cs="Arial" w:eastAsia="Arial" w:hAnsi="Arial"/>
                <w:sz w:val="18"/>
                <w:szCs w:val="18"/>
                <w:color w:val="auto"/>
                <w:w w:val="86"/>
              </w:rPr>
              <w:t>Other Expense</w:t>
            </w:r>
          </w:p>
        </w:tc>
        <w:tc>
          <w:tcPr>
            <w:tcW w:w="4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1"/>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(3,671)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2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gridSpan w:val="2"/>
          </w:tcPr>
          <w:p>
            <w:pPr>
              <w:jc w:val="right"/>
              <w:ind w:right="348"/>
              <w:spacing w:after="0"/>
              <w:rPr>
                <w:sz w:val="20"/>
                <w:szCs w:val="20"/>
                <w:color w:val="auto"/>
              </w:rPr>
            </w:pPr>
            <w:r>
              <w:rPr>
                <w:rFonts w:ascii="Arial" w:cs="Arial" w:eastAsia="Arial" w:hAnsi="Arial"/>
                <w:sz w:val="18"/>
                <w:szCs w:val="18"/>
                <w:color w:val="auto"/>
                <w:w w:val="86"/>
              </w:rPr>
              <w:t>Other Expense</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43"/>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gridSpan w:val="3"/>
          </w:tcPr>
          <w:p>
            <w:pPr>
              <w:jc w:val="right"/>
              <w:ind w:right="48"/>
              <w:spacing w:after="0"/>
              <w:rPr>
                <w:sz w:val="20"/>
                <w:szCs w:val="20"/>
                <w:color w:val="auto"/>
              </w:rPr>
            </w:pPr>
            <w:r>
              <w:rPr>
                <w:rFonts w:ascii="Arial" w:cs="Arial" w:eastAsia="Arial" w:hAnsi="Arial"/>
                <w:sz w:val="18"/>
                <w:szCs w:val="18"/>
                <w:color w:val="auto"/>
                <w:w w:val="97"/>
              </w:rPr>
              <w:t>2,403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7,257</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7"/>
          <w:szCs w:val="17"/>
          <w:b w:val="1"/>
          <w:bCs w:val="1"/>
          <w:color w:val="auto"/>
        </w:rPr>
        <w:t>Foreign Exchange Contracts</w:t>
      </w:r>
      <w:r>
        <w:rPr>
          <w:rFonts w:ascii="Arial" w:cs="Arial" w:eastAsia="Arial" w:hAnsi="Arial"/>
          <w:sz w:val="17"/>
          <w:szCs w:val="17"/>
          <w:color w:val="auto"/>
        </w:rPr>
        <w:t>—The Company is exposed to fluctuations in foreign exchange rates on investments it holds in foreign entities.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uses foreign exchange contracts to hedge its exposure to changes in foreign exchange rates on its foreign investments. Foreign exchange contracts involve fixing the U.S. dollar ("USD") to the respective foreign currency exchange rate for delivery of a specified amount of foreign currency on a specified date. The foreign exchange contracts are typically cash settled in USD for their fair value at or close to their settlement date.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2" w:right="239" w:bottom="1440" w:gutter="0" w:footer="0" w:header="0"/>
        </w:sectPr>
      </w:pPr>
    </w:p>
    <w:bookmarkStart w:id="92" w:name="page93"/>
    <w:bookmarkEnd w:id="92"/>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For derivatives designated as net investment hedges, the effective portion of changes in the fair value of the derivatives are reported in Accumulated Other Comprehensive Income as part of the cumulative translation adjustment. The ineffective portion of the change in fair value of the derivatives is recognized directly in earnings. Amounts are reclassified out of Accumulated Other Comprehensive Income into earnings when the hedged foreign entity is either sold or substantially liquidated. As of December 31, 2016, the Company had the following outstanding foreign currency derivatives that were used to hedge its net investments in foreign operations that were designated (Rs and $ in thousands):</w:t>
      </w:r>
    </w:p>
    <w:p>
      <w:pPr>
        <w:spacing w:after="0" w:line="16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Type</w:t>
            </w:r>
          </w:p>
        </w:tc>
        <w:tc>
          <w:tcPr>
            <w:tcW w:w="120" w:type="dxa"/>
            <w:vAlign w:val="bottom"/>
            <w:vMerge w:val="restart"/>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Notional</w:t>
            </w:r>
          </w:p>
        </w:tc>
        <w:tc>
          <w:tcPr>
            <w:tcW w:w="220" w:type="dxa"/>
            <w:vAlign w:val="bottom"/>
          </w:tcPr>
          <w:p>
            <w:pPr>
              <w:spacing w:after="0"/>
              <w:rPr>
                <w:sz w:val="14"/>
                <w:szCs w:val="14"/>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Notional</w:t>
            </w:r>
          </w:p>
        </w:tc>
        <w:tc>
          <w:tcPr>
            <w:tcW w:w="16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5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5"/>
              </w:rPr>
              <w:t>(USD Equivalent)</w:t>
            </w:r>
          </w:p>
        </w:tc>
        <w:tc>
          <w:tcPr>
            <w:tcW w:w="1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Sells Indian rupee ("INR")/Buys USD Forward</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350,000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5,089</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8"/>
              </w:rPr>
              <w:t>April 2017</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derivatives not designated as net investment hedges, the changes in the fair value of the derivatives are reported in the Company's consolidated statements of operations within "Other Expense." As of December 31, 2016, the Company had the following outstanding foreign currency derivatives that were used to hedge its net investments in foreign operations that were not designated ($, €, and £ in thousands):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Type</w:t>
            </w:r>
          </w:p>
        </w:tc>
        <w:tc>
          <w:tcPr>
            <w:tcW w:w="120" w:type="dxa"/>
            <w:vAlign w:val="bottom"/>
            <w:vMerge w:val="restart"/>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Notional</w:t>
            </w:r>
          </w:p>
        </w:tc>
        <w:tc>
          <w:tcPr>
            <w:tcW w:w="240" w:type="dxa"/>
            <w:vAlign w:val="bottom"/>
          </w:tcPr>
          <w:p>
            <w:pPr>
              <w:spacing w:after="0"/>
              <w:rPr>
                <w:sz w:val="14"/>
                <w:szCs w:val="14"/>
                <w:color w:val="auto"/>
              </w:rPr>
            </w:pPr>
          </w:p>
        </w:tc>
        <w:tc>
          <w:tcPr>
            <w:tcW w:w="1680" w:type="dxa"/>
            <w:vAlign w:val="bottom"/>
            <w:gridSpan w:val="2"/>
          </w:tcPr>
          <w:p>
            <w:pPr>
              <w:ind w:left="400"/>
              <w:spacing w:after="0"/>
              <w:rPr>
                <w:sz w:val="20"/>
                <w:szCs w:val="20"/>
                <w:color w:val="auto"/>
              </w:rPr>
            </w:pPr>
            <w:r>
              <w:rPr>
                <w:rFonts w:ascii="Arial" w:cs="Arial" w:eastAsia="Arial" w:hAnsi="Arial"/>
                <w:sz w:val="14"/>
                <w:szCs w:val="14"/>
                <w:b w:val="1"/>
                <w:bCs w:val="1"/>
                <w:color w:val="auto"/>
              </w:rPr>
              <w:t>Notional</w:t>
            </w:r>
          </w:p>
        </w:tc>
        <w:tc>
          <w:tcPr>
            <w:tcW w:w="13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6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(USD Equivalent)</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Sells euro ("EUR")/Buys USD Forward</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6,300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7,095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87"/>
              </w:rPr>
              <w:t>January 2017</w:t>
            </w:r>
          </w:p>
        </w:tc>
        <w:tc>
          <w:tcPr>
            <w:tcW w:w="0" w:type="dxa"/>
            <w:vAlign w:val="bottom"/>
          </w:tcPr>
          <w:p>
            <w:pPr>
              <w:spacing w:after="0"/>
              <w:rPr>
                <w:sz w:val="1"/>
                <w:szCs w:val="1"/>
                <w:color w:val="auto"/>
              </w:rPr>
            </w:pPr>
          </w:p>
        </w:tc>
      </w:tr>
      <w:tr>
        <w:trPr>
          <w:trHeight w:val="243"/>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Sells pound sterling ("GBP")/Buys USD Forward</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3,400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39"/>
              <w:spacing w:after="0"/>
              <w:rPr>
                <w:sz w:val="20"/>
                <w:szCs w:val="20"/>
                <w:color w:val="auto"/>
              </w:rPr>
            </w:pPr>
            <w:r>
              <w:rPr>
                <w:rFonts w:ascii="Arial" w:cs="Arial" w:eastAsia="Arial" w:hAnsi="Arial"/>
                <w:sz w:val="18"/>
                <w:szCs w:val="18"/>
                <w:color w:val="auto"/>
              </w:rPr>
              <w:t>4,427</w:t>
            </w:r>
          </w:p>
        </w:tc>
        <w:tc>
          <w:tcPr>
            <w:tcW w:w="100" w:type="dxa"/>
            <w:vAlign w:val="bottom"/>
          </w:tcPr>
          <w:p>
            <w:pPr>
              <w:spacing w:after="0"/>
              <w:rPr>
                <w:sz w:val="21"/>
                <w:szCs w:val="21"/>
                <w:color w:val="auto"/>
              </w:rPr>
            </w:pPr>
          </w:p>
        </w:tc>
        <w:tc>
          <w:tcPr>
            <w:tcW w:w="1360" w:type="dxa"/>
            <w:vAlign w:val="bottom"/>
          </w:tcPr>
          <w:p>
            <w:pPr>
              <w:ind w:left="380"/>
              <w:spacing w:after="0"/>
              <w:rPr>
                <w:sz w:val="20"/>
                <w:szCs w:val="20"/>
                <w:color w:val="auto"/>
              </w:rPr>
            </w:pPr>
            <w:r>
              <w:rPr>
                <w:rFonts w:ascii="Arial" w:cs="Arial" w:eastAsia="Arial" w:hAnsi="Arial"/>
                <w:sz w:val="18"/>
                <w:szCs w:val="18"/>
                <w:color w:val="auto"/>
                <w:w w:val="87"/>
              </w:rPr>
              <w:t>January 2017</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marks its foreign investments each quarter based on current exchange rates and records the gain or loss through "Other expense" in its consolidated statements of operations for loan investments or "Accumulated other comprehensive income (loss)," on its consolidated balance sheets for net investments in foreign subsidiaries. The Company recorded net gains (losses) related to foreign investments of $0.1 million, $(0.1) million and $0.1 million during the years ended December 31, 2016, 2015 and 2014, respectively, in its consolidated statements of operations.</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7"/>
          <w:szCs w:val="17"/>
          <w:b w:val="1"/>
          <w:bCs w:val="1"/>
          <w:color w:val="auto"/>
        </w:rPr>
        <w:t>Interest Rate Hedges</w:t>
      </w:r>
      <w:r>
        <w:rPr>
          <w:rFonts w:ascii="Arial" w:cs="Arial" w:eastAsia="Arial" w:hAnsi="Arial"/>
          <w:sz w:val="17"/>
          <w:szCs w:val="17"/>
          <w:color w:val="auto"/>
        </w:rPr>
        <w:t>—For derivatives designated as cash flow hedges, the effective portion of changes in the fair value of the derivatives are reported</w:t>
      </w:r>
      <w:r>
        <w:rPr>
          <w:rFonts w:ascii="Arial" w:cs="Arial" w:eastAsia="Arial" w:hAnsi="Arial"/>
          <w:sz w:val="17"/>
          <w:szCs w:val="17"/>
          <w:b w:val="1"/>
          <w:bCs w:val="1"/>
          <w:color w:val="auto"/>
        </w:rPr>
        <w:t xml:space="preserve"> </w:t>
      </w:r>
      <w:r>
        <w:rPr>
          <w:rFonts w:ascii="Arial" w:cs="Arial" w:eastAsia="Arial" w:hAnsi="Arial"/>
          <w:sz w:val="17"/>
          <w:szCs w:val="17"/>
          <w:color w:val="auto"/>
        </w:rPr>
        <w:t>in Accumulated Other Comprehensive Income (Loss). The ineffective portion of the change in fair value of the derivatives is recognized directly in the Company's consolidated statements of operations. The Company entered into an interest rate swap to convert its variable rate debt to fixed rate on a $28.0 million secured term loan maturing in 2019. As of December 31, 2016, the Company had the following outstanding interest rate swap that was used to hedge its variable rate debt that was designated as a cash flow hedge ($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Type</w:t>
            </w:r>
          </w:p>
        </w:tc>
        <w:tc>
          <w:tcPr>
            <w:tcW w:w="120" w:type="dxa"/>
            <w:vAlign w:val="bottom"/>
            <w:vMerge w:val="restart"/>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ind w:left="200"/>
              <w:spacing w:after="0"/>
              <w:rPr>
                <w:sz w:val="20"/>
                <w:szCs w:val="20"/>
                <w:color w:val="auto"/>
              </w:rPr>
            </w:pPr>
            <w:r>
              <w:rPr>
                <w:rFonts w:ascii="Arial" w:cs="Arial" w:eastAsia="Arial" w:hAnsi="Arial"/>
                <w:sz w:val="14"/>
                <w:szCs w:val="14"/>
                <w:b w:val="1"/>
                <w:bCs w:val="1"/>
                <w:color w:val="auto"/>
              </w:rPr>
              <w:t>Notional</w:t>
            </w: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Variable Rate</w:t>
            </w:r>
          </w:p>
        </w:tc>
        <w:tc>
          <w:tcPr>
            <w:tcW w:w="10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Fixed Rate</w:t>
            </w:r>
          </w:p>
        </w:tc>
        <w:tc>
          <w:tcPr>
            <w:tcW w:w="10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Effective Date</w:t>
            </w:r>
          </w:p>
        </w:tc>
        <w:tc>
          <w:tcPr>
            <w:tcW w:w="10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26,396</w:t>
            </w:r>
          </w:p>
        </w:tc>
        <w:tc>
          <w:tcPr>
            <w:tcW w:w="12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LIBOR + 2.00%</w:t>
            </w:r>
          </w:p>
        </w:tc>
        <w:tc>
          <w:tcPr>
            <w:tcW w:w="1600" w:type="dxa"/>
            <w:vAlign w:val="bottom"/>
            <w:shd w:val="clear" w:color="auto" w:fill="CCEEFF"/>
          </w:tcPr>
          <w:p>
            <w:pPr>
              <w:jc w:val="right"/>
              <w:ind w:right="479"/>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October 2012</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November 2019</w:t>
            </w:r>
          </w:p>
        </w:tc>
        <w:tc>
          <w:tcPr>
            <w:tcW w:w="0" w:type="dxa"/>
            <w:vAlign w:val="bottom"/>
          </w:tcPr>
          <w:p>
            <w:pPr>
              <w:spacing w:after="0"/>
              <w:rPr>
                <w:sz w:val="1"/>
                <w:szCs w:val="1"/>
                <w:color w:val="auto"/>
              </w:rPr>
            </w:pPr>
          </w:p>
        </w:tc>
      </w:tr>
      <w:tr>
        <w:trPr>
          <w:trHeight w:val="27"/>
        </w:trPr>
        <w:tc>
          <w:tcPr>
            <w:tcW w:w="2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For derivatives not designated as cash flow hedges, the changes in the fair value of the derivatives are reported in the Company's consolidated statements of operations within "Other Expense." In August 2013, the Company entered into an interest rate cap agreement to reduce exposure to expected increases in future interest rates and the resulting payments associated with variable interest rate debt. In 2014, in connection with the full repayment and termination of one of the Company's credit facilities, the Company realized amounts in earnings from other comprehensive income (loss) as a portion of a hedge related to the Company's variable rate debt was no longer expected to be highly effective. The amount realized was a loss of $3.6 million recorded as a component of "Other expense" in the Company's consolidated statements of operations for the year ended December 31, 2014. As of December 31, 2016, the Company had the following outstanding interest rate cap that was used to hedge its variable rate debt that was not designated as a cash flow hedge ($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Type</w:t>
            </w:r>
          </w:p>
        </w:tc>
        <w:tc>
          <w:tcPr>
            <w:tcW w:w="120" w:type="dxa"/>
            <w:vAlign w:val="bottom"/>
            <w:vMerge w:val="restart"/>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ind w:left="200"/>
              <w:spacing w:after="0"/>
              <w:rPr>
                <w:sz w:val="20"/>
                <w:szCs w:val="20"/>
                <w:color w:val="auto"/>
              </w:rPr>
            </w:pPr>
            <w:r>
              <w:rPr>
                <w:rFonts w:ascii="Arial" w:cs="Arial" w:eastAsia="Arial" w:hAnsi="Arial"/>
                <w:sz w:val="14"/>
                <w:szCs w:val="14"/>
                <w:b w:val="1"/>
                <w:bCs w:val="1"/>
                <w:color w:val="auto"/>
              </w:rPr>
              <w:t>Notional</w:t>
            </w: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Variable Rate</w:t>
            </w:r>
          </w:p>
        </w:tc>
        <w:tc>
          <w:tcPr>
            <w:tcW w:w="10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Fixed Rate</w:t>
            </w:r>
          </w:p>
        </w:tc>
        <w:tc>
          <w:tcPr>
            <w:tcW w:w="10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Effective Date</w:t>
            </w:r>
          </w:p>
        </w:tc>
        <w:tc>
          <w:tcPr>
            <w:tcW w:w="10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rate cap</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LIBOR</w:t>
            </w:r>
          </w:p>
        </w:tc>
        <w:tc>
          <w:tcPr>
            <w:tcW w:w="1600" w:type="dxa"/>
            <w:vAlign w:val="bottom"/>
            <w:shd w:val="clear" w:color="auto" w:fill="CCEEFF"/>
          </w:tcPr>
          <w:p>
            <w:pPr>
              <w:jc w:val="right"/>
              <w:ind w:right="479"/>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July 2014</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July 2017</w:t>
            </w:r>
          </w:p>
        </w:tc>
        <w:tc>
          <w:tcPr>
            <w:tcW w:w="0" w:type="dxa"/>
            <w:vAlign w:val="bottom"/>
          </w:tcPr>
          <w:p>
            <w:pPr>
              <w:spacing w:after="0"/>
              <w:rPr>
                <w:sz w:val="1"/>
                <w:szCs w:val="1"/>
                <w:color w:val="auto"/>
              </w:rPr>
            </w:pPr>
          </w:p>
        </w:tc>
      </w:tr>
      <w:tr>
        <w:trPr>
          <w:trHeight w:val="27"/>
        </w:trPr>
        <w:tc>
          <w:tcPr>
            <w:tcW w:w="2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Over the next 12 months, the Company expects that $0.5 million relating to other cash flow hedges will be reclassified from "Accumulated other comprehensive income (loss)" into earnings.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1" w:right="239" w:bottom="1440" w:gutter="0" w:footer="0" w:header="0"/>
        </w:sectPr>
      </w:pPr>
    </w:p>
    <w:bookmarkStart w:id="93" w:name="page94"/>
    <w:bookmarkEnd w:id="93"/>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Credit Risk-Related Contingent Features</w:t>
      </w:r>
      <w:r>
        <w:rPr>
          <w:rFonts w:ascii="Arial" w:cs="Arial" w:eastAsia="Arial" w:hAnsi="Arial"/>
          <w:sz w:val="18"/>
          <w:szCs w:val="18"/>
          <w:color w:val="auto"/>
        </w:rPr>
        <w:t>—The Company has agreements with each of its derivative counterparties that contain a provision where if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either defaults or is capable of being declared in default on any of its indebtedness, then the Company could also be declared in default on its derivative obligations.</w:t>
      </w:r>
    </w:p>
    <w:p>
      <w:pPr>
        <w:spacing w:after="0" w:line="18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reports derivative instruments on a gross basis in the consolidated financial statements. In connection with its foreign currency derivatives which were in a liability position as of December 31, 2016 and 2015, the Company has posted collateral of $0.4 million and $1.0 million, respectively, and is included in "Deferred expenses and other assets, net" on the Company's consolidated balance sheets. The Company's net exposure under these contracts was zero as of December 31,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13—Equity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Preferred Stock</w:t>
      </w:r>
      <w:r>
        <w:rPr>
          <w:rFonts w:ascii="Arial" w:cs="Arial" w:eastAsia="Arial" w:hAnsi="Arial"/>
          <w:sz w:val="16"/>
          <w:szCs w:val="16"/>
          <w:color w:val="auto"/>
        </w:rPr>
        <w:t>—The Company had the following series of Cumulative Redeemable and Convertible Perpetual Preferred Stock outstanding as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and 2015:</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Cumulative Preferential Cash</w:t>
            </w: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4"/>
              </w:rPr>
              <w:t>Dividends</w:t>
            </w:r>
            <w:r>
              <w:rPr>
                <w:rFonts w:ascii="Arial" w:cs="Arial" w:eastAsia="Arial" w:hAnsi="Arial"/>
                <w:sz w:val="8"/>
                <w:szCs w:val="8"/>
                <w:b w:val="1"/>
                <w:bCs w:val="1"/>
                <w:color w:val="auto"/>
                <w:w w:val="94"/>
              </w:rPr>
              <w:t>(1)(2)</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Shares Issued and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center"/>
              <w:ind w:right="156"/>
              <w:spacing w:after="0" w:line="153" w:lineRule="exact"/>
              <w:rPr>
                <w:sz w:val="20"/>
                <w:szCs w:val="20"/>
                <w:color w:val="auto"/>
              </w:rPr>
            </w:pPr>
            <w:r>
              <w:rPr>
                <w:rFonts w:ascii="Arial" w:cs="Arial" w:eastAsia="Arial" w:hAnsi="Arial"/>
                <w:sz w:val="14"/>
                <w:szCs w:val="14"/>
                <w:b w:val="1"/>
                <w:bCs w:val="1"/>
                <w:color w:val="auto"/>
                <w:w w:val="95"/>
              </w:rPr>
              <w:t>Equivalent to</w:t>
            </w:r>
          </w:p>
        </w:tc>
        <w:tc>
          <w:tcPr>
            <w:tcW w:w="0" w:type="dxa"/>
            <w:vAlign w:val="bottom"/>
          </w:tcPr>
          <w:p>
            <w:pPr>
              <w:spacing w:after="0"/>
              <w:rPr>
                <w:sz w:val="1"/>
                <w:szCs w:val="1"/>
                <w:color w:val="auto"/>
              </w:rPr>
            </w:pPr>
          </w:p>
        </w:tc>
      </w:tr>
      <w:tr>
        <w:trPr>
          <w:trHeight w:val="185"/>
        </w:trPr>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Series</w:t>
            </w:r>
          </w:p>
        </w:tc>
        <w:tc>
          <w:tcPr>
            <w:tcW w:w="120" w:type="dxa"/>
            <w:vAlign w:val="bottom"/>
            <w:vMerge w:val="restart"/>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Par Value</w:t>
            </w:r>
          </w:p>
        </w:tc>
        <w:tc>
          <w:tcPr>
            <w:tcW w:w="100" w:type="dxa"/>
            <w:vAlign w:val="bottom"/>
            <w:vMerge w:val="restart"/>
          </w:tcPr>
          <w:p>
            <w:pPr>
              <w:spacing w:after="0"/>
              <w:rPr>
                <w:sz w:val="16"/>
                <w:szCs w:val="16"/>
                <w:color w:val="auto"/>
              </w:rPr>
            </w:pPr>
          </w:p>
        </w:tc>
        <w:tc>
          <w:tcPr>
            <w:tcW w:w="1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Liquidation Preference</w:t>
            </w:r>
            <w:r>
              <w:rPr>
                <w:rFonts w:ascii="Arial" w:cs="Arial" w:eastAsia="Arial" w:hAnsi="Arial"/>
                <w:sz w:val="8"/>
                <w:szCs w:val="8"/>
                <w:b w:val="1"/>
                <w:bCs w:val="1"/>
                <w:color w:val="auto"/>
                <w:w w:val="97"/>
              </w:rPr>
              <w:t>(3)</w:t>
            </w:r>
          </w:p>
        </w:tc>
        <w:tc>
          <w:tcPr>
            <w:tcW w:w="100" w:type="dxa"/>
            <w:vAlign w:val="bottom"/>
          </w:tcPr>
          <w:p>
            <w:pPr>
              <w:spacing w:after="0"/>
              <w:rPr>
                <w:sz w:val="16"/>
                <w:szCs w:val="16"/>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Rate per Annum</w:t>
            </w:r>
          </w:p>
        </w:tc>
        <w:tc>
          <w:tcPr>
            <w:tcW w:w="10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center"/>
              <w:ind w:right="156"/>
              <w:spacing w:after="0"/>
              <w:rPr>
                <w:sz w:val="20"/>
                <w:szCs w:val="20"/>
                <w:color w:val="auto"/>
              </w:rPr>
            </w:pPr>
            <w:r>
              <w:rPr>
                <w:rFonts w:ascii="Arial" w:cs="Arial" w:eastAsia="Arial" w:hAnsi="Arial"/>
                <w:sz w:val="14"/>
                <w:szCs w:val="14"/>
                <w:b w:val="1"/>
                <w:bCs w:val="1"/>
                <w:color w:val="auto"/>
                <w:w w:val="95"/>
              </w:rPr>
              <w:t>Fixed Annual</w:t>
            </w:r>
          </w:p>
        </w:tc>
        <w:tc>
          <w:tcPr>
            <w:tcW w:w="0" w:type="dxa"/>
            <w:vAlign w:val="bottom"/>
          </w:tcPr>
          <w:p>
            <w:pPr>
              <w:spacing w:after="0"/>
              <w:rPr>
                <w:sz w:val="1"/>
                <w:szCs w:val="1"/>
                <w:color w:val="auto"/>
              </w:rPr>
            </w:pPr>
          </w:p>
        </w:tc>
      </w:tr>
      <w:tr>
        <w:trPr>
          <w:trHeight w:val="162"/>
        </w:trPr>
        <w:tc>
          <w:tcPr>
            <w:tcW w:w="154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96"/>
              <w:spacing w:after="0"/>
              <w:rPr>
                <w:sz w:val="20"/>
                <w:szCs w:val="20"/>
                <w:color w:val="auto"/>
              </w:rPr>
            </w:pPr>
            <w:r>
              <w:rPr>
                <w:rFonts w:ascii="Arial" w:cs="Arial" w:eastAsia="Arial" w:hAnsi="Arial"/>
                <w:sz w:val="9"/>
                <w:szCs w:val="9"/>
                <w:b w:val="1"/>
                <w:bCs w:val="1"/>
                <w:color w:val="auto"/>
              </w:rPr>
              <w:t>(4)</w:t>
            </w:r>
          </w:p>
        </w:tc>
        <w:tc>
          <w:tcPr>
            <w:tcW w:w="100" w:type="dxa"/>
            <w:vAlign w:val="bottom"/>
          </w:tcPr>
          <w:p>
            <w:pPr>
              <w:spacing w:after="0"/>
              <w:rPr>
                <w:sz w:val="14"/>
                <w:szCs w:val="14"/>
                <w:color w:val="auto"/>
              </w:rPr>
            </w:pPr>
          </w:p>
        </w:tc>
        <w:tc>
          <w:tcPr>
            <w:tcW w:w="16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3"/>
              </w:rPr>
              <w:t>Rate (per share)</w:t>
            </w:r>
          </w:p>
        </w:tc>
        <w:tc>
          <w:tcPr>
            <w:tcW w:w="0" w:type="dxa"/>
            <w:vAlign w:val="bottom"/>
          </w:tcPr>
          <w:p>
            <w:pPr>
              <w:spacing w:after="0"/>
              <w:rPr>
                <w:sz w:val="1"/>
                <w:szCs w:val="1"/>
                <w:color w:val="auto"/>
              </w:rPr>
            </w:pPr>
          </w:p>
        </w:tc>
      </w:tr>
      <w:tr>
        <w:trPr>
          <w:trHeight w:val="237"/>
        </w:trPr>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D</w:t>
            </w:r>
          </w:p>
        </w:tc>
        <w:tc>
          <w:tcPr>
            <w:tcW w:w="1720" w:type="dxa"/>
            <w:vAlign w:val="bottom"/>
          </w:tcPr>
          <w:p>
            <w:pPr>
              <w:jc w:val="right"/>
              <w:ind w:right="15"/>
              <w:spacing w:after="0"/>
              <w:rPr>
                <w:sz w:val="20"/>
                <w:szCs w:val="20"/>
                <w:color w:val="auto"/>
              </w:rPr>
            </w:pPr>
            <w:r>
              <w:rPr>
                <w:rFonts w:ascii="Arial" w:cs="Arial" w:eastAsia="Arial" w:hAnsi="Arial"/>
                <w:sz w:val="18"/>
                <w:szCs w:val="18"/>
                <w:color w:val="auto"/>
              </w:rPr>
              <w:t>4,000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0.001</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25.00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E</w:t>
            </w:r>
          </w:p>
        </w:tc>
        <w:tc>
          <w:tcPr>
            <w:tcW w:w="1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7.875%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43"/>
        </w:trPr>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F</w:t>
            </w:r>
          </w:p>
        </w:tc>
        <w:tc>
          <w:tcPr>
            <w:tcW w:w="1720" w:type="dxa"/>
            <w:vAlign w:val="bottom"/>
          </w:tcPr>
          <w:p>
            <w:pPr>
              <w:jc w:val="right"/>
              <w:ind w:right="15"/>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0.001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25.00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G</w:t>
            </w:r>
          </w:p>
        </w:tc>
        <w:tc>
          <w:tcPr>
            <w:tcW w:w="1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43"/>
        </w:trPr>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rPr>
              <w:t>I</w:t>
            </w:r>
          </w:p>
        </w:tc>
        <w:tc>
          <w:tcPr>
            <w:tcW w:w="1720" w:type="dxa"/>
            <w:vAlign w:val="bottom"/>
          </w:tcPr>
          <w:p>
            <w:pPr>
              <w:jc w:val="right"/>
              <w:ind w:right="15"/>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0.001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25.00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J (convertible)</w:t>
            </w:r>
          </w:p>
        </w:tc>
        <w:tc>
          <w:tcPr>
            <w:tcW w:w="1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4,000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0.001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37"/>
        </w:trPr>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17145</wp:posOffset>
            </wp:positionV>
            <wp:extent cx="10979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-98425</wp:posOffset>
            </wp:positionV>
            <wp:extent cx="10979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jc w:val="both"/>
        <w:ind w:left="420" w:hanging="412"/>
        <w:spacing w:after="0" w:line="241" w:lineRule="auto"/>
        <w:tabs>
          <w:tab w:leader="none" w:pos="4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Holders of shares of the Series D, E, F, G, I and J preferred stock are entitled to receive dividends, when and as declared by the Company's Board of Directors, out of funds legally available for the payment of dividends. Dividends are cumulative from the date of original issue and are payable quarterly in arrears on or before the 15th day of each March, June, September and December or, if not a business day, the next succeeding business day. Any dividend payable on the preferred stock for any partial dividend period will be computed on the basis of a 360-day year consisting of twelve 30-day months. Dividends will be payable to holders of record as of the close of business on the first day of the calendar month in which the applicable dividend payment date falls or on another date designated by the Company's Board of Directors for the payment of dividends that is not more than 30 nor less than 10 days prior to the dividend payment date.</w:t>
      </w:r>
    </w:p>
    <w:p>
      <w:pPr>
        <w:spacing w:after="0" w:line="2" w:lineRule="exact"/>
        <w:rPr>
          <w:rFonts w:ascii="Arial" w:cs="Arial" w:eastAsia="Arial" w:hAnsi="Arial"/>
          <w:sz w:val="14"/>
          <w:szCs w:val="14"/>
          <w:color w:val="auto"/>
        </w:rPr>
      </w:pPr>
    </w:p>
    <w:p>
      <w:pPr>
        <w:jc w:val="both"/>
        <w:ind w:left="420" w:hanging="412"/>
        <w:spacing w:after="0" w:line="241" w:lineRule="auto"/>
        <w:tabs>
          <w:tab w:leader="none" w:pos="4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Company declared and paid dividends of $8.0 million, $11.0 million, $7.8 million, $6.1 million and $9.4 million on its Series D, E, F, G and I Cumulative Redeemable Preferred Stock during the years ended December 31, 2016 and 2015. The Company declared and paid dividends of $9.0 million on its Series J Convertible Perpetual Preferred Stock during the years ended December 31, 2016 and 2015, respectively. The character of the 2016 dividends are as follows: 47.30% is a capital gain distribution, of which 76.15% represents unrecaptured section 1250 gain and 23.85% long term capital gain, and 52.70% is ordinary income. All 2015 dividends qualified as a return of capital for tax reporting purposes. There are no dividend arrearages on any of the preferred shares currently outstanding.</w:t>
      </w:r>
    </w:p>
    <w:p>
      <w:pPr>
        <w:spacing w:after="0" w:line="1" w:lineRule="exact"/>
        <w:rPr>
          <w:rFonts w:ascii="Arial" w:cs="Arial" w:eastAsia="Arial" w:hAnsi="Arial"/>
          <w:sz w:val="14"/>
          <w:szCs w:val="14"/>
          <w:color w:val="auto"/>
        </w:rPr>
      </w:pPr>
    </w:p>
    <w:p>
      <w:pPr>
        <w:ind w:left="420" w:hanging="412"/>
        <w:spacing w:after="0" w:line="241" w:lineRule="auto"/>
        <w:tabs>
          <w:tab w:leader="none" w:pos="4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Company may, at its option, redeem the Series D, E, F, G, and I Preferred Stock, in whole or in part, at any time and from time to time, for cash at a redemption price equal to 100% of the liquidation preference of $25.00 per share, plus accrued and unpaid dividends, if any, to the redemption date.</w:t>
      </w:r>
    </w:p>
    <w:p>
      <w:pPr>
        <w:jc w:val="both"/>
        <w:ind w:left="420" w:hanging="412"/>
        <w:spacing w:after="0" w:line="246" w:lineRule="auto"/>
        <w:tabs>
          <w:tab w:leader="none" w:pos="4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Each share of the Series J Preferred Stock is convertible at the holder's option at any time, initially into 3.9087 shares of the Company's common stock (equal to an initial conversion price of approximately $12.79 per share), subject to specified adjustments. The Company may not redeem the Series J Preferred Stock prior to March 15, 2018. On or after March 15, 2018, the Company may, at its option, redeem the Series J Preferred Stock, in whole or in part, at any time and from time to time, for cash at a redemption price equal to 100% of the liquidation preference of $50.00 per share, plus accrued and unpaid dividends, if any, to the redemption date.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 Performance Unit Program</w:t>
      </w:r>
    </w:p>
    <w:p>
      <w:pPr>
        <w:spacing w:after="0" w:line="9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May 2002, the Company's shareholders approved the iStar HPU Program. The program entitled employee participants ("HPU Holders") to receive distributions if the total rate of return on the Company's common stock (share price appreciation plus dividends) exceeded certain performance thresholds over a specified valuation period. The Company established seven HPU plans that had valuation periods ending between 2002 and 2008 and the Company has not established any new HPU plans since 2005. HPU Holders purchased interests in the High Performance common stock for an aggregate initial purchase price of $9.8 million. The remaining four plans that had valuation periods which ended in 2005, 2006, 2007 and 2008, did not meet their required performance thresholds, none of the plans were funded and the Company redeemed the participants' units.</w:t>
      </w:r>
    </w:p>
    <w:p>
      <w:pPr>
        <w:spacing w:after="0" w:line="1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2002, 2003 and 2004 plans all exceeded their performance thresholds and were entitled to receive distributions equivalent to the amount of dividends payable on 819,254 shares, 987,149 shares and 1,031,875 shares, respectively, of the Company's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1" w:right="239" w:bottom="1440" w:gutter="0" w:footer="0" w:header="0"/>
        </w:sectPr>
      </w:pPr>
    </w:p>
    <w:bookmarkStart w:id="94" w:name="page95"/>
    <w:bookmarkEnd w:id="94"/>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common stock as and when such dividends were paid on the Company's common stock. Each of these three plans had 5,000 shares of High Performance common stock associated with it, which was recorded as a separate class of stock within shareholders' equity on the Company's consolidated balance sheets. High Performance common stock carried 0.25 votes per share. Net income allocable to common shareholders is reduced by the HPU holders' share of earnings.</w:t>
      </w:r>
    </w:p>
    <w:p>
      <w:pPr>
        <w:spacing w:after="0" w:line="133"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In August 2015, the Company repurchased and retired all of its outstanding 14,888 HPUs, representing approximately 2.8 million common stock equivalents. The Company repurchased these HPUs at fair value from current and former employees through an arms-length exchange offer. HPU holders could have elected to receive $9.30 in cash or 0.7 shares of iStar common stock, or a combination thereof, per common stock equivalent underlying the HPUs. Approximately 37% of the outstanding HPUs were exchanged for $9.8 million in cash and approximately 63% of the outstanding HPUs were exchanged for 1.2 million shares of iStar common stock with a fair value of $15.2 million, representing the number of shares issued at the closing price of the Company's common stock on August 13, 2015. The transaction value in excess of the HPUs carrying value of $9.8 million was recorded as a reduction to retained earnings (deficit) in the Company's consolidated statements of changes in equity.</w:t>
      </w:r>
    </w:p>
    <w:p>
      <w:pPr>
        <w:spacing w:after="0" w:line="174"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b w:val="1"/>
          <w:bCs w:val="1"/>
          <w:color w:val="auto"/>
        </w:rPr>
        <w:t>Dividends</w:t>
      </w:r>
      <w:r>
        <w:rPr>
          <w:rFonts w:ascii="Arial" w:cs="Arial" w:eastAsia="Arial" w:hAnsi="Arial"/>
          <w:sz w:val="16"/>
          <w:szCs w:val="16"/>
          <w:color w:val="auto"/>
        </w:rPr>
        <w:t>—To maintain its qualification as a REIT, the Company must annually distribute, at a minimum, an amount equal to 90% of its taxable</w:t>
      </w:r>
      <w:r>
        <w:rPr>
          <w:rFonts w:ascii="Arial" w:cs="Arial" w:eastAsia="Arial" w:hAnsi="Arial"/>
          <w:sz w:val="16"/>
          <w:szCs w:val="16"/>
          <w:b w:val="1"/>
          <w:bCs w:val="1"/>
          <w:color w:val="auto"/>
        </w:rPr>
        <w:t xml:space="preserve"> </w:t>
      </w:r>
      <w:r>
        <w:rPr>
          <w:rFonts w:ascii="Arial" w:cs="Arial" w:eastAsia="Arial" w:hAnsi="Arial"/>
          <w:sz w:val="16"/>
          <w:szCs w:val="16"/>
          <w:color w:val="auto"/>
        </w:rPr>
        <w:t>income, excluding net capital gains, and must distribute 100% of its taxable income (including net capital gains) to eliminate corporate federal income taxes payable by the REIT. The Company has recorded NOLs and may record NOLs in the future, which may reduce its taxable income in future periods and lower or eliminate entirely the Company's obligation to pay dividends for such periods in order to maintain its REIT qualification. As of December 31, 2015, the Company had $902.9 million of NOL carryforwards at the corporate REIT level that can generally be used to offset both ordinary taxable income and capital gain net income in future years. The NOL carryforwards will expire beginning in 2029 and through 2035 if unused. The amount of NOL carryforwards as of December 31, 2016 will be determined upon finalization of the Company's 2016 tax return. Because taxable income differs from cash flow from operations due to non-cash revenues and expenses (such as depreciation and certain asset impairments), in certain circumstances, the Company may generate operating cash flow in excess of its dividends, or alternatively, may need to make dividend payments in excess of operating cash flows. The 2016 Senior Secured Credit Facility and the 2015 Secured Revolving Credit Facility permit the Company to distribute 100% of its REIT taxable income on an annual basis (prior to deducting certain cumulative NOL carryforwards), as long as the Company maintains its REIT qualification. The 2016 Senior Secured Credit Facility and the 2015 Secured Revolving Credit Facility restrict the Company from paying any common dividends if it ceases to qualify as a REIT. The Company did not declare or pay any common stock dividends for the years ended December 31, 2016 and 2015.</w:t>
      </w:r>
    </w:p>
    <w:p>
      <w:pPr>
        <w:spacing w:after="0" w:line="16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b w:val="1"/>
          <w:bCs w:val="1"/>
          <w:color w:val="auto"/>
        </w:rPr>
        <w:t>Stock Repurchase Program</w:t>
      </w:r>
      <w:r>
        <w:rPr>
          <w:rFonts w:ascii="Arial" w:cs="Arial" w:eastAsia="Arial" w:hAnsi="Arial"/>
          <w:sz w:val="17"/>
          <w:szCs w:val="17"/>
          <w:color w:val="auto"/>
        </w:rPr>
        <w:t>—In February 2016, after having substantially utilized the remaining availability previously authorized,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Board of Directors authorized a new $50.0 million stock repurchase program. After having substantially utilized the availability authorized in February 2016, the Company's Board of Directors authorized an increase to the stock repurchase program to $50.0 million, effective August 4, 2016. The program authorizes the repurchase of common stock from time to time in open market and privately negotiated purchases, including pursuant to one or more trading plans. During the year ended December 31, 2016, the Company repurchased 10.2 million shares of its outstanding common stock for $98.4 million, at an average cost of $9.67 per share. During the year ended December 31, 2015, the Company repurchased 5.7 million shares of its outstanding common stock for $70.4 million, at an average cost of $12.25 per share. As of December 31, 2016, the Company had remaining authorization to repurchase up to $50.0 million of common stock available to repurchase under its stock repurchase program.</w:t>
      </w:r>
    </w:p>
    <w:p>
      <w:pPr>
        <w:spacing w:after="0" w:line="172" w:lineRule="exact"/>
        <w:rPr>
          <w:sz w:val="20"/>
          <w:szCs w:val="20"/>
          <w:color w:val="auto"/>
        </w:rPr>
      </w:pPr>
    </w:p>
    <w:p>
      <w:pPr>
        <w:jc w:val="both"/>
        <w:ind w:right="20" w:firstLine="432"/>
        <w:spacing w:after="0" w:line="282" w:lineRule="auto"/>
        <w:rPr>
          <w:sz w:val="20"/>
          <w:szCs w:val="20"/>
          <w:color w:val="auto"/>
        </w:rPr>
      </w:pPr>
      <w:r>
        <w:rPr>
          <w:rFonts w:ascii="Arial" w:cs="Arial" w:eastAsia="Arial" w:hAnsi="Arial"/>
          <w:sz w:val="18"/>
          <w:szCs w:val="18"/>
          <w:b w:val="1"/>
          <w:bCs w:val="1"/>
          <w:color w:val="auto"/>
        </w:rPr>
        <w:t>Accumulated Other Comprehensive Income (Loss)</w:t>
      </w:r>
      <w:r>
        <w:rPr>
          <w:rFonts w:ascii="Arial" w:cs="Arial" w:eastAsia="Arial" w:hAnsi="Arial"/>
          <w:sz w:val="18"/>
          <w:szCs w:val="18"/>
          <w:color w:val="auto"/>
        </w:rPr>
        <w:t>—"Accumulated other comprehensive income (loss)" reflected in the Company's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equity is comprised of the following ($ in thousands):</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As of 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Unrealized gains (losses) on available-for-sale securities</w:t>
            </w:r>
          </w:p>
        </w:tc>
        <w:tc>
          <w:tcPr>
            <w:tcW w:w="2460" w:type="dxa"/>
            <w:vAlign w:val="bottom"/>
            <w:tcBorders>
              <w:bottom w:val="single" w:sz="8" w:color="CCEEFF"/>
            </w:tcBorders>
            <w:gridSpan w:val="2"/>
            <w:shd w:val="clear" w:color="auto" w:fill="CCEEFF"/>
          </w:tcPr>
          <w:p>
            <w:pPr>
              <w:jc w:val="right"/>
              <w:ind w:right="839"/>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Unrealized gains (losses) on cash flow hedges</w:t>
            </w:r>
          </w:p>
        </w:tc>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Unrealized losses on cumulative translation adjustment</w:t>
            </w:r>
          </w:p>
        </w:tc>
        <w:tc>
          <w:tcPr>
            <w:tcW w:w="1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(4,394)</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(4,036)</w:t>
            </w:r>
          </w:p>
        </w:tc>
        <w:tc>
          <w:tcPr>
            <w:tcW w:w="0" w:type="dxa"/>
            <w:vAlign w:val="bottom"/>
          </w:tcPr>
          <w:p>
            <w:pPr>
              <w:spacing w:after="0"/>
              <w:rPr>
                <w:sz w:val="1"/>
                <w:szCs w:val="1"/>
                <w:color w:val="auto"/>
              </w:rPr>
            </w:pPr>
          </w:p>
        </w:tc>
      </w:tr>
      <w:tr>
        <w:trPr>
          <w:trHeight w:val="257"/>
        </w:trPr>
        <w:tc>
          <w:tcPr>
            <w:tcW w:w="4280" w:type="dxa"/>
            <w:vAlign w:val="bottom"/>
          </w:tcPr>
          <w:p>
            <w:pPr>
              <w:ind w:left="20"/>
              <w:spacing w:after="0"/>
              <w:rPr>
                <w:sz w:val="20"/>
                <w:szCs w:val="20"/>
                <w:color w:val="auto"/>
              </w:rPr>
            </w:pPr>
            <w:r>
              <w:rPr>
                <w:rFonts w:ascii="Arial" w:cs="Arial" w:eastAsia="Arial" w:hAnsi="Arial"/>
                <w:sz w:val="18"/>
                <w:szCs w:val="18"/>
                <w:color w:val="auto"/>
              </w:rPr>
              <w:t>Accumulated other comprehensive income (loss)</w:t>
            </w:r>
          </w:p>
        </w:tc>
        <w:tc>
          <w:tcPr>
            <w:tcW w:w="14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(4,218)</w:t>
            </w:r>
          </w:p>
        </w:tc>
        <w:tc>
          <w:tcPr>
            <w:tcW w:w="10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(4,851)</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420" w:type="dxa"/>
            <w:vAlign w:val="bottom"/>
            <w:vMerge w:val="restart"/>
          </w:tcPr>
          <w:p>
            <w:pPr>
              <w:jc w:val="right"/>
              <w:ind w:right="950"/>
              <w:spacing w:after="0"/>
              <w:rPr>
                <w:sz w:val="20"/>
                <w:szCs w:val="20"/>
                <w:color w:val="auto"/>
              </w:rPr>
            </w:pPr>
            <w:r>
              <w:rPr>
                <w:rFonts w:ascii="Arial" w:cs="Arial" w:eastAsia="Arial" w:hAnsi="Arial"/>
                <w:sz w:val="18"/>
                <w:szCs w:val="18"/>
                <w:color w:val="auto"/>
              </w:rPr>
              <w:t>91</w:t>
            </w: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28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95" w:name="page96"/>
    <w:bookmarkEnd w:id="95"/>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14—Stock-Based Compensation Plans and Employee Benefits</w:t>
      </w:r>
    </w:p>
    <w:p>
      <w:pPr>
        <w:spacing w:after="0" w:line="225"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b w:val="1"/>
          <w:bCs w:val="1"/>
          <w:color w:val="auto"/>
        </w:rPr>
        <w:t>Stock-Based Compensation</w:t>
      </w:r>
      <w:r>
        <w:rPr>
          <w:rFonts w:ascii="Arial" w:cs="Arial" w:eastAsia="Arial" w:hAnsi="Arial"/>
          <w:sz w:val="18"/>
          <w:szCs w:val="18"/>
          <w:color w:val="auto"/>
        </w:rPr>
        <w:t>—The Company recorded stock-based compensation expense, including the effect of performance incentive plans (see</w:t>
      </w:r>
      <w:r>
        <w:rPr>
          <w:rFonts w:ascii="Arial" w:cs="Arial" w:eastAsia="Arial" w:hAnsi="Arial"/>
          <w:sz w:val="18"/>
          <w:szCs w:val="18"/>
          <w:b w:val="1"/>
          <w:bCs w:val="1"/>
          <w:color w:val="auto"/>
        </w:rPr>
        <w:t xml:space="preserve"> </w:t>
      </w:r>
      <w:r>
        <w:rPr>
          <w:rFonts w:ascii="Arial" w:cs="Arial" w:eastAsia="Arial" w:hAnsi="Arial"/>
          <w:sz w:val="18"/>
          <w:szCs w:val="18"/>
          <w:color w:val="auto"/>
        </w:rPr>
        <w:t>below), of $10.9 million, $12.0 million and $13.3 million, respectively, for the years ended December 31, 2016, 2015 and 2014 in "General and administrative" in the Company's consolidated statements of operations. As of December 31, 2016, there was $1.9 million of total unrecognized compensation cost related to all unvested restricted stock units that is expected to be recognized over a weighted average remaining vesting/service period of 2.07 years.</w:t>
      </w:r>
    </w:p>
    <w:p>
      <w:pPr>
        <w:spacing w:after="0" w:line="143"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b w:val="1"/>
          <w:bCs w:val="1"/>
          <w:color w:val="auto"/>
        </w:rPr>
        <w:t>Performance Incentive Plans</w:t>
      </w:r>
      <w:r>
        <w:rPr>
          <w:rFonts w:ascii="Arial" w:cs="Arial" w:eastAsia="Arial" w:hAnsi="Arial"/>
          <w:sz w:val="18"/>
          <w:szCs w:val="18"/>
          <w:color w:val="auto"/>
        </w:rPr>
        <w:t>—The Company's Performance Incentive Plan ("iPIP") is designed to provide, primarily to senior executives and select</w:t>
      </w:r>
      <w:r>
        <w:rPr>
          <w:rFonts w:ascii="Arial" w:cs="Arial" w:eastAsia="Arial" w:hAnsi="Arial"/>
          <w:sz w:val="18"/>
          <w:szCs w:val="18"/>
          <w:b w:val="1"/>
          <w:bCs w:val="1"/>
          <w:color w:val="auto"/>
        </w:rPr>
        <w:t xml:space="preserve"> </w:t>
      </w:r>
      <w:r>
        <w:rPr>
          <w:rFonts w:ascii="Arial" w:cs="Arial" w:eastAsia="Arial" w:hAnsi="Arial"/>
          <w:sz w:val="18"/>
          <w:szCs w:val="18"/>
          <w:color w:val="auto"/>
        </w:rPr>
        <w:t>professionals engaged in the Company's investment activities, long-term compensation which has a direct relationship to the realized returns on investments included in the plan. The following is a summary of granted iPIP points.</w:t>
      </w:r>
    </w:p>
    <w:p>
      <w:pPr>
        <w:spacing w:after="0" w:line="167" w:lineRule="exact"/>
        <w:rPr>
          <w:sz w:val="20"/>
          <w:szCs w:val="20"/>
          <w:color w:val="auto"/>
        </w:rPr>
      </w:pPr>
    </w:p>
    <w:p>
      <w:pPr>
        <w:ind w:left="1360" w:hanging="312"/>
        <w:spacing w:after="0"/>
        <w:tabs>
          <w:tab w:leader="none" w:pos="13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May 2014, the Company granted 73 iPIP points for the initial 2013-2014 investment pool.</w:t>
      </w:r>
    </w:p>
    <w:p>
      <w:pPr>
        <w:spacing w:after="0" w:line="198" w:lineRule="exact"/>
        <w:rPr>
          <w:rFonts w:ascii="Arial" w:cs="Arial" w:eastAsia="Arial" w:hAnsi="Arial"/>
          <w:sz w:val="18"/>
          <w:szCs w:val="18"/>
          <w:color w:val="auto"/>
        </w:rPr>
      </w:pPr>
    </w:p>
    <w:p>
      <w:pPr>
        <w:ind w:left="1300" w:hanging="239"/>
        <w:spacing w:after="0" w:line="277"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In January 2015, the Company granted an additional 10 points for the 2013-2014 investment pool and 34 iPIP points for the 2015-2016 investment pool.</w:t>
      </w:r>
    </w:p>
    <w:p>
      <w:pPr>
        <w:spacing w:after="0" w:line="129" w:lineRule="exact"/>
        <w:rPr>
          <w:rFonts w:ascii="Arial" w:cs="Arial" w:eastAsia="Arial" w:hAnsi="Arial"/>
          <w:sz w:val="18"/>
          <w:szCs w:val="18"/>
          <w:color w:val="auto"/>
        </w:rPr>
      </w:pPr>
    </w:p>
    <w:p>
      <w:pPr>
        <w:ind w:left="1300" w:hanging="239"/>
        <w:spacing w:after="0" w:line="277"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In January 2016, the Company granted an additional 10 iPIP points in the 2013-2014 investment pool and an additional 40 iPIP points in the 2015-2016 investment pool.</w:t>
      </w:r>
    </w:p>
    <w:p>
      <w:pPr>
        <w:spacing w:after="0" w:line="129" w:lineRule="exact"/>
        <w:rPr>
          <w:rFonts w:ascii="Arial" w:cs="Arial" w:eastAsia="Arial" w:hAnsi="Arial"/>
          <w:sz w:val="18"/>
          <w:szCs w:val="18"/>
          <w:color w:val="auto"/>
        </w:rPr>
      </w:pPr>
    </w:p>
    <w:p>
      <w:pPr>
        <w:ind w:left="1300" w:hanging="239"/>
        <w:spacing w:after="0"/>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In June 2016, the Company granted an additional 2.5 points in the 2015-2016 investment pool.</w:t>
      </w:r>
    </w:p>
    <w:p>
      <w:pPr>
        <w:spacing w:after="0" w:line="320"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All decisions regarding the granting of points under iPIP are made at the discretion of the Company's Board of Directors or a committee of the Board of Directors. The fair value of points is determined using a model that forecasts the Company's projected investment performance. The payout of iPIP is based on the amount of invested capital, investment performance and the Company's total shareholder return ("TSR") as compared to the average TSR of the NAREIT All REIT Index and the Russell 2000 Index during the relevant performance period for the investments in each pool. The Company, as well as any companies not included in each index at the beginning and end of the performance period, are excluded from calculation of the performance of such index. Point holders will not receive a distribution until the Company has received a full return of its capital plus a preferred return distribution, which is based on a preferred return hurdle rate of 9% per annum. Subject to certain vesting and employment requirements, point holders will be paid a combination of cash and stock. iPIP is a liability-classified award which will be remeasured each reporting period at fair value until the awards are settled. Compensation costs relating to iPIP are included in "General and administrative" in the Company's consolidated statements of operations. As of December 31, 2016 and 2015, the Company had accrued compensation costs relating to iPIP of $22.4 million and $16.6 million, respectively, which are included in "Accounts payable, accrued expenses and other liabilities" on the Company's consolidated balance sheets.</w:t>
      </w:r>
    </w:p>
    <w:p>
      <w:pPr>
        <w:spacing w:after="0" w:line="233"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b w:val="1"/>
          <w:bCs w:val="1"/>
          <w:color w:val="auto"/>
        </w:rPr>
        <w:t>Long-Term Incentive Plan</w:t>
      </w:r>
      <w:r>
        <w:rPr>
          <w:rFonts w:ascii="Arial" w:cs="Arial" w:eastAsia="Arial" w:hAnsi="Arial"/>
          <w:sz w:val="18"/>
          <w:szCs w:val="18"/>
          <w:color w:val="auto"/>
        </w:rPr>
        <w:t>—The Company's shareholders approved the Company's 2009 Long-Term Incentive Plan (the "2009 LTIP")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designed to provide incentive compensation for officers, key employees, directors and advisors of the Company. Shareholders approved amendments to the 2009 LTIP and the performance-based provisions of the 2009 LTIP in 2014. The 2009 LTIP provides for awards of stock options, shares of restricted stock, phantom shares, restricted stock units, dividend equivalent rights and other share-based performance awards. A maximum of 8,000,000 shares of common stock may be awarded under the 2009 LTIP. All awards under the 2009 LTIP are made at the discretion of the Company's Board of Directors or a committee of the Board of Directors.</w:t>
      </w:r>
    </w:p>
    <w:p>
      <w:pPr>
        <w:spacing w:after="0" w:line="1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December 31, 2016, an aggregate of 3.6 million shares remain available for issuance pursuant to future awards under the Company's 2009 Long-Term Incentive Plans.</w:t>
      </w:r>
    </w:p>
    <w:p>
      <w:pPr>
        <w:spacing w:after="0" w:line="26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i w:val="1"/>
          <w:iCs w:val="1"/>
          <w:color w:val="auto"/>
        </w:rPr>
        <w:t>Restricted Share Issuances</w:t>
      </w:r>
      <w:r>
        <w:rPr>
          <w:rFonts w:ascii="Arial" w:cs="Arial" w:eastAsia="Arial" w:hAnsi="Arial"/>
          <w:sz w:val="17"/>
          <w:szCs w:val="17"/>
          <w:color w:val="auto"/>
        </w:rPr>
        <w:t>—During the year ended December 31, 2016, the Company granted 92,057 shares of common stock to certain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2009 LTIP as part of annual incentive awards that included a mix of cash and equity awards. The weighted average grant date fair value per share of these share awards was $8.46 and the total fair value was $0.7 million. The shares are fully-vested and 58,667 shares were issued net of statutory minimum required tax withholdings. The employees are restricted from selling these shares for up to 18 months from the date of grant.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1" w:right="239" w:bottom="1440" w:gutter="0" w:footer="0" w:header="0"/>
        </w:sectPr>
      </w:pPr>
    </w:p>
    <w:bookmarkStart w:id="96" w:name="page97"/>
    <w:bookmarkEnd w:id="96"/>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4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Changes in non-vested restricted stock units ("Units") during the year ended December 31, 2016 were as follows (number of shares and $ in thousands, except per share amounts):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320" w:type="dxa"/>
            <w:vAlign w:val="bottom"/>
          </w:tcPr>
          <w:p>
            <w:pPr>
              <w:spacing w:after="0"/>
              <w:rPr>
                <w:sz w:val="14"/>
                <w:szCs w:val="14"/>
                <w:color w:val="auto"/>
              </w:rPr>
            </w:pPr>
          </w:p>
        </w:tc>
        <w:tc>
          <w:tcPr>
            <w:tcW w:w="1380" w:type="dxa"/>
            <w:vAlign w:val="bottom"/>
            <w:vMerge w:val="restart"/>
          </w:tcPr>
          <w:p>
            <w:pPr>
              <w:jc w:val="center"/>
              <w:ind w:right="241"/>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00" w:type="dxa"/>
            <w:vAlign w:val="bottom"/>
            <w:vMerge w:val="restart"/>
          </w:tcPr>
          <w:p>
            <w:pPr>
              <w:jc w:val="center"/>
              <w:ind w:left="448"/>
              <w:spacing w:after="0"/>
              <w:rPr>
                <w:sz w:val="20"/>
                <w:szCs w:val="20"/>
                <w:color w:val="auto"/>
              </w:rPr>
            </w:pPr>
            <w:r>
              <w:rPr>
                <w:rFonts w:ascii="Arial" w:cs="Arial" w:eastAsia="Arial" w:hAnsi="Arial"/>
                <w:sz w:val="14"/>
                <w:szCs w:val="14"/>
                <w:b w:val="1"/>
                <w:bCs w:val="1"/>
                <w:color w:val="auto"/>
                <w:w w:val="98"/>
              </w:rPr>
              <w:t>Number</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3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left="468"/>
              <w:spacing w:after="0" w:line="149" w:lineRule="exact"/>
              <w:rPr>
                <w:sz w:val="20"/>
                <w:szCs w:val="20"/>
                <w:color w:val="auto"/>
              </w:rPr>
            </w:pPr>
            <w:r>
              <w:rPr>
                <w:rFonts w:ascii="Arial" w:cs="Arial" w:eastAsia="Arial" w:hAnsi="Arial"/>
                <w:sz w:val="14"/>
                <w:szCs w:val="14"/>
                <w:b w:val="1"/>
                <w:bCs w:val="1"/>
                <w:color w:val="auto"/>
                <w:w w:val="95"/>
              </w:rPr>
              <w:t>Fair Value</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tcPr>
          <w:p>
            <w:pPr>
              <w:jc w:val="center"/>
              <w:ind w:right="241"/>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92"/>
        </w:trPr>
        <w:tc>
          <w:tcPr>
            <w:tcW w:w="60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ind w:left="448"/>
              <w:spacing w:after="0"/>
              <w:rPr>
                <w:sz w:val="20"/>
                <w:szCs w:val="20"/>
                <w:color w:val="auto"/>
              </w:rPr>
            </w:pPr>
            <w:r>
              <w:rPr>
                <w:rFonts w:ascii="Arial" w:cs="Arial" w:eastAsia="Arial" w:hAnsi="Arial"/>
                <w:sz w:val="14"/>
                <w:szCs w:val="14"/>
                <w:b w:val="1"/>
                <w:bCs w:val="1"/>
                <w:color w:val="auto"/>
                <w:w w:val="87"/>
              </w:rPr>
              <w:t>of Shares</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b w:val="1"/>
                <w:bCs w:val="1"/>
                <w:color w:val="auto"/>
                <w:w w:val="91"/>
              </w:rPr>
              <w:t>Per Share</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7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as of December 31, 2015</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426</w:t>
            </w:r>
          </w:p>
        </w:tc>
        <w:tc>
          <w:tcPr>
            <w:tcW w:w="1280" w:type="dxa"/>
            <w:vAlign w:val="bottom"/>
            <w:tcBorders>
              <w:bottom w:val="single" w:sz="8" w:color="CCEEFF"/>
            </w:tcBorders>
            <w:gridSpan w:val="2"/>
            <w:shd w:val="clear" w:color="auto" w:fill="CCEEFF"/>
          </w:tcPr>
          <w:p>
            <w:pPr>
              <w:jc w:val="right"/>
              <w:ind w:right="988"/>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12.90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4,991</w:t>
            </w:r>
          </w:p>
        </w:tc>
        <w:tc>
          <w:tcPr>
            <w:tcW w:w="0" w:type="dxa"/>
            <w:vAlign w:val="bottom"/>
          </w:tcPr>
          <w:p>
            <w:pPr>
              <w:spacing w:after="0"/>
              <w:rPr>
                <w:sz w:val="1"/>
                <w:szCs w:val="1"/>
                <w:color w:val="auto"/>
              </w:rPr>
            </w:pPr>
          </w:p>
        </w:tc>
      </w:tr>
      <w:tr>
        <w:trPr>
          <w:trHeight w:val="243"/>
        </w:trPr>
        <w:tc>
          <w:tcPr>
            <w:tcW w:w="728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223</w:t>
            </w:r>
          </w:p>
        </w:tc>
        <w:tc>
          <w:tcPr>
            <w:tcW w:w="1280" w:type="dxa"/>
            <w:vAlign w:val="bottom"/>
            <w:gridSpan w:val="2"/>
          </w:tcPr>
          <w:p>
            <w:pPr>
              <w:jc w:val="right"/>
              <w:ind w:right="988"/>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10.11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80" w:type="dxa"/>
            <w:vAlign w:val="bottom"/>
            <w:tcBorders>
              <w:bottom w:val="single" w:sz="8" w:color="CCEEFF"/>
            </w:tcBorders>
            <w:gridSpan w:val="2"/>
            <w:shd w:val="clear" w:color="auto" w:fill="CCEEFF"/>
          </w:tcPr>
          <w:p>
            <w:pPr>
              <w:jc w:val="right"/>
              <w:ind w:right="988"/>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10.91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8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520" w:type="dxa"/>
            <w:vAlign w:val="bottom"/>
          </w:tcPr>
          <w:p>
            <w:pPr>
              <w:jc w:val="right"/>
              <w:spacing w:after="0"/>
              <w:rPr>
                <w:sz w:val="20"/>
                <w:szCs w:val="20"/>
                <w:color w:val="auto"/>
              </w:rPr>
            </w:pPr>
            <w:r>
              <w:rPr>
                <w:rFonts w:ascii="Arial" w:cs="Arial" w:eastAsia="Arial" w:hAnsi="Arial"/>
                <w:sz w:val="18"/>
                <w:szCs w:val="18"/>
                <w:color w:val="auto"/>
              </w:rPr>
              <w:t>(82)</w:t>
            </w:r>
          </w:p>
        </w:tc>
        <w:tc>
          <w:tcPr>
            <w:tcW w:w="1280" w:type="dxa"/>
            <w:vAlign w:val="bottom"/>
            <w:gridSpan w:val="2"/>
          </w:tcPr>
          <w:p>
            <w:pPr>
              <w:jc w:val="right"/>
              <w:ind w:right="988"/>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17.49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as of December 31, 2016</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290</w:t>
            </w:r>
          </w:p>
        </w:tc>
        <w:tc>
          <w:tcPr>
            <w:tcW w:w="1280" w:type="dxa"/>
            <w:vAlign w:val="bottom"/>
            <w:gridSpan w:val="2"/>
            <w:shd w:val="clear" w:color="auto" w:fill="CCEEFF"/>
          </w:tcPr>
          <w:p>
            <w:pPr>
              <w:jc w:val="right"/>
              <w:ind w:right="98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11.33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3,578</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total fair value of Units vested during the years ended December 31, 2016, 2015 and 2014 was $2.9 million, $0.1 million and $39.2 million, respectively. The weighted-average grant date fair value per share of Units granted during the years ended December 31, 2016, 2015 and 2014 was $10.11, $13.65 and $15.31, respectively.</w:t>
      </w:r>
    </w:p>
    <w:p>
      <w:pPr>
        <w:spacing w:after="0" w:line="23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As of December 31, 2016, 38,070 market-based Units did not meet the criteria to vest. The market-condition was based on the Company's TSR measured over a performance period ending on the vesting date of December 31, 2016. Under the terms of these Units, vesting ranged from 0% to 200% of the target amount of the awards, depending on the Company's TSR performance relative to the NAREIT All REITs Index (one-half of the target amount of the award) and the Russell 2000 Index (one-half of the target amount of the award) during the performance period. The Company and any companies not included in the index at the beginning and end of the performance period were excluded from calculation of the performance of such index. Based on the Company's TSR performance, the Units were below the minimum threshold payout level, resulting in no payout of awards.</w:t>
      </w:r>
    </w:p>
    <w:p>
      <w:pPr>
        <w:spacing w:after="0" w:line="93" w:lineRule="exact"/>
        <w:rPr>
          <w:sz w:val="20"/>
          <w:szCs w:val="20"/>
          <w:color w:val="auto"/>
        </w:rPr>
      </w:pPr>
    </w:p>
    <w:p>
      <w:pPr>
        <w:jc w:val="both"/>
        <w:ind w:right="20" w:firstLine="405"/>
        <w:spacing w:after="0" w:line="282" w:lineRule="auto"/>
        <w:rPr>
          <w:sz w:val="20"/>
          <w:szCs w:val="20"/>
          <w:color w:val="auto"/>
        </w:rPr>
      </w:pPr>
      <w:r>
        <w:rPr>
          <w:rFonts w:ascii="Arial" w:cs="Arial" w:eastAsia="Arial" w:hAnsi="Arial"/>
          <w:sz w:val="18"/>
          <w:szCs w:val="18"/>
          <w:b w:val="1"/>
          <w:bCs w:val="1"/>
          <w:color w:val="auto"/>
        </w:rPr>
        <w:t>2016 Restricted Stock Unit Activity</w:t>
      </w:r>
      <w:r>
        <w:rPr>
          <w:rFonts w:ascii="Arial" w:cs="Arial" w:eastAsia="Arial" w:hAnsi="Arial"/>
          <w:sz w:val="18"/>
          <w:szCs w:val="18"/>
          <w:color w:val="auto"/>
        </w:rPr>
        <w:t>—During the year ended December 31, 2016, the Company granted new stock-based compensation awards to</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employees in the form of long-term incentive awards, comprised of the following:</w:t>
      </w:r>
    </w:p>
    <w:p>
      <w:pPr>
        <w:spacing w:after="0" w:line="125" w:lineRule="exact"/>
        <w:rPr>
          <w:sz w:val="20"/>
          <w:szCs w:val="20"/>
          <w:color w:val="auto"/>
        </w:rPr>
      </w:pPr>
    </w:p>
    <w:p>
      <w:pPr>
        <w:jc w:val="both"/>
        <w:ind w:left="660" w:hanging="247"/>
        <w:spacing w:after="0" w:line="290" w:lineRule="auto"/>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20,000 fully-vested shares of the Company's common stock granted on June 15, 2016. Under this award, 12,030 shares were issued as of that date, after deducting shares for minimum required statutory withholdings. In addition, 80,000 service-based Units were granted on June 15, 2016, representing the right to receive an equivalent number of shares of the Company's common stock (after deducting shares for minimum required statutory withholdings) if and when the Units vest. The Units will vest in equal annual installments over four years on each anniversary of the grant date, if the employee remains employed by the Company on the vesting date, subject to certain accelerated vesting rights. Upon vesting of these Units, the holder will receive shares of the Company's common stock in the amount of the vested Units, net of statutory minimum required tax withholdings. Dividends will accrue as and when dividends are declared by the Company on shares of its common stock, but will not be paid unless and until the Units vest and are settled. As of December 31, 2016, 80,000 of such service-based Units were outstanding.</w:t>
      </w:r>
    </w:p>
    <w:p>
      <w:pPr>
        <w:spacing w:after="0" w:line="125" w:lineRule="exact"/>
        <w:rPr>
          <w:rFonts w:ascii="Arial" w:cs="Arial" w:eastAsia="Arial" w:hAnsi="Arial"/>
          <w:sz w:val="16"/>
          <w:szCs w:val="16"/>
          <w:color w:val="auto"/>
        </w:rPr>
      </w:pPr>
    </w:p>
    <w:p>
      <w:pPr>
        <w:jc w:val="both"/>
        <w:ind w:left="660" w:hanging="247"/>
        <w:spacing w:after="0" w:line="276"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122,817 service-based Units granted on January 29, 2016, representing the right to receive an equivalent number of shares of the Company's common stock (after deducting shares for minimum required statutory withholdings) if and when the Units vest. The Units will cliff vest in one installment on December 31, 2018, if the employee remains employed by the Company on the vesting date, subject to certain accelerated vesting rights. Dividends will accrue as and when dividends are declared by the Company on shares of its common stock, but will not be paid unless and until the Units vest and are settled. As of December 31, 2016, 109,417 of such service-based Units were outstanding.</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2016, the Company had the following additional stock-based compensation awards outstanding:</w:t>
      </w:r>
    </w:p>
    <w:p>
      <w:pPr>
        <w:spacing w:after="0" w:line="225" w:lineRule="exact"/>
        <w:rPr>
          <w:sz w:val="20"/>
          <w:szCs w:val="20"/>
          <w:color w:val="auto"/>
        </w:rPr>
      </w:pPr>
    </w:p>
    <w:p>
      <w:pPr>
        <w:jc w:val="both"/>
        <w:ind w:left="660" w:hanging="247"/>
        <w:spacing w:after="0" w:line="272"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39,071 target amount of market-based Units granted on January 30, 2015, representing the right to receive an equivalent number of shares of the Company's common stock (after deducting shares for minimum required statutory withholdings) if and when the Units vest. The performance is based on the Company's TSR, measured over a performance period ending on December 31, 2017, which is the date the awards cliff vest. Vesting will range from 0% to 200% of the target amount of the awards, depending on the Company’s TSR performance relative to the NAREIT All REITs Index (one-half of the target amount of the award) and the Russell 2000 Index (one-half of the target amount of the award) during the performance period. The Company, as well as any companies not included in each index at the beginning and end of the performance period, are excluded from calculation of the performance of such index. To the extent Units vest based on the Company's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1" w:right="239" w:bottom="1440" w:gutter="0" w:footer="0" w:header="0"/>
        </w:sectPr>
      </w:pPr>
    </w:p>
    <w:bookmarkStart w:id="97" w:name="page98"/>
    <w:bookmarkEnd w:id="97"/>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660"/>
        <w:spacing w:after="0" w:line="302" w:lineRule="auto"/>
        <w:rPr>
          <w:sz w:val="20"/>
          <w:szCs w:val="20"/>
          <w:color w:val="auto"/>
        </w:rPr>
      </w:pPr>
      <w:r>
        <w:rPr>
          <w:rFonts w:ascii="Arial" w:cs="Arial" w:eastAsia="Arial" w:hAnsi="Arial"/>
          <w:sz w:val="18"/>
          <w:szCs w:val="18"/>
          <w:color w:val="auto"/>
        </w:rPr>
        <w:t>TSR performance, holders will receive an equivalent number of shares of common stock (after deducting shares for minimum required statutory withholdings), if the employee remains employed by the Company on the vesting date, subject to certain accelerated vesting rights. Dividends will accrue as and when dividends are declared by the Company on shares of its common stock, but will not be paid unless and until the Units vest and are settled. The fair values of the market-based Units were determined by utilizing a Monte Carlo model to simulate a range of possible future stock prices for the Company's common stock. The assumptions used to estimate the fair value of these market-based awards were 0.75% for risk-free interest rate and 28.14% for expected stock price volatility.</w:t>
      </w:r>
    </w:p>
    <w:p>
      <w:pPr>
        <w:spacing w:after="0" w:line="125" w:lineRule="exact"/>
        <w:rPr>
          <w:sz w:val="20"/>
          <w:szCs w:val="20"/>
          <w:color w:val="auto"/>
        </w:rPr>
      </w:pPr>
    </w:p>
    <w:p>
      <w:pPr>
        <w:jc w:val="both"/>
        <w:ind w:left="660" w:hanging="247"/>
        <w:spacing w:after="0" w:line="25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56,020 service-based Units granted on January 30, 2015, representing the right to receive an equivalent number of shares of the Company's common stock (after deducting shares for minimum required statutory withholdings) if and when the Units vest. The Units will cliff vest in one installment on December 31, 2017, if the employee remains employed by the Company on the vesting date, subject to certain accelerated vesting rights. Dividends will accrue as and when dividends are declared by the Company on shares of its common stock, but will not be paid unless and until the Units vest and are settled.</w:t>
      </w:r>
    </w:p>
    <w:p>
      <w:pPr>
        <w:spacing w:after="0" w:line="147" w:lineRule="exact"/>
        <w:rPr>
          <w:rFonts w:ascii="Arial" w:cs="Arial" w:eastAsia="Arial" w:hAnsi="Arial"/>
          <w:sz w:val="18"/>
          <w:szCs w:val="18"/>
          <w:color w:val="auto"/>
        </w:rPr>
      </w:pPr>
    </w:p>
    <w:p>
      <w:pPr>
        <w:jc w:val="both"/>
        <w:ind w:left="660" w:hanging="247"/>
        <w:spacing w:after="0" w:line="25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4,751 service-based Units granted on various dates, representing the right to receive an equivalent number of shares of the Company's common stock (after deducting shares for minimum required statutory withholdings) if and when the Units vest. The Units have an original vesting term of three years. Upon vesting of these Units, holders will receive shares of the Company's common stock in the amount of the vested Units, net of statutory minimum required tax withholdings. Dividends will accrue as and when dividends are declared by the Company on shares of its common stock, but will not be paid unless and until the Units vest and are settled.</w:t>
      </w:r>
    </w:p>
    <w:p>
      <w:pPr>
        <w:spacing w:after="0" w:line="14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b w:val="1"/>
          <w:bCs w:val="1"/>
          <w:color w:val="auto"/>
        </w:rPr>
        <w:t>Directors' Awards</w:t>
      </w:r>
      <w:r>
        <w:rPr>
          <w:rFonts w:ascii="Arial" w:cs="Arial" w:eastAsia="Arial" w:hAnsi="Arial"/>
          <w:sz w:val="17"/>
          <w:szCs w:val="17"/>
          <w:color w:val="auto"/>
        </w:rPr>
        <w:t>—Non-employee directors are awarded CSEs or restricted share awards at the time of the annual shareholders' meeting in</w:t>
      </w:r>
      <w:r>
        <w:rPr>
          <w:rFonts w:ascii="Arial" w:cs="Arial" w:eastAsia="Arial" w:hAnsi="Arial"/>
          <w:sz w:val="17"/>
          <w:szCs w:val="17"/>
          <w:b w:val="1"/>
          <w:bCs w:val="1"/>
          <w:color w:val="auto"/>
        </w:rPr>
        <w:t xml:space="preserve"> </w:t>
      </w:r>
      <w:r>
        <w:rPr>
          <w:rFonts w:ascii="Arial" w:cs="Arial" w:eastAsia="Arial" w:hAnsi="Arial"/>
          <w:sz w:val="17"/>
          <w:szCs w:val="17"/>
          <w:color w:val="auto"/>
        </w:rPr>
        <w:t>consideration for their services on the Company's Board of Directors. During the year ended December 31, 2016, the Company awarded to non-employee Directors 12,953 CSEs and 72,537 restricted shares of common stock at a fair value per share of $9.65 at the time of grant. These CSEs and restricted shares have a vesting term of 7.5 months and one year, respectively. Dividends will accrue as and when dividends are declared by the Company on shares of its common stock, but will not be paid unless and until the CSEs and restricted shares of common stock vest and are settled. As of December 31, 2016, a combined total of 333,384 CSEs and restricted shares of common stock granted to members of the Company's Board of Directors remained outstanding under the Company's Non-Employee Directors Deferral Plan, with an aggregate intrinsic value of $4.1 million.</w:t>
      </w:r>
    </w:p>
    <w:p>
      <w:pPr>
        <w:spacing w:after="0" w:line="172" w:lineRule="exact"/>
        <w:rPr>
          <w:sz w:val="20"/>
          <w:szCs w:val="20"/>
          <w:color w:val="auto"/>
        </w:rPr>
      </w:pPr>
    </w:p>
    <w:p>
      <w:pPr>
        <w:jc w:val="both"/>
        <w:ind w:firstLine="432"/>
        <w:spacing w:after="0" w:line="274" w:lineRule="auto"/>
        <w:rPr>
          <w:sz w:val="20"/>
          <w:szCs w:val="20"/>
          <w:color w:val="auto"/>
        </w:rPr>
      </w:pPr>
      <w:r>
        <w:rPr>
          <w:rFonts w:ascii="Arial" w:cs="Arial" w:eastAsia="Arial" w:hAnsi="Arial"/>
          <w:sz w:val="17"/>
          <w:szCs w:val="17"/>
          <w:b w:val="1"/>
          <w:bCs w:val="1"/>
          <w:color w:val="auto"/>
        </w:rPr>
        <w:t>401(k) Plan</w:t>
      </w:r>
      <w:r>
        <w:rPr>
          <w:rFonts w:ascii="Arial" w:cs="Arial" w:eastAsia="Arial" w:hAnsi="Arial"/>
          <w:sz w:val="17"/>
          <w:szCs w:val="17"/>
          <w:color w:val="auto"/>
        </w:rPr>
        <w:t>—The Company has a savings and retirement plan (the "401(k) Plan"), which is a voluntary, defined contribution plan. All employees are</w:t>
      </w:r>
      <w:r>
        <w:rPr>
          <w:rFonts w:ascii="Arial" w:cs="Arial" w:eastAsia="Arial" w:hAnsi="Arial"/>
          <w:sz w:val="17"/>
          <w:szCs w:val="17"/>
          <w:b w:val="1"/>
          <w:bCs w:val="1"/>
          <w:color w:val="auto"/>
        </w:rPr>
        <w:t xml:space="preserve"> </w:t>
      </w:r>
      <w:r>
        <w:rPr>
          <w:rFonts w:ascii="Arial" w:cs="Arial" w:eastAsia="Arial" w:hAnsi="Arial"/>
          <w:sz w:val="17"/>
          <w:szCs w:val="17"/>
          <w:color w:val="auto"/>
        </w:rPr>
        <w:t>eligible to participate in the 401(k) Plan following completion of three months of continuous service with the Company. Each participant may contribute on a pretax basis up to the maximum percentage of compensation and dollar amount permissible under Section 402(g) of the Internal Revenue Code not to exceed the limits of Code Sections 401(k), 404 and 415. At the discretion of the Company's Board of Directors, the Company may make matching contributions on the participant's behalf of up to 50% of the first 10% of the participant's annual compensation. The Company made gross contributions of $1.0 million, $1.0 million and $0.9 million, respectively, for the years ended December 31, 2016, 2015 and 2014.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15—Earnings Per Share</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Earnings per share ("EPS") is calculated using the two-class method, which allocates earnings among common stock and participating securities to calculate EPS when an entity's capital structure includes either two or more classes of common stock or common stock and participating securities. HPU holders were current and former Company employees who purchased high performance common stock units under the Company's High Performance Unit Program. These HPU units were treated as a separate class of common stock. All of the Company's outstanding HPUs were repurchased and retired on August 13, 2015 (refer to Note 13).</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1" w:right="239" w:bottom="1440" w:gutter="0" w:footer="0" w:header="0"/>
        </w:sectPr>
      </w:pPr>
    </w:p>
    <w:bookmarkStart w:id="98" w:name="page99"/>
    <w:bookmarkEnd w:id="98"/>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following table presents a reconciliation of income (loss) from operations used in the basic and diluted EPS calculations ($ in thousands, except for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For the Years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(99,973)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(74,178)</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Income from sales of real estate</w:t>
            </w:r>
          </w:p>
        </w:tc>
        <w:tc>
          <w:tcPr>
            <w:tcW w:w="3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105,296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93,816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89,943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Preferred dividends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(51,320)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(51,320)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(51,320)</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Income (loss) from operations attributable to iStar Inc. and allocable to common shareholders,</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43,986</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(53,755)</w:t>
            </w:r>
          </w:p>
        </w:tc>
        <w:tc>
          <w:tcPr>
            <w:tcW w:w="120" w:type="dxa"/>
            <w:vAlign w:val="bottom"/>
            <w:shd w:val="clear" w:color="auto" w:fill="CCEEFF"/>
          </w:tcPr>
          <w:p>
            <w:pPr>
              <w:spacing w:after="0"/>
              <w:rPr>
                <w:sz w:val="18"/>
                <w:szCs w:val="18"/>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(34,851)</w:t>
            </w: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line="244" w:lineRule="exact"/>
              <w:rPr>
                <w:sz w:val="20"/>
                <w:szCs w:val="20"/>
                <w:color w:val="auto"/>
              </w:rPr>
            </w:pPr>
            <w:r>
              <w:rPr>
                <w:rFonts w:ascii="Arial" w:cs="Arial" w:eastAsia="Arial" w:hAnsi="Arial"/>
                <w:sz w:val="18"/>
                <w:szCs w:val="18"/>
                <w:color w:val="auto"/>
              </w:rPr>
              <w:t>HPU holders and Participating Security Holders for basic earnings per common share</w:t>
            </w:r>
            <w:r>
              <w:rPr>
                <w:rFonts w:ascii="Arial" w:cs="Arial" w:eastAsia="Arial" w:hAnsi="Arial"/>
                <w:sz w:val="25"/>
                <w:szCs w:val="25"/>
                <w:color w:val="auto"/>
                <w:vertAlign w:val="superscript"/>
              </w:rPr>
              <w:t>(1)</w:t>
            </w:r>
          </w:p>
        </w:tc>
        <w:tc>
          <w:tcPr>
            <w:tcW w:w="340" w:type="dxa"/>
            <w:vAlign w:val="bottom"/>
            <w:tcBorders>
              <w:bottom w:val="single" w:sz="8" w:color="auto"/>
            </w:tcBorders>
            <w:vMerge w:val="continue"/>
            <w:shd w:val="clear" w:color="auto" w:fill="CCEEFF"/>
          </w:tcPr>
          <w:p>
            <w:pPr>
              <w:spacing w:after="0"/>
              <w:rPr>
                <w:sz w:val="21"/>
                <w:szCs w:val="21"/>
                <w:color w:val="auto"/>
              </w:rPr>
            </w:pPr>
          </w:p>
        </w:tc>
        <w:tc>
          <w:tcPr>
            <w:tcW w:w="10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vMerge w:val="continue"/>
            <w:shd w:val="clear" w:color="auto" w:fill="CCEEFF"/>
          </w:tcPr>
          <w:p>
            <w:pPr>
              <w:spacing w:after="0"/>
              <w:rPr>
                <w:sz w:val="21"/>
                <w:szCs w:val="21"/>
                <w:color w:val="auto"/>
              </w:rPr>
            </w:pPr>
          </w:p>
        </w:tc>
        <w:tc>
          <w:tcPr>
            <w:tcW w:w="102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vMerge w:val="continue"/>
            <w:shd w:val="clear" w:color="auto" w:fill="CCEEFF"/>
          </w:tcPr>
          <w:p>
            <w:pPr>
              <w:spacing w:after="0"/>
              <w:rPr>
                <w:sz w:val="21"/>
                <w:szCs w:val="21"/>
                <w:color w:val="auto"/>
              </w:rPr>
            </w:pPr>
          </w:p>
        </w:tc>
        <w:tc>
          <w:tcPr>
            <w:tcW w:w="9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80" w:type="dxa"/>
            <w:vAlign w:val="bottom"/>
          </w:tcPr>
          <w:p>
            <w:pPr>
              <w:ind w:left="180"/>
              <w:spacing w:after="0"/>
              <w:rPr>
                <w:sz w:val="20"/>
                <w:szCs w:val="20"/>
                <w:color w:val="auto"/>
              </w:rPr>
            </w:pPr>
            <w:r>
              <w:rPr>
                <w:rFonts w:ascii="Arial" w:cs="Arial" w:eastAsia="Arial" w:hAnsi="Arial"/>
                <w:sz w:val="18"/>
                <w:szCs w:val="18"/>
                <w:color w:val="auto"/>
              </w:rPr>
              <w:t>Add: Effect of joint venture shares</w:t>
            </w:r>
          </w:p>
        </w:tc>
        <w:tc>
          <w:tcPr>
            <w:tcW w:w="34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Effect of 1.50% senior convertible unsecured notes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Add: Effect of 3.00% senior convertible unsecured notes</w:t>
            </w:r>
          </w:p>
        </w:tc>
        <w:tc>
          <w:tcPr>
            <w:tcW w:w="3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6,239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Income (loss) from operations attributable to iStar Inc. and allocable to common shareholders,</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54,139</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(53,755)</w:t>
            </w:r>
          </w:p>
        </w:tc>
        <w:tc>
          <w:tcPr>
            <w:tcW w:w="120" w:type="dxa"/>
            <w:vAlign w:val="bottom"/>
            <w:shd w:val="clear" w:color="auto" w:fill="CCEEFF"/>
          </w:tcPr>
          <w:p>
            <w:pPr>
              <w:spacing w:after="0"/>
              <w:rPr>
                <w:sz w:val="18"/>
                <w:szCs w:val="18"/>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(34,851)</w:t>
            </w: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line="244" w:lineRule="exact"/>
              <w:rPr>
                <w:sz w:val="20"/>
                <w:szCs w:val="20"/>
                <w:color w:val="auto"/>
              </w:rPr>
            </w:pPr>
            <w:r>
              <w:rPr>
                <w:rFonts w:ascii="Arial" w:cs="Arial" w:eastAsia="Arial" w:hAnsi="Arial"/>
                <w:sz w:val="18"/>
                <w:szCs w:val="18"/>
                <w:color w:val="auto"/>
                <w:w w:val="98"/>
              </w:rPr>
              <w:t>HPU holders and Participating Security Holders for diluted earnings per common share</w:t>
            </w:r>
            <w:r>
              <w:rPr>
                <w:rFonts w:ascii="Arial" w:cs="Arial" w:eastAsia="Arial" w:hAnsi="Arial"/>
                <w:sz w:val="25"/>
                <w:szCs w:val="25"/>
                <w:color w:val="auto"/>
                <w:w w:val="98"/>
                <w:vertAlign w:val="superscript"/>
              </w:rPr>
              <w:t>(1)</w:t>
            </w:r>
          </w:p>
        </w:tc>
        <w:tc>
          <w:tcPr>
            <w:tcW w:w="340" w:type="dxa"/>
            <w:vAlign w:val="bottom"/>
            <w:tcBorders>
              <w:bottom w:val="single" w:sz="8" w:color="auto"/>
            </w:tcBorders>
            <w:vMerge w:val="continue"/>
            <w:shd w:val="clear" w:color="auto" w:fill="CCEEFF"/>
          </w:tcPr>
          <w:p>
            <w:pPr>
              <w:spacing w:after="0"/>
              <w:rPr>
                <w:sz w:val="21"/>
                <w:szCs w:val="21"/>
                <w:color w:val="auto"/>
              </w:rPr>
            </w:pPr>
          </w:p>
        </w:tc>
        <w:tc>
          <w:tcPr>
            <w:tcW w:w="10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vMerge w:val="continue"/>
            <w:shd w:val="clear" w:color="auto" w:fill="CCEEFF"/>
          </w:tcPr>
          <w:p>
            <w:pPr>
              <w:spacing w:after="0"/>
              <w:rPr>
                <w:sz w:val="21"/>
                <w:szCs w:val="21"/>
                <w:color w:val="auto"/>
              </w:rPr>
            </w:pPr>
          </w:p>
        </w:tc>
        <w:tc>
          <w:tcPr>
            <w:tcW w:w="102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vMerge w:val="continue"/>
            <w:shd w:val="clear" w:color="auto" w:fill="CCEEFF"/>
          </w:tcPr>
          <w:p>
            <w:pPr>
              <w:spacing w:after="0"/>
              <w:rPr>
                <w:sz w:val="21"/>
                <w:szCs w:val="21"/>
                <w:color w:val="auto"/>
              </w:rPr>
            </w:pPr>
          </w:p>
        </w:tc>
        <w:tc>
          <w:tcPr>
            <w:tcW w:w="9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8" w:lineRule="exact"/>
        <w:rPr>
          <w:sz w:val="20"/>
          <w:szCs w:val="20"/>
          <w:color w:val="auto"/>
        </w:rPr>
      </w:pPr>
    </w:p>
    <w:p>
      <w:pPr>
        <w:ind w:left="500" w:hanging="492"/>
        <w:spacing w:after="0"/>
        <w:tabs>
          <w:tab w:leader="none" w:pos="5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For the year ended December 31, 2016, includes income from operations allocable to Participating Security Holders of $14 and $13 on a basic and dilutive basis.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1" w:right="239" w:bottom="1440" w:gutter="0" w:footer="0" w:header="0"/>
        </w:sectPr>
      </w:pPr>
    </w:p>
    <w:bookmarkStart w:id="99" w:name="page100"/>
    <w:bookmarkEnd w:id="99"/>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For the 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allocable to common shares: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i w:val="1"/>
                <w:iCs w:val="1"/>
                <w:color w:val="auto"/>
              </w:rPr>
              <w:t>Numerator for basic earnings per share:</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Income (loss) from operations attributable to iStar Inc. and allocable to common shareholders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43,972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(52,675)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(33,722)</w:t>
            </w:r>
          </w:p>
        </w:tc>
      </w:tr>
      <w:tr>
        <w:trPr>
          <w:trHeight w:val="297"/>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(loss) attributable to iStar Inc. and allocable to common shareholders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43,972</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(52,675)</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(33,722)</w:t>
            </w:r>
          </w:p>
        </w:tc>
      </w:tr>
      <w:tr>
        <w:trPr>
          <w:trHeight w:val="311"/>
        </w:trPr>
        <w:tc>
          <w:tcPr>
            <w:tcW w:w="7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i w:val="1"/>
                <w:iCs w:val="1"/>
                <w:color w:val="auto"/>
              </w:rPr>
              <w:t>Numerator for diluted earnings per share:</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Income (loss) from operations attributable to iStar Inc. and allocable to common shareholders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54,126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(52,675)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(33,722)</w:t>
            </w:r>
          </w:p>
        </w:tc>
      </w:tr>
      <w:tr>
        <w:trPr>
          <w:trHeight w:val="297"/>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(loss) attributable to iStar Inc. and allocable to common shareholders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54,126</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(52,675)</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(33,722)</w:t>
            </w:r>
          </w:p>
        </w:tc>
      </w:tr>
      <w:tr>
        <w:trPr>
          <w:trHeight w:val="311"/>
        </w:trPr>
        <w:tc>
          <w:tcPr>
            <w:tcW w:w="7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i w:val="1"/>
                <w:iCs w:val="1"/>
                <w:color w:val="auto"/>
              </w:rPr>
              <w:t>Denominator for basic and diluted earnings per share:</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common shares outstanding for basic earnings per common share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73,453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84,987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85,031</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w w:val="94"/>
              </w:rPr>
              <w:t>Add: Effect of assumed shares issued under treasury stock method or restricted stock units</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Effect of joint venture shares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Add: Effect of 1.50% senior convertible unsecured notes</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9,868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Effect of 3.00% senior convertible unsecured notes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14,764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w w:val="99"/>
              </w:rPr>
              <w:t>Weighted average common shares outstanding for diluted earnings per common share</w:t>
            </w:r>
          </w:p>
        </w:tc>
        <w:tc>
          <w:tcPr>
            <w:tcW w:w="34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98,467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84,987</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85,031</w:t>
            </w:r>
          </w:p>
        </w:tc>
      </w:tr>
      <w:tr>
        <w:trPr>
          <w:trHeight w:val="311"/>
        </w:trPr>
        <w:tc>
          <w:tcPr>
            <w:tcW w:w="7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Basic earnings per common share:</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Income (loss) from operations attributable to iStar Inc. and allocable to common shareholders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(0.40)</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Net income (loss) attributable to iStar Inc. and allocable to common shareholders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(0.62)</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(0.40)</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324"/>
        </w:trPr>
        <w:tc>
          <w:tcPr>
            <w:tcW w:w="7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common share:</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Income (loss) from operations attributable to iStar Inc. and allocable to common shareholders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(0.40)</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Net income (loss) attributable to iStar Inc. and allocable to common shareholders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(0.62)</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(0.40)</w:t>
            </w:r>
          </w:p>
        </w:tc>
      </w:tr>
      <w:tr>
        <w:trPr>
          <w:trHeight w:val="702"/>
        </w:trPr>
        <w:tc>
          <w:tcPr>
            <w:tcW w:w="7080" w:type="dxa"/>
            <w:vAlign w:val="bottom"/>
          </w:tcPr>
          <w:p>
            <w:pPr>
              <w:ind w:left="5620"/>
              <w:spacing w:after="0"/>
              <w:rPr>
                <w:sz w:val="20"/>
                <w:szCs w:val="20"/>
                <w:color w:val="auto"/>
              </w:rPr>
            </w:pPr>
            <w:r>
              <w:rPr>
                <w:rFonts w:ascii="Arial" w:cs="Arial" w:eastAsia="Arial" w:hAnsi="Arial"/>
                <w:sz w:val="18"/>
                <w:szCs w:val="18"/>
                <w:color w:val="auto"/>
              </w:rPr>
              <w:t>96</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23495</wp:posOffset>
            </wp:positionV>
            <wp:extent cx="27527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03" w:lineRule="exact"/>
        <w:rPr>
          <w:sz w:val="20"/>
          <w:szCs w:val="20"/>
          <w:color w:val="auto"/>
        </w:rPr>
      </w:pPr>
    </w:p>
    <w:p>
      <w:pPr>
        <w:ind w:left="7640"/>
        <w:spacing w:after="0"/>
        <w:tabs>
          <w:tab w:leader="none" w:pos="9100" w:val="left"/>
          <w:tab w:leader="none" w:pos="1058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r>
        <w:rPr>
          <w:sz w:val="20"/>
          <w:szCs w:val="20"/>
          <w:color w:val="auto"/>
        </w:rPr>
        <w:tab/>
      </w:r>
      <w:r>
        <w:rPr>
          <w:rFonts w:ascii="Arial" w:cs="Arial" w:eastAsia="Arial" w:hAnsi="Arial"/>
          <w:sz w:val="12"/>
          <w:szCs w:val="12"/>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Earnings allocable to HPUs </w:t>
      </w:r>
      <w:r>
        <w:rPr>
          <w:rFonts w:ascii="Arial" w:cs="Arial" w:eastAsia="Arial" w:hAnsi="Arial"/>
          <w:sz w:val="25"/>
          <w:szCs w:val="25"/>
          <w:b w:val="1"/>
          <w:bCs w:val="1"/>
          <w:color w:val="auto"/>
          <w:vertAlign w:val="superscript"/>
        </w:rPr>
        <w:t>(1)</w:t>
      </w:r>
      <w:r>
        <w:rPr>
          <w:rFonts w:ascii="Arial" w:cs="Arial" w:eastAsia="Arial" w:hAnsi="Arial"/>
          <w:sz w:val="18"/>
          <w:szCs w:val="18"/>
          <w:b w:val="1"/>
          <w:bCs w:val="1"/>
          <w:color w:val="auto"/>
        </w:rPr>
        <w:t>:</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Numerator for basic and diluted earnings per HPU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 w:lineRule="exact"/>
        <w:rPr>
          <w:sz w:val="20"/>
          <w:szCs w:val="20"/>
          <w:color w:val="auto"/>
        </w:rPr>
      </w:pPr>
    </w:p>
    <w:p>
      <w:pPr>
        <w:ind w:left="180"/>
        <w:spacing w:after="0"/>
        <w:tabs>
          <w:tab w:leader="none" w:pos="7100" w:val="left"/>
          <w:tab w:leader="none" w:pos="8160" w:val="left"/>
          <w:tab w:leader="none" w:pos="8600" w:val="left"/>
          <w:tab w:leader="none" w:pos="9360" w:val="left"/>
          <w:tab w:leader="none" w:pos="10060" w:val="left"/>
          <w:tab w:leader="none" w:pos="10820" w:val="left"/>
        </w:tabs>
        <w:rPr>
          <w:sz w:val="20"/>
          <w:szCs w:val="20"/>
          <w:color w:val="auto"/>
        </w:rPr>
      </w:pPr>
      <w:r>
        <w:rPr>
          <w:rFonts w:ascii="Arial" w:cs="Arial" w:eastAsia="Arial" w:hAnsi="Arial"/>
          <w:sz w:val="18"/>
          <w:szCs w:val="18"/>
          <w:color w:val="auto"/>
        </w:rPr>
        <w:t>Net income (loss) attributable to iStar Inc. and allocable to HPU holders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(1,080)</w:t>
        <w:tab/>
        <w:t>$</w:t>
      </w:r>
      <w:r>
        <w:rPr>
          <w:sz w:val="20"/>
          <w:szCs w:val="20"/>
          <w:color w:val="auto"/>
        </w:rPr>
        <w:tab/>
      </w:r>
      <w:r>
        <w:rPr>
          <w:rFonts w:ascii="Arial" w:cs="Arial" w:eastAsia="Arial" w:hAnsi="Arial"/>
          <w:sz w:val="17"/>
          <w:szCs w:val="17"/>
          <w:color w:val="auto"/>
        </w:rPr>
        <w:t>(1,129)</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Denominator for basic and diluted earnings per HPU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tabs>
          <w:tab w:leader="none" w:pos="8160" w:val="left"/>
          <w:tab w:leader="none" w:pos="9740" w:val="left"/>
          <w:tab w:leader="none" w:pos="11120" w:val="left"/>
        </w:tabs>
        <w:rPr>
          <w:sz w:val="20"/>
          <w:szCs w:val="20"/>
          <w:color w:val="auto"/>
        </w:rPr>
      </w:pPr>
      <w:r>
        <w:rPr>
          <w:rFonts w:ascii="Arial" w:cs="Arial" w:eastAsia="Arial" w:hAnsi="Arial"/>
          <w:sz w:val="18"/>
          <w:szCs w:val="18"/>
          <w:color w:val="auto"/>
        </w:rPr>
        <w:t>Weighted average HPUs outstanding for basic and diluted earnings per share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15</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Basic and diluted earnings per HPU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180"/>
        <w:spacing w:after="0"/>
        <w:tabs>
          <w:tab w:leader="none" w:pos="7100" w:val="left"/>
          <w:tab w:leader="none" w:pos="8160" w:val="left"/>
          <w:tab w:leader="none" w:pos="8600" w:val="left"/>
          <w:tab w:leader="none" w:pos="9260" w:val="left"/>
          <w:tab w:leader="none" w:pos="10060" w:val="left"/>
          <w:tab w:leader="none" w:pos="10820" w:val="left"/>
        </w:tabs>
        <w:rPr>
          <w:sz w:val="20"/>
          <w:szCs w:val="20"/>
          <w:color w:val="auto"/>
        </w:rPr>
      </w:pPr>
      <w:r>
        <w:rPr>
          <w:rFonts w:ascii="Arial" w:cs="Arial" w:eastAsia="Arial" w:hAnsi="Arial"/>
          <w:sz w:val="18"/>
          <w:szCs w:val="18"/>
          <w:color w:val="auto"/>
        </w:rPr>
        <w:t>Net income (loss) attributable to iStar Inc. and allocable to HPU holders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(120.00)</w:t>
        <w:tab/>
        <w:t>$</w:t>
      </w:r>
      <w:r>
        <w:rPr>
          <w:sz w:val="20"/>
          <w:szCs w:val="20"/>
          <w:color w:val="auto"/>
        </w:rPr>
        <w:tab/>
      </w:r>
      <w:r>
        <w:rPr>
          <w:rFonts w:ascii="Arial" w:cs="Arial" w:eastAsia="Arial" w:hAnsi="Arial"/>
          <w:sz w:val="17"/>
          <w:szCs w:val="17"/>
          <w:color w:val="auto"/>
        </w:rPr>
        <w:t>(75.27)</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3" w:lineRule="exact"/>
        <w:rPr>
          <w:sz w:val="20"/>
          <w:szCs w:val="20"/>
          <w:color w:val="auto"/>
        </w:rPr>
      </w:pPr>
    </w:p>
    <w:p>
      <w:pPr>
        <w:ind w:left="500" w:hanging="492"/>
        <w:spacing w:after="0"/>
        <w:tabs>
          <w:tab w:leader="none" w:pos="5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All of the Company's outstanding HPUs were repurchased and retired on August 13, 2015 (refer to Note 13).</w:t>
      </w:r>
    </w:p>
    <w:p>
      <w:pPr>
        <w:spacing w:after="0" w:line="21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For the years ended December 31, 2016, 2015 and 2014, the following shares were not included in the diluted EPS calculation because they were anti-dilutive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360" w:type="dxa"/>
            <w:vAlign w:val="bottom"/>
            <w:tcBorders>
              <w:bottom w:val="single" w:sz="8" w:color="auto"/>
            </w:tcBorders>
            <w:gridSpan w:val="5"/>
          </w:tcPr>
          <w:p>
            <w:pPr>
              <w:ind w:left="1120"/>
              <w:spacing w:after="0"/>
              <w:rPr>
                <w:sz w:val="20"/>
                <w:szCs w:val="20"/>
                <w:color w:val="auto"/>
              </w:rPr>
            </w:pPr>
            <w:r>
              <w:rPr>
                <w:rFonts w:ascii="Arial" w:cs="Arial" w:eastAsia="Arial" w:hAnsi="Arial"/>
                <w:sz w:val="14"/>
                <w:szCs w:val="14"/>
                <w:b w:val="1"/>
                <w:bCs w:val="1"/>
                <w:color w:val="auto"/>
                <w:w w:val="96"/>
              </w:rPr>
              <w:t>For the Years Ended December 31,</w:t>
            </w:r>
          </w:p>
        </w:tc>
        <w:tc>
          <w:tcPr>
            <w:tcW w:w="98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2016</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r>
              <w:rPr>
                <w:rFonts w:ascii="Arial" w:cs="Arial" w:eastAsia="Arial" w:hAnsi="Arial"/>
                <w:sz w:val="8"/>
                <w:szCs w:val="8"/>
                <w:b w:val="1"/>
                <w:bCs w:val="1"/>
                <w:color w:val="auto"/>
              </w:rPr>
              <w:t>(1)</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Joint venture shares</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3.00% convertible senior unsecured notes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16,992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16,992</w:t>
            </w:r>
          </w:p>
        </w:tc>
      </w:tr>
      <w:tr>
        <w:trPr>
          <w:trHeight w:val="27"/>
        </w:trPr>
        <w:tc>
          <w:tcPr>
            <w:tcW w:w="7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J convertible perpetual preferred stock</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15,635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15,635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1.50% convertible senior unsecured notes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11,567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11,567</w:t>
            </w:r>
          </w:p>
        </w:tc>
      </w:tr>
      <w:tr>
        <w:trPr>
          <w:trHeight w:val="182"/>
        </w:trPr>
        <w:tc>
          <w:tcPr>
            <w:tcW w:w="7080" w:type="dxa"/>
            <w:vAlign w:val="bottom"/>
          </w:tcPr>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r>
    </w:tbl>
    <w:p>
      <w:pPr>
        <w:ind w:left="420" w:hanging="412"/>
        <w:spacing w:after="0"/>
        <w:tabs>
          <w:tab w:leader="none" w:pos="4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For the years ended December 31, 2015 and 2014, the effect of the Company's unvested Units, market-based Units and CSEs were anti-dilutive.</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For the year ended December 31, 2016, the effect of 16 and 125 unvested time and market-based Units, respectively, were anti-dilutive.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16—Fair Values</w:t>
      </w:r>
    </w:p>
    <w:p>
      <w:pPr>
        <w:spacing w:after="0" w:line="189"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Fair value represents the price that would be received to sell an asset or paid to transfer a liability in an orderly transaction between market participants at the measurement date. The following fair value hierarchy prioritizes the inputs to be used in valuation techniques to measure fair value:</w:t>
      </w:r>
    </w:p>
    <w:p>
      <w:pPr>
        <w:spacing w:after="0" w:line="106"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Unadjusted quoted prices in active markets that are accessible at the measurement date for identical, unrestricted assets or liabilities;</w:t>
      </w:r>
    </w:p>
    <w:p>
      <w:pPr>
        <w:spacing w:after="0" w:line="185" w:lineRule="exact"/>
        <w:rPr>
          <w:sz w:val="20"/>
          <w:szCs w:val="20"/>
          <w:color w:val="auto"/>
        </w:rPr>
      </w:pPr>
    </w:p>
    <w:p>
      <w:pPr>
        <w:ind w:left="1460" w:right="20" w:hanging="809"/>
        <w:spacing w:after="0" w:line="277" w:lineRule="auto"/>
        <w:tabs>
          <w:tab w:leader="none" w:pos="1440" w:val="left"/>
        </w:tabs>
        <w:rPr>
          <w:sz w:val="20"/>
          <w:szCs w:val="20"/>
          <w:color w:val="auto"/>
        </w:rPr>
      </w:pPr>
      <w:r>
        <w:rPr>
          <w:rFonts w:ascii="Arial" w:cs="Arial" w:eastAsia="Arial" w:hAnsi="Arial"/>
          <w:sz w:val="18"/>
          <w:szCs w:val="18"/>
          <w:color w:val="auto"/>
        </w:rPr>
        <w:t>Level 2:</w:t>
        <w:tab/>
        <w:t>Quoted prices in markets that are not active, or inputs which are observable, either directly or indirectly, for substantially the full term of the asset or liability; and</w:t>
      </w:r>
    </w:p>
    <w:p>
      <w:pPr>
        <w:spacing w:after="0" w:line="130" w:lineRule="exact"/>
        <w:rPr>
          <w:sz w:val="20"/>
          <w:szCs w:val="20"/>
          <w:color w:val="auto"/>
        </w:rPr>
      </w:pPr>
    </w:p>
    <w:p>
      <w:pPr>
        <w:ind w:left="1460" w:hanging="809"/>
        <w:spacing w:after="0" w:line="277" w:lineRule="auto"/>
        <w:tabs>
          <w:tab w:leader="none" w:pos="1440" w:val="left"/>
        </w:tabs>
        <w:rPr>
          <w:sz w:val="20"/>
          <w:szCs w:val="20"/>
          <w:color w:val="auto"/>
        </w:rPr>
      </w:pPr>
      <w:r>
        <w:rPr>
          <w:rFonts w:ascii="Arial" w:cs="Arial" w:eastAsia="Arial" w:hAnsi="Arial"/>
          <w:sz w:val="18"/>
          <w:szCs w:val="18"/>
          <w:color w:val="auto"/>
        </w:rPr>
        <w:t>Level 3:</w:t>
        <w:tab/>
        <w:t>Prices or valuation techniques that require inputs that are both significant to the fair value measurement and unobservable (i.e., supported by little or no market activity).</w:t>
      </w:r>
    </w:p>
    <w:p>
      <w:pPr>
        <w:spacing w:after="0" w:line="13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Certain of the Company's assets and liabilities are recorded at fair value either on a recurring or non-recurring basis. Assets required to be marked-to-market and reported at fair value every reporting period are classified as being valued on a recurring basis. Assets not required to be recorded at fair value every period may be recorded at fair value if a specific provision or other impairment is recorded within the period to mark the carrying value of the asset to market as of the reporting date. Such assets are classified as being valued on a non-recurring basis.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1" w:right="23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following fair value hierarchy table summarizes the Company's assets and liabilities recorded at fair value on a recurring and non-recurring basis by the above categories ($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Fair Value Using</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Quoted market</w:t>
            </w:r>
          </w:p>
        </w:tc>
        <w:tc>
          <w:tcPr>
            <w:tcW w:w="160" w:type="dxa"/>
            <w:vAlign w:val="bottom"/>
          </w:tcPr>
          <w:p>
            <w:pPr>
              <w:spacing w:after="0"/>
              <w:rPr>
                <w:sz w:val="13"/>
                <w:szCs w:val="13"/>
                <w:color w:val="auto"/>
              </w:rPr>
            </w:pPr>
          </w:p>
        </w:tc>
        <w:tc>
          <w:tcPr>
            <w:tcW w:w="13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Significant other</w:t>
            </w:r>
          </w:p>
        </w:tc>
        <w:tc>
          <w:tcPr>
            <w:tcW w:w="220" w:type="dxa"/>
            <w:vAlign w:val="bottom"/>
          </w:tcPr>
          <w:p>
            <w:pPr>
              <w:spacing w:after="0"/>
              <w:rPr>
                <w:sz w:val="13"/>
                <w:szCs w:val="13"/>
                <w:color w:val="auto"/>
              </w:rPr>
            </w:pPr>
          </w:p>
        </w:tc>
        <w:tc>
          <w:tcPr>
            <w:tcW w:w="1200" w:type="dxa"/>
            <w:vAlign w:val="bottom"/>
          </w:tcPr>
          <w:p>
            <w:pPr>
              <w:jc w:val="center"/>
              <w:ind w:right="136"/>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prices in</w:t>
            </w: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observable</w:t>
            </w:r>
          </w:p>
        </w:tc>
        <w:tc>
          <w:tcPr>
            <w:tcW w:w="220" w:type="dxa"/>
            <w:vAlign w:val="bottom"/>
          </w:tcPr>
          <w:p>
            <w:pPr>
              <w:spacing w:after="0"/>
              <w:rPr>
                <w:sz w:val="12"/>
                <w:szCs w:val="12"/>
                <w:color w:val="auto"/>
              </w:rPr>
            </w:pPr>
          </w:p>
        </w:tc>
        <w:tc>
          <w:tcPr>
            <w:tcW w:w="120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active markets</w:t>
            </w: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inputs</w:t>
            </w:r>
          </w:p>
        </w:tc>
        <w:tc>
          <w:tcPr>
            <w:tcW w:w="220" w:type="dxa"/>
            <w:vAlign w:val="bottom"/>
          </w:tcPr>
          <w:p>
            <w:pPr>
              <w:spacing w:after="0"/>
              <w:rPr>
                <w:sz w:val="12"/>
                <w:szCs w:val="12"/>
                <w:color w:val="auto"/>
              </w:rPr>
            </w:pPr>
          </w:p>
        </w:tc>
        <w:tc>
          <w:tcPr>
            <w:tcW w:w="120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6"/>
                <w:szCs w:val="16"/>
                <w:color w:val="auto"/>
              </w:rPr>
            </w:pPr>
          </w:p>
        </w:tc>
        <w:tc>
          <w:tcPr>
            <w:tcW w:w="1200" w:type="dxa"/>
            <w:vAlign w:val="bottom"/>
          </w:tcPr>
          <w:p>
            <w:pPr>
              <w:jc w:val="center"/>
              <w:ind w:right="136"/>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2016</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Recurring basis: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Derivative assets</w:t>
            </w:r>
            <w:r>
              <w:rPr>
                <w:rFonts w:ascii="Arial" w:cs="Arial" w:eastAsia="Arial" w:hAnsi="Arial"/>
                <w:sz w:val="25"/>
                <w:szCs w:val="25"/>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727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920" w:type="dxa"/>
            <w:vAlign w:val="bottom"/>
          </w:tcPr>
          <w:p>
            <w:pPr>
              <w:ind w:left="180"/>
              <w:spacing w:after="0" w:line="270" w:lineRule="exact"/>
              <w:rPr>
                <w:sz w:val="20"/>
                <w:szCs w:val="20"/>
                <w:color w:val="auto"/>
              </w:rPr>
            </w:pPr>
            <w:r>
              <w:rPr>
                <w:rFonts w:ascii="Arial" w:cs="Arial" w:eastAsia="Arial" w:hAnsi="Arial"/>
                <w:sz w:val="18"/>
                <w:szCs w:val="18"/>
                <w:color w:val="auto"/>
              </w:rPr>
              <w:t>Derivative liabilities</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Available-for-sale securities</w:t>
            </w:r>
            <w:r>
              <w:rPr>
                <w:rFonts w:ascii="Arial" w:cs="Arial" w:eastAsia="Arial" w:hAnsi="Arial"/>
                <w:sz w:val="25"/>
                <w:szCs w:val="25"/>
                <w:color w:val="auto"/>
                <w:vertAlign w:val="superscript"/>
              </w:rPr>
              <w:t>(1)</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21,666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21,666</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Non-recurring basis: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Impaired loans</w:t>
            </w:r>
            <w:r>
              <w:rPr>
                <w:rFonts w:ascii="Arial" w:cs="Arial" w:eastAsia="Arial" w:hAnsi="Arial"/>
                <w:sz w:val="25"/>
                <w:szCs w:val="25"/>
                <w:color w:val="auto"/>
                <w:vertAlign w:val="superscript"/>
              </w:rPr>
              <w:t>(2)</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7,200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7,200</w:t>
            </w:r>
          </w:p>
        </w:tc>
        <w:tc>
          <w:tcPr>
            <w:tcW w:w="0" w:type="dxa"/>
            <w:vAlign w:val="bottom"/>
          </w:tcPr>
          <w:p>
            <w:pPr>
              <w:spacing w:after="0"/>
              <w:rPr>
                <w:sz w:val="1"/>
                <w:szCs w:val="1"/>
                <w:color w:val="auto"/>
              </w:rPr>
            </w:pPr>
          </w:p>
        </w:tc>
      </w:tr>
      <w:tr>
        <w:trPr>
          <w:trHeight w:val="270"/>
        </w:trPr>
        <w:tc>
          <w:tcPr>
            <w:tcW w:w="4920" w:type="dxa"/>
            <w:vAlign w:val="bottom"/>
          </w:tcPr>
          <w:p>
            <w:pPr>
              <w:ind w:left="180"/>
              <w:spacing w:after="0" w:line="270" w:lineRule="exact"/>
              <w:rPr>
                <w:sz w:val="20"/>
                <w:szCs w:val="20"/>
                <w:color w:val="auto"/>
              </w:rPr>
            </w:pPr>
            <w:r>
              <w:rPr>
                <w:rFonts w:ascii="Arial" w:cs="Arial" w:eastAsia="Arial" w:hAnsi="Arial"/>
                <w:sz w:val="18"/>
                <w:szCs w:val="18"/>
                <w:color w:val="auto"/>
              </w:rPr>
              <w:t>Impaired real estate</w:t>
            </w:r>
            <w:r>
              <w:rPr>
                <w:rFonts w:ascii="Arial" w:cs="Arial" w:eastAsia="Arial" w:hAnsi="Arial"/>
                <w:sz w:val="25"/>
                <w:szCs w:val="25"/>
                <w:color w:val="auto"/>
                <w:vertAlign w:val="superscript"/>
              </w:rPr>
              <w:t>(3)</w:t>
            </w:r>
          </w:p>
        </w:tc>
        <w:tc>
          <w:tcPr>
            <w:tcW w:w="3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3,063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3,063</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2015</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Recurring basis: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Derivative assets</w:t>
            </w:r>
            <w:r>
              <w:rPr>
                <w:rFonts w:ascii="Arial" w:cs="Arial" w:eastAsia="Arial" w:hAnsi="Arial"/>
                <w:sz w:val="25"/>
                <w:szCs w:val="25"/>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1,522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1,522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920" w:type="dxa"/>
            <w:vAlign w:val="bottom"/>
          </w:tcPr>
          <w:p>
            <w:pPr>
              <w:ind w:left="180"/>
              <w:spacing w:after="0" w:line="270" w:lineRule="exact"/>
              <w:rPr>
                <w:sz w:val="20"/>
                <w:szCs w:val="20"/>
                <w:color w:val="auto"/>
              </w:rPr>
            </w:pPr>
            <w:r>
              <w:rPr>
                <w:rFonts w:ascii="Arial" w:cs="Arial" w:eastAsia="Arial" w:hAnsi="Arial"/>
                <w:sz w:val="18"/>
                <w:szCs w:val="18"/>
                <w:color w:val="auto"/>
              </w:rPr>
              <w:t>Derivative liabilities</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Available-for-sale securities</w:t>
            </w:r>
            <w:r>
              <w:rPr>
                <w:rFonts w:ascii="Arial" w:cs="Arial" w:eastAsia="Arial" w:hAnsi="Arial"/>
                <w:sz w:val="25"/>
                <w:szCs w:val="25"/>
                <w:color w:val="auto"/>
                <w:vertAlign w:val="superscript"/>
              </w:rPr>
              <w:t>(1)</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1,161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Non-recurring basis: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Impaired loans</w:t>
            </w:r>
            <w:r>
              <w:rPr>
                <w:rFonts w:ascii="Arial" w:cs="Arial" w:eastAsia="Arial" w:hAnsi="Arial"/>
                <w:sz w:val="25"/>
                <w:szCs w:val="25"/>
                <w:color w:val="auto"/>
                <w:vertAlign w:val="superscript"/>
              </w:rPr>
              <w:t>(4)</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8" w:lineRule="exact"/>
        <w:rPr>
          <w:sz w:val="20"/>
          <w:szCs w:val="20"/>
          <w:color w:val="auto"/>
        </w:rPr>
      </w:pPr>
    </w:p>
    <w:p>
      <w:pPr>
        <w:jc w:val="both"/>
        <w:ind w:left="420" w:hanging="412"/>
        <w:spacing w:after="0" w:line="247" w:lineRule="auto"/>
        <w:tabs>
          <w:tab w:leader="none" w:pos="4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fair value of the Company's derivatives are based upon widely accepted valuation techniques utilized by a third-party specialist using observable inputs such as interest rates and contractual cash flow and are classified as Level 2. The fair value of the Company's available-for-sale securities are based upon unadjusted third-party broker quotes and are classified as Level 3.</w:t>
      </w:r>
    </w:p>
    <w:p>
      <w:pPr>
        <w:spacing w:after="0" w:line="1" w:lineRule="exact"/>
        <w:rPr>
          <w:rFonts w:ascii="Arial" w:cs="Arial" w:eastAsia="Arial" w:hAnsi="Arial"/>
          <w:sz w:val="14"/>
          <w:szCs w:val="14"/>
          <w:color w:val="auto"/>
        </w:rPr>
      </w:pPr>
    </w:p>
    <w:p>
      <w:pPr>
        <w:ind w:left="420" w:hanging="412"/>
        <w:spacing w:after="0" w:line="241" w:lineRule="auto"/>
        <w:tabs>
          <w:tab w:leader="none" w:pos="4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Company recorded a provision for loan losses on one loan with a fair value of $5.2 million using an appraisal based on market comparable sales. In addition, the Company recorded a recovery of loan losses on one loan with a fair value of $2.0 million based on proceeds to be received.</w:t>
      </w:r>
    </w:p>
    <w:p>
      <w:pPr>
        <w:ind w:left="420" w:hanging="412"/>
        <w:spacing w:after="0"/>
        <w:tabs>
          <w:tab w:leader="none" w:pos="42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Company recorded an impairment on one real estate asset with a fair value of $3.1 million based on a discount rate of 11% using discounted cash flows over a two year sellout period.</w:t>
      </w:r>
    </w:p>
    <w:p>
      <w:pPr>
        <w:spacing w:after="0" w:line="12" w:lineRule="exact"/>
        <w:rPr>
          <w:rFonts w:ascii="Arial" w:cs="Arial" w:eastAsia="Arial" w:hAnsi="Arial"/>
          <w:sz w:val="13"/>
          <w:szCs w:val="13"/>
          <w:color w:val="auto"/>
        </w:rPr>
      </w:pPr>
    </w:p>
    <w:p>
      <w:pPr>
        <w:ind w:left="420" w:hanging="412"/>
        <w:spacing w:after="0"/>
        <w:tabs>
          <w:tab w:leader="none" w:pos="4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Company recorded a provision for loan losses on one loan with a fair value of $3.2 million based on a discounted cash flow analysis using a discount rate of 14%.</w:t>
      </w:r>
    </w:p>
    <w:p>
      <w:pPr>
        <w:spacing w:after="0" w:line="23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changes in Level 3 available-for-sale securities reported at fair value on the Company's consolidated balance sheets for the years ended December 31, 2016 and 2015 ($ in thousands):</w:t>
      </w:r>
    </w:p>
    <w:p>
      <w:pPr>
        <w:spacing w:after="0" w:line="275"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2015</w:t>
            </w:r>
          </w:p>
        </w:tc>
      </w:tr>
      <w:tr>
        <w:trPr>
          <w:trHeight w:val="27"/>
        </w:trPr>
        <w:tc>
          <w:tcPr>
            <w:tcW w:w="54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14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1,167</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Purchases</w:t>
            </w:r>
          </w:p>
        </w:tc>
        <w:tc>
          <w:tcPr>
            <w:tcW w:w="11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20,240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Repayments</w:t>
            </w:r>
          </w:p>
        </w:tc>
        <w:tc>
          <w:tcPr>
            <w:tcW w:w="1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Unrealized gains recorded in other comprehensive income</w:t>
            </w:r>
          </w:p>
        </w:tc>
        <w:tc>
          <w:tcPr>
            <w:tcW w:w="11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7"/>
        </w:trPr>
        <w:tc>
          <w:tcPr>
            <w:tcW w:w="54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21,666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1,161</w:t>
            </w:r>
          </w:p>
        </w:tc>
      </w:tr>
      <w:tr>
        <w:trPr>
          <w:trHeight w:val="20"/>
        </w:trPr>
        <w:tc>
          <w:tcPr>
            <w:tcW w:w="5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95" w:lineRule="auto"/>
        <w:rPr>
          <w:sz w:val="20"/>
          <w:szCs w:val="20"/>
          <w:color w:val="auto"/>
        </w:rPr>
      </w:pPr>
      <w:r>
        <w:rPr>
          <w:rFonts w:ascii="Arial" w:cs="Arial" w:eastAsia="Arial" w:hAnsi="Arial"/>
          <w:sz w:val="16"/>
          <w:szCs w:val="16"/>
          <w:b w:val="1"/>
          <w:bCs w:val="1"/>
          <w:color w:val="auto"/>
        </w:rPr>
        <w:t>Fair values of financial instruments—</w:t>
      </w:r>
      <w:r>
        <w:rPr>
          <w:rFonts w:ascii="Arial" w:cs="Arial" w:eastAsia="Arial" w:hAnsi="Arial"/>
          <w:sz w:val="16"/>
          <w:szCs w:val="16"/>
          <w:color w:val="auto"/>
        </w:rPr>
        <w:t>The Company's estimated fair values of its loans receivable and other lending investments and outstanding debt</w:t>
      </w:r>
      <w:r>
        <w:rPr>
          <w:rFonts w:ascii="Arial" w:cs="Arial" w:eastAsia="Arial" w:hAnsi="Arial"/>
          <w:sz w:val="16"/>
          <w:szCs w:val="16"/>
          <w:b w:val="1"/>
          <w:bCs w:val="1"/>
          <w:color w:val="auto"/>
        </w:rPr>
        <w:t xml:space="preserve"> </w:t>
      </w:r>
      <w:r>
        <w:rPr>
          <w:rFonts w:ascii="Arial" w:cs="Arial" w:eastAsia="Arial" w:hAnsi="Arial"/>
          <w:sz w:val="16"/>
          <w:szCs w:val="16"/>
          <w:color w:val="auto"/>
        </w:rPr>
        <w:t>was $1.5 billion and $3.6 billion, respectively, as of December 31, 2016 and $1.6 billion and $4.3 billion, respectively, as of December 31, 2015. The Company determined that the significant inputs used to value its loans receivable and other lending investments and debt obligations fall within Level 3 of the fair value hierarchy. The carrying value of other financial instruments including cash and cash equivalents, restricted cash, accrued interest receivable and accounts payable, approximate the fair values of the instruments. Cash and cash equivalents and restricted cash values are considered Level 1 on the fair value hierarchy. The fair value of other financial instruments, including derivative assets and liabilities, are included in the fair value hierarchy table above.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2" w:right="23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Given the nature of certain assets and liabilities, clearly determinable market based valuation inputs are often not available, therefore, these assets and liabilities are valued using internal valuation techniques. Subjectivity exists with respect to these internal valuation techniques, therefore, the fair values disclosed may not ultimately be realized by the Company if the assets were sold or the liabilities were settled with third parties. The methods the Company used to estimate the fair values presented in the table above are described more fully below for each type of asset and liability.</w:t>
      </w:r>
    </w:p>
    <w:p>
      <w:pPr>
        <w:spacing w:after="0" w:line="12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b w:val="1"/>
          <w:bCs w:val="1"/>
          <w:color w:val="auto"/>
        </w:rPr>
        <w:t>Derivatives</w:t>
      </w:r>
      <w:r>
        <w:rPr>
          <w:rFonts w:ascii="Arial" w:cs="Arial" w:eastAsia="Arial" w:hAnsi="Arial"/>
          <w:sz w:val="18"/>
          <w:szCs w:val="18"/>
          <w:color w:val="auto"/>
        </w:rPr>
        <w:t>—The Company uses interest rate swaps, interest rate caps and foreign exchange contracts to manage its interest rate and foreign currency</w:t>
      </w:r>
      <w:r>
        <w:rPr>
          <w:rFonts w:ascii="Arial" w:cs="Arial" w:eastAsia="Arial" w:hAnsi="Arial"/>
          <w:sz w:val="18"/>
          <w:szCs w:val="18"/>
          <w:b w:val="1"/>
          <w:bCs w:val="1"/>
          <w:color w:val="auto"/>
        </w:rPr>
        <w:t xml:space="preserve"> </w:t>
      </w:r>
      <w:r>
        <w:rPr>
          <w:rFonts w:ascii="Arial" w:cs="Arial" w:eastAsia="Arial" w:hAnsi="Arial"/>
          <w:sz w:val="18"/>
          <w:szCs w:val="18"/>
          <w:color w:val="auto"/>
        </w:rPr>
        <w:t>risk. The valuation of these instruments is determined using discounted cash flow analysis on the expected cash flows of each derivative. This analysis reflects the contractual terms of the derivatives, including the period to maturity, and uses observable market-based inputs, including interest rate curves, foreign exchange rates, and implied volatilities. The Company incorporates credit valuation adjustments to appropriately reflect both its own non-performance risk and the respective counterparty's non-performance risk in the fair value measurements. In adjusting the fair value of its derivative contracts for the effect of non-performance risk, the Company has considered the impact of netting and any applicable credit enhancements, such as collateral postings, thresholds, mutual puts and guarantees. The Company has determined that the significant inputs used to value its derivatives fall within Level 2 of the fair value hierarchy.</w:t>
      </w:r>
    </w:p>
    <w:p>
      <w:pPr>
        <w:spacing w:after="0" w:line="14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b w:val="1"/>
          <w:bCs w:val="1"/>
          <w:color w:val="auto"/>
        </w:rPr>
        <w:t>Impaired loans</w:t>
      </w:r>
      <w:r>
        <w:rPr>
          <w:rFonts w:ascii="Arial" w:cs="Arial" w:eastAsia="Arial" w:hAnsi="Arial"/>
          <w:sz w:val="17"/>
          <w:szCs w:val="17"/>
          <w:color w:val="auto"/>
        </w:rPr>
        <w:t>—The Company's loans identified as being impaired are nearly all collateral dependent loans and are evaluated for impairment by</w:t>
      </w:r>
      <w:r>
        <w:rPr>
          <w:rFonts w:ascii="Arial" w:cs="Arial" w:eastAsia="Arial" w:hAnsi="Arial"/>
          <w:sz w:val="17"/>
          <w:szCs w:val="17"/>
          <w:b w:val="1"/>
          <w:bCs w:val="1"/>
          <w:color w:val="auto"/>
        </w:rPr>
        <w:t xml:space="preserve"> </w:t>
      </w:r>
      <w:r>
        <w:rPr>
          <w:rFonts w:ascii="Arial" w:cs="Arial" w:eastAsia="Arial" w:hAnsi="Arial"/>
          <w:sz w:val="17"/>
          <w:szCs w:val="17"/>
          <w:color w:val="auto"/>
        </w:rPr>
        <w:t>comparing the estimated fair value of the underlying collateral, less costs to sell, to the carrying value of each loan. Due to the nature of the individual properties collateralizing the Company's loans, the Company generally uses a discounted cash flow methodology through internally developed valuation models to estimate the fair value of the collateral. This approach requires the Company to make judgments in respect to significant unobservable inputs, which may include discount rates, capitalization rates and the timing and amounts of estimated future cash flows. For income producing properties, cash flows generally include property revenues, operating costs and capital expenditures that are based on current observable market rates and estimates for market rate growth and occupancy levels. For other real estate, cash flows may include lot and unit sales that are based on current observable market rates and estimates for annual revenue growth, operating costs, costs of completion and the inventory sell out pricing and timing. The Company will also consider market comparables if available. In more limited cases, the Company obtains external "as is" appraisals for loan collateral, generally when third party participations exist, and appraised values may be discounted when real estate markets rapidly deteriorate. The Company has determined that significant inputs used in its internal valuation models and appraisals fall within Level 3 of the fair value hierarchy.</w:t>
      </w:r>
    </w:p>
    <w:p>
      <w:pPr>
        <w:spacing w:after="0" w:line="134"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b w:val="1"/>
          <w:bCs w:val="1"/>
          <w:color w:val="auto"/>
        </w:rPr>
        <w:t>Impaired real estate</w:t>
      </w:r>
      <w:r>
        <w:rPr>
          <w:rFonts w:ascii="Arial" w:cs="Arial" w:eastAsia="Arial" w:hAnsi="Arial"/>
          <w:sz w:val="17"/>
          <w:szCs w:val="17"/>
          <w:color w:val="auto"/>
        </w:rPr>
        <w:t>—If the Company determines a real estate asset available and held for sale is impaired, it records an impairment charge to adjust</w:t>
      </w:r>
      <w:r>
        <w:rPr>
          <w:rFonts w:ascii="Arial" w:cs="Arial" w:eastAsia="Arial" w:hAnsi="Arial"/>
          <w:sz w:val="17"/>
          <w:szCs w:val="17"/>
          <w:b w:val="1"/>
          <w:bCs w:val="1"/>
          <w:color w:val="auto"/>
        </w:rPr>
        <w:t xml:space="preserve"> </w:t>
      </w:r>
      <w:r>
        <w:rPr>
          <w:rFonts w:ascii="Arial" w:cs="Arial" w:eastAsia="Arial" w:hAnsi="Arial"/>
          <w:sz w:val="17"/>
          <w:szCs w:val="17"/>
          <w:color w:val="auto"/>
        </w:rPr>
        <w:t>the asset to its estimated fair market value less costs to sell. Due to the nature of individual real estate properties, the Company generally uses a discounted cash flow methodology through internally developed valuation models to estimate the fair value of the assets. This approach requires the Company to make judgments with respect to significant unobservable inputs, which may include discount rates, capitalization rates and the timing and amounts of estimated future cash flows. For income producing properties, cash flows generally include property revenues, operating costs and capital expenditures that are based on current observable market rates and estimates for market rate growth and occupancy levels. For other real estate, cash flows may include lot and unit sales that are based on current observable market rates and estimates for annual market rate growth, operating costs, costs of completion and the inventory sell out pricing and timing. The Company will also consider market comparables if available. In more limited cases, the Company obtains external "as is" appraisals for real estate assets and appraised values may be discounted when real estate markets rapidly deteriorate. The Company has determined that significant inputs used in its internal valuation models and appraisals fall within Level 3 of the fair value hierarchy. Additionally, in certain cases, if the Company is under contract to sell an asset, it will mark the asset to the contracted sales price less costs to sell. The Company considers this to be a Level 3 input under the fair value hierarchy.</w:t>
      </w:r>
    </w:p>
    <w:p>
      <w:pPr>
        <w:spacing w:after="0" w:line="139" w:lineRule="exact"/>
        <w:rPr>
          <w:sz w:val="20"/>
          <w:szCs w:val="20"/>
          <w:color w:val="auto"/>
        </w:rPr>
      </w:pPr>
    </w:p>
    <w:p>
      <w:pPr>
        <w:jc w:val="both"/>
        <w:ind w:firstLine="405"/>
        <w:spacing w:after="0" w:line="298" w:lineRule="auto"/>
        <w:rPr>
          <w:sz w:val="20"/>
          <w:szCs w:val="20"/>
          <w:color w:val="auto"/>
        </w:rPr>
      </w:pPr>
      <w:r>
        <w:rPr>
          <w:rFonts w:ascii="Arial" w:cs="Arial" w:eastAsia="Arial" w:hAnsi="Arial"/>
          <w:sz w:val="16"/>
          <w:szCs w:val="16"/>
          <w:b w:val="1"/>
          <w:bCs w:val="1"/>
          <w:color w:val="auto"/>
        </w:rPr>
        <w:t>Loans receivable and other lending investments</w:t>
      </w:r>
      <w:r>
        <w:rPr>
          <w:rFonts w:ascii="Arial" w:cs="Arial" w:eastAsia="Arial" w:hAnsi="Arial"/>
          <w:sz w:val="16"/>
          <w:szCs w:val="16"/>
          <w:color w:val="auto"/>
        </w:rPr>
        <w:t>—The Company estimates the fair value of its performing loans and other lending investments using</w:t>
      </w:r>
      <w:r>
        <w:rPr>
          <w:rFonts w:ascii="Arial" w:cs="Arial" w:eastAsia="Arial" w:hAnsi="Arial"/>
          <w:sz w:val="16"/>
          <w:szCs w:val="16"/>
          <w:b w:val="1"/>
          <w:bCs w:val="1"/>
          <w:color w:val="auto"/>
        </w:rPr>
        <w:t xml:space="preserve"> </w:t>
      </w:r>
      <w:r>
        <w:rPr>
          <w:rFonts w:ascii="Arial" w:cs="Arial" w:eastAsia="Arial" w:hAnsi="Arial"/>
          <w:sz w:val="16"/>
          <w:szCs w:val="16"/>
          <w:color w:val="auto"/>
        </w:rPr>
        <w:t>a discounted cash flow methodology. This method discounts estimated future cash flows using rates management determines best reflect current market interest rates that would be offered for loans with similar characteristics and credit quality. The Company determined that the significant inputs used to value its loans and other lending investments fall within Level 3 of the fair value hierarchy. For certain lending investments, the Company uses market quotes, to the extent they are available, that fall within Level 2 of the fair value hierarchy or broker quotes that fall within Level 3 of the fair value hierarchy.</w:t>
      </w:r>
    </w:p>
    <w:p>
      <w:pPr>
        <w:spacing w:after="0" w:line="114"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color w:val="auto"/>
        </w:rPr>
        <w:t>Debt obligations, net</w:t>
      </w:r>
      <w:r>
        <w:rPr>
          <w:rFonts w:ascii="Arial" w:cs="Arial" w:eastAsia="Arial" w:hAnsi="Arial"/>
          <w:sz w:val="18"/>
          <w:szCs w:val="18"/>
          <w:color w:val="auto"/>
        </w:rPr>
        <w:t>—For debt obligations traded in secondary markets, the Company uses market quotes, to the extent they are available, to</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 fair value and are considered Level 2 on the fair value hierarchy. For debt obligations not traded in secondary markets, the Company determines fair value using a discounted cash flow methodology, whereby contractual cash flows are discounted at rates that management determines best reflect current market interest rates that would be charged for debt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1" w:right="23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similar characteristics and credit quality. The Company has determined that the inputs used to value its debt obligations under the discounted cash flow methodology fall within Level 3 of the fair value hierarchy.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17—Segment Reporting</w:t>
      </w:r>
    </w:p>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has determined that it has four reportable segments based on how management reviews and manages its business. These reportable segments include: Real Estate Finance, Net Lease, Operating Properties and Land and Development. The Real Estate Finance segment includes all of the Company's activities related to senior and mezzanine real estate loans and real estate related securities. The Net Lease segment includes the Company's activities and operations related to the ownership of properties generally leased to single corporate tenants. The Operating Properties segment includes the Company's activities and operations related to its commercial and residential properties. The Land and Development segment includes the Company's activities related to its developable land portfolio.</w:t>
      </w:r>
    </w:p>
    <w:p>
      <w:pPr>
        <w:spacing w:after="0" w:line="15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evaluates performance based on the following financial measures for each segment. The Company's segment information is as follows ($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Real Estate</w:t>
            </w:r>
          </w:p>
        </w:tc>
        <w:tc>
          <w:tcPr>
            <w:tcW w:w="180" w:type="dxa"/>
            <w:vAlign w:val="bottom"/>
          </w:tcPr>
          <w:p>
            <w:pPr>
              <w:spacing w:after="0"/>
              <w:rPr>
                <w:sz w:val="14"/>
                <w:szCs w:val="14"/>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Net Lease</w:t>
            </w:r>
          </w:p>
        </w:tc>
        <w:tc>
          <w:tcPr>
            <w:tcW w:w="18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Operating</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Land and</w:t>
            </w:r>
          </w:p>
        </w:tc>
        <w:tc>
          <w:tcPr>
            <w:tcW w:w="136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Corporate/Other</w:t>
            </w:r>
            <w:r>
              <w:rPr>
                <w:rFonts w:ascii="Arial" w:cs="Arial" w:eastAsia="Arial" w:hAnsi="Arial"/>
                <w:sz w:val="8"/>
                <w:szCs w:val="8"/>
                <w:b w:val="1"/>
                <w:bCs w:val="1"/>
                <w:color w:val="auto"/>
              </w:rPr>
              <w:t>(1)</w:t>
            </w:r>
          </w:p>
        </w:tc>
        <w:tc>
          <w:tcPr>
            <w:tcW w:w="100" w:type="dxa"/>
            <w:vAlign w:val="bottom"/>
          </w:tcPr>
          <w:p>
            <w:pPr>
              <w:spacing w:after="0"/>
              <w:rPr>
                <w:sz w:val="14"/>
                <w:szCs w:val="14"/>
                <w:color w:val="auto"/>
              </w:rPr>
            </w:pPr>
          </w:p>
        </w:tc>
        <w:tc>
          <w:tcPr>
            <w:tcW w:w="112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4"/>
              </w:rPr>
              <w:t>Company Total</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Finance</w:t>
            </w:r>
          </w:p>
        </w:tc>
        <w:tc>
          <w:tcPr>
            <w:tcW w:w="1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Properties</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Development</w:t>
            </w:r>
          </w:p>
        </w:tc>
        <w:tc>
          <w:tcPr>
            <w:tcW w:w="1360" w:type="dxa"/>
            <w:vAlign w:val="bottom"/>
            <w:tcBorders>
              <w:right w:val="single" w:sz="8" w:color="auto"/>
            </w:tcBorders>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Year Ended December 31, 2016</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Operating lease income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148,002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64,593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213,018</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129,153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129,153</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Other income</w:t>
            </w:r>
          </w:p>
        </w:tc>
        <w:tc>
          <w:tcPr>
            <w:tcW w:w="16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4,658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1,633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33,216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3,170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3,838</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46,515</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 development revenue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88,340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88,340</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Earnings (loss) from equity method investments</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3,567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33,863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30,012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9,907</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77,349</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sales of real estate</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21,138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75,357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8,801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105,296</w:t>
            </w:r>
          </w:p>
        </w:tc>
        <w:tc>
          <w:tcPr>
            <w:tcW w:w="0" w:type="dxa"/>
            <w:vAlign w:val="bottom"/>
          </w:tcPr>
          <w:p>
            <w:pPr>
              <w:spacing w:after="0"/>
              <w:rPr>
                <w:sz w:val="1"/>
                <w:szCs w:val="1"/>
                <w:color w:val="auto"/>
              </w:rPr>
            </w:pPr>
          </w:p>
        </w:tc>
      </w:tr>
      <w:tr>
        <w:trPr>
          <w:trHeight w:val="231"/>
        </w:trPr>
        <w:tc>
          <w:tcPr>
            <w:tcW w:w="3780" w:type="dxa"/>
            <w:vAlign w:val="bottom"/>
          </w:tcPr>
          <w:p>
            <w:pPr>
              <w:ind w:left="200"/>
              <w:spacing w:after="0"/>
              <w:rPr>
                <w:sz w:val="20"/>
                <w:szCs w:val="20"/>
                <w:color w:val="auto"/>
              </w:rPr>
            </w:pPr>
            <w:r>
              <w:rPr>
                <w:rFonts w:ascii="Arial" w:cs="Arial" w:eastAsia="Arial" w:hAnsi="Arial"/>
                <w:sz w:val="16"/>
                <w:szCs w:val="16"/>
                <w:color w:val="auto"/>
              </w:rPr>
              <w:t>Total revenue and other earnings</w:t>
            </w: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133,811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174,340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207,029</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130,746</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13,745</w:t>
            </w:r>
          </w:p>
        </w:tc>
        <w:tc>
          <w:tcPr>
            <w:tcW w:w="140" w:type="dxa"/>
            <w:vAlign w:val="bottom"/>
            <w:tcBorders>
              <w:right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659,671</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 estate expense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(82,401)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(138,422)</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Land development cost of sales</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(62,007)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(62,007)</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(3,164)</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(5,883)</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Allocated interest expense</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(57,787)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(65,880)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(23,156)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(34,888)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(39,687)</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(221,398)</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Allocated general and administrative</w:t>
            </w:r>
            <w:r>
              <w:rPr>
                <w:rFonts w:ascii="Arial" w:cs="Arial" w:eastAsia="Arial" w:hAnsi="Arial"/>
                <w:sz w:val="21"/>
                <w:szCs w:val="21"/>
                <w:color w:val="auto"/>
                <w:vertAlign w:val="superscript"/>
              </w:rPr>
              <w:t>(2)</w:t>
            </w:r>
          </w:p>
        </w:tc>
        <w:tc>
          <w:tcPr>
            <w:tcW w:w="1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(15,311)</w:t>
            </w:r>
          </w:p>
        </w:tc>
        <w:tc>
          <w:tcPr>
            <w:tcW w:w="1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(17,585)</w:t>
            </w: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(6,574)</w:t>
            </w: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(13,693)</w:t>
            </w:r>
          </w:p>
        </w:tc>
        <w:tc>
          <w:tcPr>
            <w:tcW w:w="10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(19,975)</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(73,138)</w:t>
            </w:r>
          </w:p>
        </w:tc>
        <w:tc>
          <w:tcPr>
            <w:tcW w:w="0" w:type="dxa"/>
            <w:vAlign w:val="bottom"/>
          </w:tcPr>
          <w:p>
            <w:pPr>
              <w:spacing w:after="0"/>
              <w:rPr>
                <w:sz w:val="1"/>
                <w:szCs w:val="1"/>
                <w:color w:val="auto"/>
              </w:rPr>
            </w:pPr>
          </w:p>
        </w:tc>
      </w:tr>
      <w:tr>
        <w:trPr>
          <w:trHeight w:val="290"/>
        </w:trPr>
        <w:tc>
          <w:tcPr>
            <w:tcW w:w="3780" w:type="dxa"/>
            <w:vAlign w:val="bottom"/>
          </w:tcPr>
          <w:p>
            <w:pPr>
              <w:ind w:left="280"/>
              <w:spacing w:after="0"/>
              <w:rPr>
                <w:sz w:val="20"/>
                <w:szCs w:val="20"/>
                <w:color w:val="auto"/>
              </w:rPr>
            </w:pPr>
            <w:r>
              <w:rPr>
                <w:rFonts w:ascii="Arial" w:cs="Arial" w:eastAsia="Arial" w:hAnsi="Arial"/>
                <w:sz w:val="16"/>
                <w:szCs w:val="16"/>
                <w:b w:val="1"/>
                <w:bCs w:val="1"/>
                <w:color w:val="auto"/>
              </w:rPr>
              <w:t xml:space="preserve">Segment profit (loss) </w:t>
            </w:r>
            <w:r>
              <w:rPr>
                <w:rFonts w:ascii="Arial" w:cs="Arial" w:eastAsia="Arial" w:hAnsi="Arial"/>
                <w:sz w:val="21"/>
                <w:szCs w:val="21"/>
                <w:b w:val="1"/>
                <w:bCs w:val="1"/>
                <w:color w:val="auto"/>
                <w:vertAlign w:val="superscript"/>
              </w:rPr>
              <w:t>(3)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57,994</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71,817</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94,898</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(16,805)</w:t>
            </w:r>
          </w:p>
        </w:tc>
        <w:tc>
          <w:tcPr>
            <w:tcW w:w="100" w:type="dxa"/>
            <w:vAlign w:val="bottom"/>
          </w:tcPr>
          <w:p>
            <w:pPr>
              <w:spacing w:after="0"/>
              <w:rPr>
                <w:sz w:val="24"/>
                <w:szCs w:val="24"/>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(49,081)</w:t>
            </w:r>
          </w:p>
        </w:tc>
        <w:tc>
          <w:tcPr>
            <w:tcW w:w="140" w:type="dxa"/>
            <w:vAlign w:val="bottom"/>
            <w:tcBorders>
              <w:right w:val="single" w:sz="8" w:color="auto"/>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158,823</w:t>
            </w:r>
          </w:p>
        </w:tc>
        <w:tc>
          <w:tcPr>
            <w:tcW w:w="0" w:type="dxa"/>
            <w:vAlign w:val="bottom"/>
          </w:tcPr>
          <w:p>
            <w:pPr>
              <w:spacing w:after="0"/>
              <w:rPr>
                <w:sz w:val="1"/>
                <w:szCs w:val="1"/>
                <w:color w:val="auto"/>
              </w:rPr>
            </w:pPr>
          </w:p>
        </w:tc>
      </w:tr>
      <w:tr>
        <w:trPr>
          <w:trHeight w:val="231"/>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significant non-cash items:</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200"/>
              <w:spacing w:after="0"/>
              <w:rPr>
                <w:sz w:val="20"/>
                <w:szCs w:val="20"/>
                <w:color w:val="auto"/>
              </w:rPr>
            </w:pPr>
            <w:r>
              <w:rPr>
                <w:rFonts w:ascii="Arial" w:cs="Arial" w:eastAsia="Arial" w:hAnsi="Arial"/>
                <w:sz w:val="16"/>
                <w:szCs w:val="16"/>
                <w:color w:val="auto"/>
              </w:rPr>
              <w:t>Recovery of loan losses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(12,514)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(12,514)</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Impairment of assets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14,484</w:t>
            </w:r>
          </w:p>
        </w:tc>
        <w:tc>
          <w:tcPr>
            <w:tcW w:w="0" w:type="dxa"/>
            <w:vAlign w:val="bottom"/>
          </w:tcPr>
          <w:p>
            <w:pPr>
              <w:spacing w:after="0"/>
              <w:rPr>
                <w:sz w:val="1"/>
                <w:szCs w:val="1"/>
                <w:color w:val="auto"/>
              </w:rPr>
            </w:pPr>
          </w:p>
        </w:tc>
      </w:tr>
      <w:tr>
        <w:trPr>
          <w:trHeight w:val="237"/>
        </w:trPr>
        <w:tc>
          <w:tcPr>
            <w:tcW w:w="378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34,049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17,887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1,296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1,097</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54,329</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Capitalized expenditures</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3,667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56,784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109,548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169,999</w:t>
            </w:r>
          </w:p>
        </w:tc>
        <w:tc>
          <w:tcPr>
            <w:tcW w:w="0" w:type="dxa"/>
            <w:vAlign w:val="bottom"/>
          </w:tcPr>
          <w:p>
            <w:pPr>
              <w:spacing w:after="0"/>
              <w:rPr>
                <w:sz w:val="1"/>
                <w:szCs w:val="1"/>
                <w:color w:val="auto"/>
              </w:rPr>
            </w:pPr>
          </w:p>
        </w:tc>
      </w:tr>
      <w:tr>
        <w:trPr>
          <w:trHeight w:val="33"/>
        </w:trPr>
        <w:tc>
          <w:tcPr>
            <w:tcW w:w="37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1420"/>
          </w:cols>
          <w:pgMar w:left="240" w:top="121" w:right="23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Real Estate</w:t>
            </w:r>
          </w:p>
        </w:tc>
        <w:tc>
          <w:tcPr>
            <w:tcW w:w="180" w:type="dxa"/>
            <w:vAlign w:val="bottom"/>
          </w:tcPr>
          <w:p>
            <w:pPr>
              <w:spacing w:after="0"/>
              <w:rPr>
                <w:sz w:val="14"/>
                <w:szCs w:val="14"/>
                <w:color w:val="auto"/>
              </w:rPr>
            </w:pPr>
          </w:p>
        </w:tc>
        <w:tc>
          <w:tcPr>
            <w:tcW w:w="10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9"/>
              </w:rPr>
              <w:t>Net Lease</w:t>
            </w: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Operating</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Land and</w:t>
            </w:r>
          </w:p>
        </w:tc>
        <w:tc>
          <w:tcPr>
            <w:tcW w:w="136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Corporate/Other</w:t>
            </w:r>
            <w:r>
              <w:rPr>
                <w:rFonts w:ascii="Arial" w:cs="Arial" w:eastAsia="Arial" w:hAnsi="Arial"/>
                <w:sz w:val="8"/>
                <w:szCs w:val="8"/>
                <w:b w:val="1"/>
                <w:bCs w:val="1"/>
                <w:color w:val="auto"/>
              </w:rPr>
              <w:t>(1)</w:t>
            </w:r>
          </w:p>
        </w:tc>
        <w:tc>
          <w:tcPr>
            <w:tcW w:w="120" w:type="dxa"/>
            <w:vAlign w:val="bottom"/>
          </w:tcPr>
          <w:p>
            <w:pPr>
              <w:spacing w:after="0"/>
              <w:rPr>
                <w:sz w:val="14"/>
                <w:szCs w:val="14"/>
                <w:color w:val="auto"/>
              </w:rPr>
            </w:pPr>
          </w:p>
        </w:tc>
        <w:tc>
          <w:tcPr>
            <w:tcW w:w="112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2"/>
              </w:rPr>
              <w:t>Company Total</w:t>
            </w:r>
          </w:p>
        </w:tc>
        <w:tc>
          <w:tcPr>
            <w:tcW w:w="0" w:type="dxa"/>
            <w:vAlign w:val="bottom"/>
          </w:tcPr>
          <w:p>
            <w:pPr>
              <w:spacing w:after="0"/>
              <w:rPr>
                <w:sz w:val="1"/>
                <w:szCs w:val="1"/>
                <w:color w:val="auto"/>
              </w:rPr>
            </w:pPr>
          </w:p>
        </w:tc>
      </w:tr>
      <w:tr>
        <w:trPr>
          <w:trHeight w:val="192"/>
        </w:trPr>
        <w:tc>
          <w:tcPr>
            <w:tcW w:w="3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Finance</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Properties</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Development</w:t>
            </w:r>
          </w:p>
        </w:tc>
        <w:tc>
          <w:tcPr>
            <w:tcW w:w="1360" w:type="dxa"/>
            <w:vAlign w:val="bottom"/>
            <w:tcBorders>
              <w:right w:val="single" w:sz="8" w:color="auto"/>
            </w:tcBorders>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Year Ended December 31, 2015</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40" w:type="dxa"/>
            <w:vAlign w:val="bottom"/>
          </w:tcPr>
          <w:p>
            <w:pPr>
              <w:ind w:left="40"/>
              <w:spacing w:after="0"/>
              <w:rPr>
                <w:sz w:val="20"/>
                <w:szCs w:val="20"/>
                <w:color w:val="auto"/>
              </w:rPr>
            </w:pPr>
            <w:r>
              <w:rPr>
                <w:rFonts w:ascii="Arial" w:cs="Arial" w:eastAsia="Arial" w:hAnsi="Arial"/>
                <w:sz w:val="16"/>
                <w:szCs w:val="16"/>
                <w:color w:val="auto"/>
              </w:rPr>
              <w:t>Operating lease income</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8"/>
              <w:spacing w:after="0"/>
              <w:rPr>
                <w:sz w:val="20"/>
                <w:szCs w:val="20"/>
                <w:color w:val="auto"/>
              </w:rPr>
            </w:pPr>
            <w:r>
              <w:rPr>
                <w:rFonts w:ascii="Arial" w:cs="Arial" w:eastAsia="Arial" w:hAnsi="Arial"/>
                <w:sz w:val="16"/>
                <w:szCs w:val="16"/>
                <w:color w:val="auto"/>
              </w:rPr>
              <w:t>151,481</w:t>
            </w:r>
          </w:p>
        </w:tc>
        <w:tc>
          <w:tcPr>
            <w:tcW w:w="10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77,454</w:t>
            </w:r>
          </w:p>
        </w:tc>
        <w:tc>
          <w:tcPr>
            <w:tcW w:w="10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785</w:t>
            </w:r>
          </w:p>
        </w:tc>
        <w:tc>
          <w:tcPr>
            <w:tcW w:w="100" w:type="dxa"/>
            <w:vAlign w:val="bottom"/>
          </w:tcPr>
          <w:p>
            <w:pPr>
              <w:spacing w:after="0"/>
              <w:rPr>
                <w:sz w:val="20"/>
                <w:szCs w:val="20"/>
                <w:color w:val="auto"/>
              </w:rPr>
            </w:pPr>
          </w:p>
        </w:tc>
        <w:tc>
          <w:tcPr>
            <w:tcW w:w="340" w:type="dxa"/>
            <w:vAlign w:val="bottom"/>
          </w:tcPr>
          <w:p>
            <w:pPr>
              <w:ind w:left="40"/>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229,720</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134,687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134,687</w:t>
            </w:r>
          </w:p>
        </w:tc>
        <w:tc>
          <w:tcPr>
            <w:tcW w:w="0" w:type="dxa"/>
            <w:vAlign w:val="bottom"/>
          </w:tcPr>
          <w:p>
            <w:pPr>
              <w:spacing w:after="0"/>
              <w:rPr>
                <w:sz w:val="1"/>
                <w:szCs w:val="1"/>
                <w:color w:val="auto"/>
              </w:rPr>
            </w:pPr>
          </w:p>
        </w:tc>
      </w:tr>
      <w:tr>
        <w:trPr>
          <w:trHeight w:val="237"/>
        </w:trPr>
        <w:tc>
          <w:tcPr>
            <w:tcW w:w="3740" w:type="dxa"/>
            <w:vAlign w:val="bottom"/>
          </w:tcPr>
          <w:p>
            <w:pPr>
              <w:ind w:left="40"/>
              <w:spacing w:after="0"/>
              <w:rPr>
                <w:sz w:val="20"/>
                <w:szCs w:val="20"/>
                <w:color w:val="auto"/>
              </w:rPr>
            </w:pPr>
            <w:r>
              <w:rPr>
                <w:rFonts w:ascii="Arial" w:cs="Arial" w:eastAsia="Arial" w:hAnsi="Arial"/>
                <w:sz w:val="16"/>
                <w:szCs w:val="16"/>
                <w:color w:val="auto"/>
              </w:rPr>
              <w:t>Other income</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9,737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8"/>
              <w:spacing w:after="0"/>
              <w:rPr>
                <w:sz w:val="20"/>
                <w:szCs w:val="20"/>
                <w:color w:val="auto"/>
              </w:rPr>
            </w:pPr>
            <w:r>
              <w:rPr>
                <w:rFonts w:ascii="Arial" w:cs="Arial" w:eastAsia="Arial" w:hAnsi="Arial"/>
                <w:sz w:val="16"/>
                <w:szCs w:val="16"/>
                <w:color w:val="auto"/>
              </w:rPr>
              <w:t>357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34,637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1,219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38"/>
              <w:spacing w:after="0"/>
              <w:rPr>
                <w:sz w:val="20"/>
                <w:szCs w:val="20"/>
                <w:color w:val="auto"/>
              </w:rPr>
            </w:pPr>
            <w:r>
              <w:rPr>
                <w:rFonts w:ascii="Arial" w:cs="Arial" w:eastAsia="Arial" w:hAnsi="Arial"/>
                <w:sz w:val="16"/>
                <w:szCs w:val="16"/>
                <w:color w:val="auto"/>
              </w:rPr>
              <w:t>3,981</w:t>
            </w: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49,931</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 development revenue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100,216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100,216</w:t>
            </w:r>
          </w:p>
        </w:tc>
        <w:tc>
          <w:tcPr>
            <w:tcW w:w="0" w:type="dxa"/>
            <w:vAlign w:val="bottom"/>
          </w:tcPr>
          <w:p>
            <w:pPr>
              <w:spacing w:after="0"/>
              <w:rPr>
                <w:sz w:val="1"/>
                <w:szCs w:val="1"/>
                <w:color w:val="auto"/>
              </w:rPr>
            </w:pPr>
          </w:p>
        </w:tc>
      </w:tr>
      <w:tr>
        <w:trPr>
          <w:trHeight w:val="237"/>
        </w:trPr>
        <w:tc>
          <w:tcPr>
            <w:tcW w:w="3740" w:type="dxa"/>
            <w:vAlign w:val="bottom"/>
          </w:tcPr>
          <w:p>
            <w:pPr>
              <w:ind w:left="40"/>
              <w:spacing w:after="0"/>
              <w:rPr>
                <w:sz w:val="20"/>
                <w:szCs w:val="20"/>
                <w:color w:val="auto"/>
              </w:rPr>
            </w:pPr>
            <w:r>
              <w:rPr>
                <w:rFonts w:ascii="Arial" w:cs="Arial" w:eastAsia="Arial" w:hAnsi="Arial"/>
                <w:sz w:val="16"/>
                <w:szCs w:val="16"/>
                <w:color w:val="auto"/>
              </w:rPr>
              <w:t>Earnings (loss) from equity method investments</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ind w:right="38"/>
              <w:spacing w:after="0"/>
              <w:rPr>
                <w:sz w:val="20"/>
                <w:szCs w:val="20"/>
                <w:color w:val="auto"/>
              </w:rPr>
            </w:pPr>
            <w:r>
              <w:rPr>
                <w:rFonts w:ascii="Arial" w:cs="Arial" w:eastAsia="Arial" w:hAnsi="Arial"/>
                <w:sz w:val="16"/>
                <w:szCs w:val="16"/>
                <w:color w:val="auto"/>
              </w:rPr>
              <w:t>5,221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1,663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16,683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38"/>
              <w:spacing w:after="0"/>
              <w:rPr>
                <w:sz w:val="20"/>
                <w:szCs w:val="20"/>
                <w:color w:val="auto"/>
              </w:rPr>
            </w:pPr>
            <w:r>
              <w:rPr>
                <w:rFonts w:ascii="Arial" w:cs="Arial" w:eastAsia="Arial" w:hAnsi="Arial"/>
                <w:sz w:val="16"/>
                <w:szCs w:val="16"/>
                <w:color w:val="auto"/>
              </w:rPr>
              <w:t>8,586</w:t>
            </w: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32,153</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sales of real estate</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40,082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53,734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93,816</w:t>
            </w:r>
          </w:p>
        </w:tc>
        <w:tc>
          <w:tcPr>
            <w:tcW w:w="0" w:type="dxa"/>
            <w:vAlign w:val="bottom"/>
          </w:tcPr>
          <w:p>
            <w:pPr>
              <w:spacing w:after="0"/>
              <w:rPr>
                <w:sz w:val="1"/>
                <w:szCs w:val="1"/>
                <w:color w:val="auto"/>
              </w:rPr>
            </w:pPr>
          </w:p>
        </w:tc>
      </w:tr>
      <w:tr>
        <w:trPr>
          <w:trHeight w:val="217"/>
        </w:trPr>
        <w:tc>
          <w:tcPr>
            <w:tcW w:w="3740" w:type="dxa"/>
            <w:vAlign w:val="bottom"/>
          </w:tcPr>
          <w:p>
            <w:pPr>
              <w:ind w:left="200"/>
              <w:spacing w:after="0"/>
              <w:rPr>
                <w:sz w:val="20"/>
                <w:szCs w:val="20"/>
                <w:color w:val="auto"/>
              </w:rPr>
            </w:pPr>
            <w:r>
              <w:rPr>
                <w:rFonts w:ascii="Arial" w:cs="Arial" w:eastAsia="Arial" w:hAnsi="Arial"/>
                <w:sz w:val="16"/>
                <w:szCs w:val="16"/>
                <w:color w:val="auto"/>
              </w:rPr>
              <w:t>Total revenue and other earnings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144,424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197,141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167,488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118,903</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12,567</w:t>
            </w:r>
          </w:p>
        </w:tc>
        <w:tc>
          <w:tcPr>
            <w:tcW w:w="140" w:type="dxa"/>
            <w:vAlign w:val="bottom"/>
            <w:tcBorders>
              <w:right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640,523</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 estate expense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(95,888)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(146,750)</w:t>
            </w:r>
          </w:p>
        </w:tc>
        <w:tc>
          <w:tcPr>
            <w:tcW w:w="0" w:type="dxa"/>
            <w:vAlign w:val="bottom"/>
          </w:tcPr>
          <w:p>
            <w:pPr>
              <w:spacing w:after="0"/>
              <w:rPr>
                <w:sz w:val="1"/>
                <w:szCs w:val="1"/>
                <w:color w:val="auto"/>
              </w:rPr>
            </w:pPr>
          </w:p>
        </w:tc>
      </w:tr>
      <w:tr>
        <w:trPr>
          <w:trHeight w:val="237"/>
        </w:trPr>
        <w:tc>
          <w:tcPr>
            <w:tcW w:w="3740" w:type="dxa"/>
            <w:vAlign w:val="bottom"/>
          </w:tcPr>
          <w:p>
            <w:pPr>
              <w:ind w:left="40"/>
              <w:spacing w:after="0"/>
              <w:rPr>
                <w:sz w:val="20"/>
                <w:szCs w:val="20"/>
                <w:color w:val="auto"/>
              </w:rPr>
            </w:pPr>
            <w:r>
              <w:rPr>
                <w:rFonts w:ascii="Arial" w:cs="Arial" w:eastAsia="Arial" w:hAnsi="Arial"/>
                <w:sz w:val="16"/>
                <w:szCs w:val="16"/>
                <w:color w:val="auto"/>
              </w:rPr>
              <w:t>Land development cost of sales</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(67,382)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(67,382)</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(6,374)</w:t>
            </w:r>
          </w:p>
        </w:tc>
        <w:tc>
          <w:tcPr>
            <w:tcW w:w="0" w:type="dxa"/>
            <w:vAlign w:val="bottom"/>
          </w:tcPr>
          <w:p>
            <w:pPr>
              <w:spacing w:after="0"/>
              <w:rPr>
                <w:sz w:val="1"/>
                <w:szCs w:val="1"/>
                <w:color w:val="auto"/>
              </w:rPr>
            </w:pPr>
          </w:p>
        </w:tc>
      </w:tr>
      <w:tr>
        <w:trPr>
          <w:trHeight w:val="237"/>
        </w:trPr>
        <w:tc>
          <w:tcPr>
            <w:tcW w:w="3740" w:type="dxa"/>
            <w:vAlign w:val="bottom"/>
          </w:tcPr>
          <w:p>
            <w:pPr>
              <w:ind w:left="40"/>
              <w:spacing w:after="0"/>
              <w:rPr>
                <w:sz w:val="20"/>
                <w:szCs w:val="20"/>
                <w:color w:val="auto"/>
              </w:rPr>
            </w:pPr>
            <w:r>
              <w:rPr>
                <w:rFonts w:ascii="Arial" w:cs="Arial" w:eastAsia="Arial" w:hAnsi="Arial"/>
                <w:sz w:val="16"/>
                <w:szCs w:val="16"/>
                <w:color w:val="auto"/>
              </w:rPr>
              <w:t>Allocated interest expense</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(57,109)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(66,504)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(32,087)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(40,925)</w:t>
            </w: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(224,639)</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Allocated general and administrative</w:t>
            </w:r>
            <w:r>
              <w:rPr>
                <w:rFonts w:ascii="Arial" w:cs="Arial" w:eastAsia="Arial" w:hAnsi="Arial"/>
                <w:sz w:val="21"/>
                <w:szCs w:val="21"/>
                <w:color w:val="auto"/>
                <w:vertAlign w:val="superscript"/>
              </w:rPr>
              <w:t>(2)</w:t>
            </w: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(13,128)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(15,569)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(11,488)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(22,091)</w:t>
            </w:r>
          </w:p>
        </w:tc>
        <w:tc>
          <w:tcPr>
            <w:tcW w:w="140" w:type="dxa"/>
            <w:vAlign w:val="bottom"/>
            <w:tcBorders>
              <w:right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(69,264)</w:t>
            </w:r>
          </w:p>
        </w:tc>
        <w:tc>
          <w:tcPr>
            <w:tcW w:w="0" w:type="dxa"/>
            <w:vAlign w:val="bottom"/>
          </w:tcPr>
          <w:p>
            <w:pPr>
              <w:spacing w:after="0"/>
              <w:rPr>
                <w:sz w:val="1"/>
                <w:szCs w:val="1"/>
                <w:color w:val="auto"/>
              </w:rPr>
            </w:pPr>
          </w:p>
        </w:tc>
      </w:tr>
      <w:tr>
        <w:trPr>
          <w:trHeight w:val="304"/>
        </w:trPr>
        <w:tc>
          <w:tcPr>
            <w:tcW w:w="3740" w:type="dxa"/>
            <w:vAlign w:val="bottom"/>
            <w:tcBorders>
              <w:bottom w:val="single" w:sz="8" w:color="CCEEFF"/>
            </w:tcBorders>
          </w:tcPr>
          <w:p>
            <w:pPr>
              <w:ind w:left="280"/>
              <w:spacing w:after="0"/>
              <w:rPr>
                <w:sz w:val="20"/>
                <w:szCs w:val="20"/>
                <w:color w:val="auto"/>
              </w:rPr>
            </w:pPr>
            <w:r>
              <w:rPr>
                <w:rFonts w:ascii="Arial" w:cs="Arial" w:eastAsia="Arial" w:hAnsi="Arial"/>
                <w:sz w:val="16"/>
                <w:szCs w:val="16"/>
                <w:b w:val="1"/>
                <w:bCs w:val="1"/>
                <w:color w:val="auto"/>
              </w:rPr>
              <w:t xml:space="preserve">Segment profit (loss) </w:t>
            </w:r>
            <w:r>
              <w:rPr>
                <w:rFonts w:ascii="Arial" w:cs="Arial" w:eastAsia="Arial" w:hAnsi="Arial"/>
                <w:sz w:val="21"/>
                <w:szCs w:val="21"/>
                <w:b w:val="1"/>
                <w:bCs w:val="1"/>
                <w:color w:val="auto"/>
                <w:vertAlign w:val="superscript"/>
              </w:rPr>
              <w:t>(3)</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71,896</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93,213</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36,598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(54,532)</w:t>
            </w:r>
          </w:p>
        </w:tc>
        <w:tc>
          <w:tcPr>
            <w:tcW w:w="140" w:type="dxa"/>
            <w:vAlign w:val="bottom"/>
            <w:tcBorders>
              <w:bottom w:val="single" w:sz="8" w:color="CCEEFF"/>
              <w:right w:val="single" w:sz="8" w:color="auto"/>
            </w:tcBorders>
          </w:tcPr>
          <w:p>
            <w:pPr>
              <w:spacing w:after="0"/>
              <w:rPr>
                <w:sz w:val="24"/>
                <w:szCs w:val="24"/>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126,114</w:t>
            </w:r>
          </w:p>
        </w:tc>
        <w:tc>
          <w:tcPr>
            <w:tcW w:w="0" w:type="dxa"/>
            <w:vAlign w:val="bottom"/>
          </w:tcPr>
          <w:p>
            <w:pPr>
              <w:spacing w:after="0"/>
              <w:rPr>
                <w:sz w:val="1"/>
                <w:szCs w:val="1"/>
                <w:color w:val="auto"/>
              </w:rPr>
            </w:pPr>
          </w:p>
        </w:tc>
      </w:tr>
      <w:tr>
        <w:trPr>
          <w:trHeight w:val="217"/>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significant non-cash items:</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right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740" w:type="dxa"/>
            <w:vAlign w:val="bottom"/>
          </w:tcPr>
          <w:p>
            <w:pPr>
              <w:ind w:left="200"/>
              <w:spacing w:after="0"/>
              <w:rPr>
                <w:sz w:val="20"/>
                <w:szCs w:val="20"/>
                <w:color w:val="auto"/>
              </w:rPr>
            </w:pPr>
            <w:r>
              <w:rPr>
                <w:rFonts w:ascii="Arial" w:cs="Arial" w:eastAsia="Arial" w:hAnsi="Arial"/>
                <w:sz w:val="16"/>
                <w:szCs w:val="16"/>
                <w:color w:val="auto"/>
              </w:rPr>
              <w:t>Provision for loan losses</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36,567</w:t>
            </w:r>
          </w:p>
        </w:tc>
        <w:tc>
          <w:tcPr>
            <w:tcW w:w="12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ind w:left="40"/>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36,567</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Impairment of assets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10,524</w:t>
            </w:r>
          </w:p>
        </w:tc>
        <w:tc>
          <w:tcPr>
            <w:tcW w:w="0" w:type="dxa"/>
            <w:vAlign w:val="bottom"/>
          </w:tcPr>
          <w:p>
            <w:pPr>
              <w:spacing w:after="0"/>
              <w:rPr>
                <w:sz w:val="1"/>
                <w:szCs w:val="1"/>
                <w:color w:val="auto"/>
              </w:rPr>
            </w:pPr>
          </w:p>
        </w:tc>
      </w:tr>
      <w:tr>
        <w:trPr>
          <w:trHeight w:val="237"/>
        </w:trPr>
        <w:tc>
          <w:tcPr>
            <w:tcW w:w="374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ind w:right="38"/>
              <w:spacing w:after="0"/>
              <w:rPr>
                <w:sz w:val="20"/>
                <w:szCs w:val="20"/>
                <w:color w:val="auto"/>
              </w:rPr>
            </w:pPr>
            <w:r>
              <w:rPr>
                <w:rFonts w:ascii="Arial" w:cs="Arial" w:eastAsia="Arial" w:hAnsi="Arial"/>
                <w:sz w:val="16"/>
                <w:szCs w:val="16"/>
                <w:color w:val="auto"/>
              </w:rPr>
              <w:t>38,138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24,548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1,422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38"/>
              <w:spacing w:after="0"/>
              <w:rPr>
                <w:sz w:val="20"/>
                <w:szCs w:val="20"/>
                <w:color w:val="auto"/>
              </w:rPr>
            </w:pPr>
            <w:r>
              <w:rPr>
                <w:rFonts w:ascii="Arial" w:cs="Arial" w:eastAsia="Arial" w:hAnsi="Arial"/>
                <w:sz w:val="16"/>
                <w:szCs w:val="16"/>
                <w:color w:val="auto"/>
              </w:rPr>
              <w:t>1,139</w:t>
            </w: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65,247</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Capitalized expenditures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4,195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84,103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94,971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183,269</w:t>
            </w:r>
          </w:p>
        </w:tc>
        <w:tc>
          <w:tcPr>
            <w:tcW w:w="0" w:type="dxa"/>
            <w:vAlign w:val="bottom"/>
          </w:tcPr>
          <w:p>
            <w:pPr>
              <w:spacing w:after="0"/>
              <w:rPr>
                <w:sz w:val="1"/>
                <w:szCs w:val="1"/>
                <w:color w:val="auto"/>
              </w:rPr>
            </w:pPr>
          </w:p>
        </w:tc>
      </w:tr>
      <w:tr>
        <w:trPr>
          <w:trHeight w:val="459"/>
        </w:trPr>
        <w:tc>
          <w:tcPr>
            <w:tcW w:w="3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98"/>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Real Estate</w:t>
            </w:r>
          </w:p>
        </w:tc>
        <w:tc>
          <w:tcPr>
            <w:tcW w:w="180" w:type="dxa"/>
            <w:vAlign w:val="bottom"/>
          </w:tcPr>
          <w:p>
            <w:pPr>
              <w:spacing w:after="0"/>
              <w:rPr>
                <w:sz w:val="14"/>
                <w:szCs w:val="14"/>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Net Lease</w:t>
            </w:r>
          </w:p>
        </w:tc>
        <w:tc>
          <w:tcPr>
            <w:tcW w:w="18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Operating</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Land and</w:t>
            </w:r>
          </w:p>
        </w:tc>
        <w:tc>
          <w:tcPr>
            <w:tcW w:w="136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Corporate/Other</w:t>
            </w:r>
            <w:r>
              <w:rPr>
                <w:rFonts w:ascii="Arial" w:cs="Arial" w:eastAsia="Arial" w:hAnsi="Arial"/>
                <w:sz w:val="8"/>
                <w:szCs w:val="8"/>
                <w:b w:val="1"/>
                <w:bCs w:val="1"/>
                <w:color w:val="auto"/>
              </w:rPr>
              <w:t>(1)</w:t>
            </w:r>
          </w:p>
        </w:tc>
        <w:tc>
          <w:tcPr>
            <w:tcW w:w="100" w:type="dxa"/>
            <w:vAlign w:val="bottom"/>
          </w:tcPr>
          <w:p>
            <w:pPr>
              <w:spacing w:after="0"/>
              <w:rPr>
                <w:sz w:val="14"/>
                <w:szCs w:val="14"/>
                <w:color w:val="auto"/>
              </w:rPr>
            </w:pPr>
          </w:p>
        </w:tc>
        <w:tc>
          <w:tcPr>
            <w:tcW w:w="112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4"/>
              </w:rPr>
              <w:t>Company Total</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Finance</w:t>
            </w:r>
          </w:p>
        </w:tc>
        <w:tc>
          <w:tcPr>
            <w:tcW w:w="1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Properties</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Development</w:t>
            </w:r>
          </w:p>
        </w:tc>
        <w:tc>
          <w:tcPr>
            <w:tcW w:w="1360" w:type="dxa"/>
            <w:vAlign w:val="bottom"/>
            <w:tcBorders>
              <w:right w:val="single" w:sz="8" w:color="auto"/>
            </w:tcBorders>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37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Year Ended December 31, 2014</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Operating lease income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151,934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90,331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835</w:t>
            </w:r>
          </w:p>
        </w:tc>
        <w:tc>
          <w:tcPr>
            <w:tcW w:w="10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243,100</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122,704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122,704</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Other income</w:t>
            </w:r>
          </w:p>
        </w:tc>
        <w:tc>
          <w:tcPr>
            <w:tcW w:w="16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21,217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4,437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42,000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3,327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10,052</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81,033</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 development revenue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15,191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15,191</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Earnings (loss) from equity method investments</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3,260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1,669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14,966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75,010</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94,905</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sales of real estate</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83,737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89,943</w:t>
            </w:r>
          </w:p>
        </w:tc>
        <w:tc>
          <w:tcPr>
            <w:tcW w:w="0" w:type="dxa"/>
            <w:vAlign w:val="bottom"/>
          </w:tcPr>
          <w:p>
            <w:pPr>
              <w:spacing w:after="0"/>
              <w:rPr>
                <w:sz w:val="1"/>
                <w:szCs w:val="1"/>
                <w:color w:val="auto"/>
              </w:rPr>
            </w:pPr>
          </w:p>
        </w:tc>
      </w:tr>
      <w:tr>
        <w:trPr>
          <w:trHeight w:val="217"/>
        </w:trPr>
        <w:tc>
          <w:tcPr>
            <w:tcW w:w="3780" w:type="dxa"/>
            <w:vAlign w:val="bottom"/>
          </w:tcPr>
          <w:p>
            <w:pPr>
              <w:ind w:left="200"/>
              <w:spacing w:after="0"/>
              <w:rPr>
                <w:sz w:val="20"/>
                <w:szCs w:val="20"/>
                <w:color w:val="auto"/>
              </w:rPr>
            </w:pPr>
            <w:r>
              <w:rPr>
                <w:rFonts w:ascii="Arial" w:cs="Arial" w:eastAsia="Arial" w:hAnsi="Arial"/>
                <w:sz w:val="16"/>
                <w:szCs w:val="16"/>
                <w:color w:val="auto"/>
              </w:rPr>
              <w:t>Total revenue and other earnings</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143,921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165,837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217,737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34,319</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85,062</w:t>
            </w:r>
          </w:p>
        </w:tc>
        <w:tc>
          <w:tcPr>
            <w:tcW w:w="140" w:type="dxa"/>
            <w:vAlign w:val="bottom"/>
            <w:tcBorders>
              <w:right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646,876</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 estate expense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(113,504)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(163,389)</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Land development cost of sales</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(12,840)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(12,840)</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(6,097)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(6,340)</w:t>
            </w:r>
          </w:p>
        </w:tc>
        <w:tc>
          <w:tcPr>
            <w:tcW w:w="0" w:type="dxa"/>
            <w:vAlign w:val="bottom"/>
          </w:tcPr>
          <w:p>
            <w:pPr>
              <w:spacing w:after="0"/>
              <w:rPr>
                <w:sz w:val="1"/>
                <w:szCs w:val="1"/>
                <w:color w:val="auto"/>
              </w:rPr>
            </w:pPr>
          </w:p>
        </w:tc>
      </w:tr>
      <w:tr>
        <w:trPr>
          <w:trHeight w:val="270"/>
        </w:trPr>
        <w:tc>
          <w:tcPr>
            <w:tcW w:w="3780" w:type="dxa"/>
            <w:vAlign w:val="bottom"/>
          </w:tcPr>
          <w:p>
            <w:pPr>
              <w:ind w:left="40"/>
              <w:spacing w:after="0"/>
              <w:rPr>
                <w:sz w:val="20"/>
                <w:szCs w:val="20"/>
                <w:color w:val="auto"/>
              </w:rPr>
            </w:pPr>
            <w:r>
              <w:rPr>
                <w:rFonts w:ascii="Arial" w:cs="Arial" w:eastAsia="Arial" w:hAnsi="Arial"/>
                <w:sz w:val="16"/>
                <w:szCs w:val="16"/>
                <w:color w:val="auto"/>
              </w:rPr>
              <w:t>Allocated interest expense</w:t>
            </w:r>
            <w:r>
              <w:rPr>
                <w:rFonts w:ascii="Arial" w:cs="Arial" w:eastAsia="Arial" w:hAnsi="Arial"/>
                <w:sz w:val="21"/>
                <w:szCs w:val="21"/>
                <w:color w:val="auto"/>
                <w:vertAlign w:val="superscript"/>
              </w:rPr>
              <w:t>(5)</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(58,043)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(72,089)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(39,535)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(29,432)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(25,384)</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(224,483)</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Allocated general and administrative</w:t>
            </w:r>
            <w:r>
              <w:rPr>
                <w:rFonts w:ascii="Arial" w:cs="Arial" w:eastAsia="Arial" w:hAnsi="Arial"/>
                <w:sz w:val="21"/>
                <w:szCs w:val="21"/>
                <w:color w:val="auto"/>
                <w:vertAlign w:val="superscript"/>
              </w:rPr>
              <w:t>(2)</w:t>
            </w:r>
          </w:p>
        </w:tc>
        <w:tc>
          <w:tcPr>
            <w:tcW w:w="1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(13,211)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(16,603)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(9,608)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(13,062)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(22,489)</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(74,973)</w:t>
            </w:r>
          </w:p>
        </w:tc>
        <w:tc>
          <w:tcPr>
            <w:tcW w:w="0" w:type="dxa"/>
            <w:vAlign w:val="bottom"/>
          </w:tcPr>
          <w:p>
            <w:pPr>
              <w:spacing w:after="0"/>
              <w:rPr>
                <w:sz w:val="1"/>
                <w:szCs w:val="1"/>
                <w:color w:val="auto"/>
              </w:rPr>
            </w:pPr>
          </w:p>
        </w:tc>
      </w:tr>
      <w:tr>
        <w:trPr>
          <w:trHeight w:val="290"/>
        </w:trPr>
        <w:tc>
          <w:tcPr>
            <w:tcW w:w="3780" w:type="dxa"/>
            <w:vAlign w:val="bottom"/>
            <w:tcBorders>
              <w:bottom w:val="single" w:sz="8" w:color="CCEEFF"/>
            </w:tcBorders>
          </w:tcPr>
          <w:p>
            <w:pPr>
              <w:ind w:left="280"/>
              <w:spacing w:after="0"/>
              <w:rPr>
                <w:sz w:val="20"/>
                <w:szCs w:val="20"/>
                <w:color w:val="auto"/>
              </w:rPr>
            </w:pPr>
            <w:r>
              <w:rPr>
                <w:rFonts w:ascii="Arial" w:cs="Arial" w:eastAsia="Arial" w:hAnsi="Arial"/>
                <w:sz w:val="16"/>
                <w:szCs w:val="16"/>
                <w:b w:val="1"/>
                <w:bCs w:val="1"/>
                <w:color w:val="auto"/>
              </w:rPr>
              <w:t xml:space="preserve">Segment profit (loss) </w:t>
            </w:r>
            <w:r>
              <w:rPr>
                <w:rFonts w:ascii="Arial" w:cs="Arial" w:eastAsia="Arial" w:hAnsi="Arial"/>
                <w:sz w:val="21"/>
                <w:szCs w:val="21"/>
                <w:b w:val="1"/>
                <w:bCs w:val="1"/>
                <w:color w:val="auto"/>
                <w:vertAlign w:val="superscript"/>
              </w:rPr>
              <w:t>(3)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72,424</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54,178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55,090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(47,933)</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31,092</w:t>
            </w: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164,851</w:t>
            </w:r>
          </w:p>
        </w:tc>
        <w:tc>
          <w:tcPr>
            <w:tcW w:w="0" w:type="dxa"/>
            <w:vAlign w:val="bottom"/>
          </w:tcPr>
          <w:p>
            <w:pPr>
              <w:spacing w:after="0"/>
              <w:rPr>
                <w:sz w:val="1"/>
                <w:szCs w:val="1"/>
                <w:color w:val="auto"/>
              </w:rPr>
            </w:pPr>
          </w:p>
        </w:tc>
      </w:tr>
      <w:tr>
        <w:trPr>
          <w:trHeight w:val="21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significant non-cash items:</w:t>
            </w: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right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200"/>
              <w:spacing w:after="0"/>
              <w:rPr>
                <w:sz w:val="20"/>
                <w:szCs w:val="20"/>
                <w:color w:val="auto"/>
              </w:rPr>
            </w:pPr>
            <w:r>
              <w:rPr>
                <w:rFonts w:ascii="Arial" w:cs="Arial" w:eastAsia="Arial" w:hAnsi="Arial"/>
                <w:sz w:val="16"/>
                <w:szCs w:val="16"/>
                <w:color w:val="auto"/>
              </w:rPr>
              <w:t>Recovery of loan losses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(1,714)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(1,714)</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Impairment of assets</w:t>
            </w:r>
            <w:r>
              <w:rPr>
                <w:rFonts w:ascii="Arial" w:cs="Arial" w:eastAsia="Arial" w:hAnsi="Arial"/>
                <w:sz w:val="21"/>
                <w:szCs w:val="21"/>
                <w:color w:val="auto"/>
                <w:vertAlign w:val="superscript"/>
              </w:rPr>
              <w:t>(5)</w:t>
            </w: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3,689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8,131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22,814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34,634</w:t>
            </w:r>
          </w:p>
        </w:tc>
        <w:tc>
          <w:tcPr>
            <w:tcW w:w="0" w:type="dxa"/>
            <w:vAlign w:val="bottom"/>
          </w:tcPr>
          <w:p>
            <w:pPr>
              <w:spacing w:after="0"/>
              <w:rPr>
                <w:sz w:val="1"/>
                <w:szCs w:val="1"/>
                <w:color w:val="auto"/>
              </w:rPr>
            </w:pPr>
          </w:p>
        </w:tc>
      </w:tr>
      <w:tr>
        <w:trPr>
          <w:trHeight w:val="270"/>
        </w:trPr>
        <w:tc>
          <w:tcPr>
            <w:tcW w:w="3780" w:type="dxa"/>
            <w:vAlign w:val="bottom"/>
          </w:tcPr>
          <w:p>
            <w:pPr>
              <w:ind w:left="20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(5)</w:t>
            </w:r>
          </w:p>
        </w:tc>
        <w:tc>
          <w:tcPr>
            <w:tcW w:w="1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38,841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32,142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1,440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1,148</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73,571</w:t>
            </w:r>
          </w:p>
        </w:tc>
        <w:tc>
          <w:tcPr>
            <w:tcW w:w="0" w:type="dxa"/>
            <w:vAlign w:val="bottom"/>
          </w:tcPr>
          <w:p>
            <w:pPr>
              <w:spacing w:after="0"/>
              <w:rPr>
                <w:sz w:val="1"/>
                <w:szCs w:val="1"/>
                <w:color w:val="auto"/>
              </w:rPr>
            </w:pPr>
          </w:p>
        </w:tc>
      </w:tr>
      <w:tr>
        <w:trPr>
          <w:trHeight w:val="237"/>
        </w:trPr>
        <w:tc>
          <w:tcPr>
            <w:tcW w:w="3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Capitalized expenditures</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3,933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61,186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80,119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145,238</w:t>
            </w:r>
          </w:p>
        </w:tc>
        <w:tc>
          <w:tcPr>
            <w:tcW w:w="0" w:type="dxa"/>
            <w:vAlign w:val="bottom"/>
          </w:tcPr>
          <w:p>
            <w:pPr>
              <w:spacing w:after="0"/>
              <w:rPr>
                <w:sz w:val="1"/>
                <w:szCs w:val="1"/>
                <w:color w:val="auto"/>
              </w:rPr>
            </w:pPr>
          </w:p>
        </w:tc>
      </w:tr>
      <w:tr>
        <w:trPr>
          <w:trHeight w:val="33"/>
        </w:trPr>
        <w:tc>
          <w:tcPr>
            <w:tcW w:w="37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1420"/>
          </w:cols>
          <w:pgMar w:left="240" w:top="121" w:right="23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Real Estate</w:t>
            </w:r>
          </w:p>
        </w:tc>
        <w:tc>
          <w:tcPr>
            <w:tcW w:w="180" w:type="dxa"/>
            <w:vAlign w:val="bottom"/>
          </w:tcPr>
          <w:p>
            <w:pPr>
              <w:spacing w:after="0"/>
              <w:rPr>
                <w:sz w:val="14"/>
                <w:szCs w:val="14"/>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Net Lease</w:t>
            </w:r>
          </w:p>
        </w:tc>
        <w:tc>
          <w:tcPr>
            <w:tcW w:w="18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Operating</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Land and</w:t>
            </w:r>
          </w:p>
        </w:tc>
        <w:tc>
          <w:tcPr>
            <w:tcW w:w="134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Corporate/Other</w:t>
            </w:r>
            <w:r>
              <w:rPr>
                <w:rFonts w:ascii="Arial" w:cs="Arial" w:eastAsia="Arial" w:hAnsi="Arial"/>
                <w:sz w:val="8"/>
                <w:szCs w:val="8"/>
                <w:b w:val="1"/>
                <w:bCs w:val="1"/>
                <w:color w:val="auto"/>
              </w:rPr>
              <w:t>(1)</w:t>
            </w:r>
          </w:p>
        </w:tc>
        <w:tc>
          <w:tcPr>
            <w:tcW w:w="120" w:type="dxa"/>
            <w:vAlign w:val="bottom"/>
          </w:tcPr>
          <w:p>
            <w:pPr>
              <w:spacing w:after="0"/>
              <w:rPr>
                <w:sz w:val="14"/>
                <w:szCs w:val="14"/>
                <w:color w:val="auto"/>
              </w:rPr>
            </w:pPr>
          </w:p>
        </w:tc>
        <w:tc>
          <w:tcPr>
            <w:tcW w:w="112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4"/>
              </w:rPr>
              <w:t>Company Total</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Finance</w:t>
            </w:r>
          </w:p>
        </w:tc>
        <w:tc>
          <w:tcPr>
            <w:tcW w:w="1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Properties</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Development</w:t>
            </w:r>
          </w:p>
        </w:tc>
        <w:tc>
          <w:tcPr>
            <w:tcW w:w="1340" w:type="dxa"/>
            <w:vAlign w:val="bottom"/>
            <w:tcBorders>
              <w:right w:val="single" w:sz="8" w:color="auto"/>
            </w:tcBorders>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December 31, 2016</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Real estate</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Real estate,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1,015,590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476,162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1,491,752</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6"/>
                <w:szCs w:val="16"/>
                <w:color w:val="auto"/>
              </w:rPr>
              <w:t>Real estate available and held for sale</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1,284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82,480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9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83,764</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real estate</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1,016,874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558,642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1,575,516</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Land and development, net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945,565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945,565</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receivable and other lending investments, net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1,450,439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1,450,439</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Other investments</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92,669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3,583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84,804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33,350</w:t>
            </w: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214,406</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portfolio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1,450,439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1,109,543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562,225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1,030,369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33,350</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4,185,926</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Cash and other assets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639,588</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4,825,514</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December 31, 2015</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Real estate</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Real estate,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1,112,479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481,504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1,593,983</w:t>
            </w:r>
          </w:p>
        </w:tc>
        <w:tc>
          <w:tcPr>
            <w:tcW w:w="0" w:type="dxa"/>
            <w:vAlign w:val="bottom"/>
          </w:tcPr>
          <w:p>
            <w:pPr>
              <w:spacing w:after="0"/>
              <w:rPr>
                <w:sz w:val="1"/>
                <w:szCs w:val="1"/>
                <w:color w:val="auto"/>
              </w:rPr>
            </w:pPr>
          </w:p>
        </w:tc>
      </w:tr>
      <w:tr>
        <w:trPr>
          <w:trHeight w:val="237"/>
        </w:trPr>
        <w:tc>
          <w:tcPr>
            <w:tcW w:w="3780" w:type="dxa"/>
            <w:vAlign w:val="bottom"/>
          </w:tcPr>
          <w:p>
            <w:pPr>
              <w:ind w:left="120"/>
              <w:spacing w:after="0"/>
              <w:rPr>
                <w:sz w:val="20"/>
                <w:szCs w:val="20"/>
                <w:color w:val="auto"/>
              </w:rPr>
            </w:pPr>
            <w:r>
              <w:rPr>
                <w:rFonts w:ascii="Arial" w:cs="Arial" w:eastAsia="Arial" w:hAnsi="Arial"/>
                <w:sz w:val="16"/>
                <w:szCs w:val="16"/>
                <w:color w:val="auto"/>
              </w:rPr>
              <w:t>Real estate available and held for sale</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137,274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9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137,274</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real estate</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1,112,479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618,778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1,731,257</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Land and development, net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1,001,963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1,001,963</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receivable and other lending investments, net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1,601,985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1,601,985</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Other investments</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69,096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11,124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100,419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73,533</w:t>
            </w: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254,172</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portfolio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1,601,985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1,181,575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629,902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1,102,382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73,533</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4,589,377</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Cash and other assets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1,008,415</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5,597,792</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6454140</wp:posOffset>
            </wp:positionH>
            <wp:positionV relativeFrom="paragraph">
              <wp:posOffset>-98425</wp:posOffset>
            </wp:positionV>
            <wp:extent cx="7975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ind w:left="420" w:hanging="412"/>
        <w:spacing w:after="0" w:line="241" w:lineRule="auto"/>
        <w:tabs>
          <w:tab w:leader="none" w:pos="4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Corporate/Other represents all corporate level and unallocated items including any intercompany eliminations necessary to reconcile to consolidated Company totals. This caption also includes the Company's joint venture investments and strategic investments that are not included in the other reportable segments above.</w:t>
      </w:r>
    </w:p>
    <w:p>
      <w:pPr>
        <w:ind w:left="420" w:hanging="412"/>
        <w:spacing w:after="0" w:line="241" w:lineRule="auto"/>
        <w:tabs>
          <w:tab w:leader="none" w:pos="4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General and administrative excludes stock-based compensation expense of $10.9 million, $12.0 million and $13.3 million for the years ended December 31, 2016, 2015 and 2014, respectively.</w:t>
      </w:r>
    </w:p>
    <w:p>
      <w:pPr>
        <w:ind w:left="420" w:hanging="412"/>
        <w:spacing w:after="0"/>
        <w:tabs>
          <w:tab w:leader="none" w:pos="4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following is a reconciliation of segment profit to net income (loss) ($ in thousands):</w:t>
      </w:r>
    </w:p>
    <w:p>
      <w:pPr>
        <w:spacing w:after="0" w:line="147"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ind w:right="48"/>
              <w:spacing w:after="0"/>
              <w:rPr>
                <w:sz w:val="20"/>
                <w:szCs w:val="20"/>
                <w:color w:val="auto"/>
              </w:rPr>
            </w:pPr>
            <w:r>
              <w:rPr>
                <w:rFonts w:ascii="Arial" w:cs="Arial" w:eastAsia="Arial" w:hAnsi="Arial"/>
                <w:sz w:val="14"/>
                <w:szCs w:val="14"/>
                <w:b w:val="1"/>
                <w:bCs w:val="1"/>
                <w:color w:val="auto"/>
              </w:rPr>
              <w:t>For the 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62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2014</w:t>
            </w:r>
          </w:p>
        </w:tc>
      </w:tr>
      <w:tr>
        <w:trPr>
          <w:trHeight w:val="256"/>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Segment profit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158,823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126,114</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164,851</w:t>
            </w:r>
          </w:p>
        </w:tc>
      </w:tr>
      <w:tr>
        <w:trPr>
          <w:trHeight w:val="264"/>
        </w:trPr>
        <w:tc>
          <w:tcPr>
            <w:tcW w:w="6200" w:type="dxa"/>
            <w:vAlign w:val="bottom"/>
          </w:tcPr>
          <w:p>
            <w:pPr>
              <w:ind w:left="20"/>
              <w:spacing w:after="0"/>
              <w:rPr>
                <w:sz w:val="20"/>
                <w:szCs w:val="20"/>
                <w:color w:val="auto"/>
              </w:rPr>
            </w:pPr>
            <w:r>
              <w:rPr>
                <w:rFonts w:ascii="Arial" w:cs="Arial" w:eastAsia="Arial" w:hAnsi="Arial"/>
                <w:sz w:val="14"/>
                <w:szCs w:val="14"/>
                <w:color w:val="auto"/>
              </w:rPr>
              <w:t>Less: Recovery of (provision for) loan losses</w:t>
            </w:r>
          </w:p>
        </w:tc>
        <w:tc>
          <w:tcPr>
            <w:tcW w:w="32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12,514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(36,567)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1,714</w:t>
            </w:r>
          </w:p>
        </w:tc>
      </w:tr>
      <w:tr>
        <w:trPr>
          <w:trHeight w:val="276"/>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Impairment of assets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(14,484)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(10,524)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(34,634)</w:t>
            </w:r>
          </w:p>
        </w:tc>
      </w:tr>
      <w:tr>
        <w:trPr>
          <w:trHeight w:val="264"/>
        </w:trPr>
        <w:tc>
          <w:tcPr>
            <w:tcW w:w="6200" w:type="dxa"/>
            <w:vAlign w:val="bottom"/>
          </w:tcPr>
          <w:p>
            <w:pPr>
              <w:ind w:left="20"/>
              <w:spacing w:after="0"/>
              <w:rPr>
                <w:sz w:val="20"/>
                <w:szCs w:val="20"/>
                <w:color w:val="auto"/>
              </w:rPr>
            </w:pPr>
            <w:r>
              <w:rPr>
                <w:rFonts w:ascii="Arial" w:cs="Arial" w:eastAsia="Arial" w:hAnsi="Arial"/>
                <w:sz w:val="14"/>
                <w:szCs w:val="14"/>
                <w:color w:val="auto"/>
              </w:rPr>
              <w:t>Less: Depreciation and amortization</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(54,329)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(65,247)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(73,571)</w:t>
            </w:r>
          </w:p>
        </w:tc>
      </w:tr>
      <w:tr>
        <w:trPr>
          <w:trHeight w:val="276"/>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Stock-based compensation expense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(10,889)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(12,013)</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(13,314)</w:t>
            </w:r>
          </w:p>
        </w:tc>
      </w:tr>
      <w:tr>
        <w:trPr>
          <w:trHeight w:val="264"/>
        </w:trPr>
        <w:tc>
          <w:tcPr>
            <w:tcW w:w="6200" w:type="dxa"/>
            <w:vAlign w:val="bottom"/>
          </w:tcPr>
          <w:p>
            <w:pPr>
              <w:ind w:left="20"/>
              <w:spacing w:after="0"/>
              <w:rPr>
                <w:sz w:val="20"/>
                <w:szCs w:val="20"/>
                <w:color w:val="auto"/>
              </w:rPr>
            </w:pPr>
            <w:r>
              <w:rPr>
                <w:rFonts w:ascii="Arial" w:cs="Arial" w:eastAsia="Arial" w:hAnsi="Arial"/>
                <w:sz w:val="14"/>
                <w:szCs w:val="14"/>
                <w:color w:val="auto"/>
              </w:rPr>
              <w:t>Less: Income tax benefit (expense)</w:t>
            </w:r>
          </w:p>
        </w:tc>
        <w:tc>
          <w:tcPr>
            <w:tcW w:w="32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10,166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(7,639)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(3,912)</w:t>
            </w:r>
          </w:p>
        </w:tc>
      </w:tr>
      <w:tr>
        <w:trPr>
          <w:trHeight w:val="270"/>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Loss on early extinguishment of debt, net</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(1,619)</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(25,369)</w:t>
            </w:r>
          </w:p>
        </w:tc>
      </w:tr>
      <w:tr>
        <w:trPr>
          <w:trHeight w:val="243"/>
        </w:trPr>
        <w:tc>
          <w:tcPr>
            <w:tcW w:w="620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100,182</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(6,157)</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15,765</w:t>
            </w:r>
          </w:p>
        </w:tc>
      </w:tr>
      <w:tr>
        <w:trPr>
          <w:trHeight w:val="20"/>
        </w:trPr>
        <w:tc>
          <w:tcPr>
            <w:tcW w:w="6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2" w:right="23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18—Quarterly Financial Information (Unaudited)</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selected quarterly financial data for the Company ($ in thousands, except per share amounts).</w:t>
      </w:r>
    </w:p>
    <w:p>
      <w:pPr>
        <w:spacing w:after="0" w:line="230" w:lineRule="exact"/>
        <w:rPr>
          <w:sz w:val="20"/>
          <w:szCs w:val="20"/>
          <w:color w:val="auto"/>
        </w:rPr>
      </w:pPr>
    </w:p>
    <w:p>
      <w:pPr>
        <w:jc w:val="center"/>
        <w:ind w:left="5640"/>
        <w:spacing w:after="0"/>
        <w:rPr>
          <w:sz w:val="20"/>
          <w:szCs w:val="20"/>
          <w:color w:val="auto"/>
        </w:rPr>
      </w:pPr>
      <w:r>
        <w:rPr>
          <w:rFonts w:ascii="Arial" w:cs="Arial" w:eastAsia="Arial" w:hAnsi="Arial"/>
          <w:sz w:val="14"/>
          <w:szCs w:val="14"/>
          <w:b w:val="1"/>
          <w:bCs w:val="1"/>
          <w:color w:val="auto"/>
        </w:rPr>
        <w:t>For the Quarters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23495</wp:posOffset>
            </wp:positionV>
            <wp:extent cx="36874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103" w:lineRule="exact"/>
        <w:rPr>
          <w:sz w:val="20"/>
          <w:szCs w:val="20"/>
          <w:color w:val="auto"/>
        </w:rPr>
      </w:pPr>
    </w:p>
    <w:p>
      <w:pPr>
        <w:jc w:val="right"/>
        <w:ind w:right="360"/>
        <w:spacing w:after="0"/>
        <w:tabs>
          <w:tab w:leader="none" w:pos="3660" w:val="left"/>
          <w:tab w:leader="none" w:pos="2000" w:val="left"/>
          <w:tab w:leader="none" w:pos="600" w:val="left"/>
        </w:tabs>
        <w:rPr>
          <w:sz w:val="20"/>
          <w:szCs w:val="20"/>
          <w:color w:val="auto"/>
        </w:rPr>
      </w:pPr>
      <w:r>
        <w:rPr>
          <w:rFonts w:ascii="Arial" w:cs="Arial" w:eastAsia="Arial" w:hAnsi="Arial"/>
          <w:sz w:val="14"/>
          <w:szCs w:val="14"/>
          <w:b w:val="1"/>
          <w:bCs w:val="1"/>
          <w:color w:val="auto"/>
        </w:rPr>
        <w:t>December 31,</w:t>
      </w:r>
      <w:r>
        <w:rPr>
          <w:sz w:val="20"/>
          <w:szCs w:val="20"/>
          <w:color w:val="auto"/>
        </w:rPr>
        <w:tab/>
      </w:r>
      <w:r>
        <w:rPr>
          <w:rFonts w:ascii="Arial" w:cs="Arial" w:eastAsia="Arial" w:hAnsi="Arial"/>
          <w:sz w:val="14"/>
          <w:szCs w:val="14"/>
          <w:b w:val="1"/>
          <w:bCs w:val="1"/>
          <w:color w:val="auto"/>
        </w:rPr>
        <w:t>September 30,</w:t>
      </w:r>
      <w:r>
        <w:rPr>
          <w:sz w:val="20"/>
          <w:szCs w:val="20"/>
          <w:color w:val="auto"/>
        </w:rPr>
        <w:tab/>
      </w:r>
      <w:r>
        <w:rPr>
          <w:rFonts w:ascii="Arial" w:cs="Arial" w:eastAsia="Arial" w:hAnsi="Arial"/>
          <w:sz w:val="14"/>
          <w:szCs w:val="14"/>
          <w:b w:val="1"/>
          <w:bCs w:val="1"/>
          <w:color w:val="auto"/>
        </w:rPr>
        <w:t>June 30,</w:t>
      </w:r>
      <w:r>
        <w:rPr>
          <w:sz w:val="20"/>
          <w:szCs w:val="20"/>
          <w:color w:val="auto"/>
        </w:rPr>
        <w:tab/>
      </w:r>
      <w:r>
        <w:rPr>
          <w:rFonts w:ascii="Arial" w:cs="Arial" w:eastAsia="Arial" w:hAnsi="Arial"/>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2016:</w:t>
      </w:r>
    </w:p>
    <w:p>
      <w:pPr>
        <w:sectPr>
          <w:pgSz w:w="11900" w:h="16838" w:orient="portrait"/>
          <w:cols w:equalWidth="0" w:num="1">
            <w:col w:w="11420"/>
          </w:cols>
          <w:pgMar w:left="240" w:top="122" w:right="239" w:bottom="1440" w:gutter="0" w:footer="0" w:header="0"/>
        </w:sectPr>
      </w:pPr>
    </w:p>
    <w:p>
      <w:pPr>
        <w:spacing w:after="0" w:line="90" w:lineRule="exact"/>
        <w:rPr>
          <w:sz w:val="20"/>
          <w:szCs w:val="20"/>
          <w:color w:val="auto"/>
        </w:rPr>
      </w:pPr>
    </w:p>
    <w:p>
      <w:pPr>
        <w:ind w:left="40"/>
        <w:spacing w:after="0"/>
        <w:tabs>
          <w:tab w:leader="none" w:pos="5620" w:val="left"/>
        </w:tabs>
        <w:rPr>
          <w:sz w:val="20"/>
          <w:szCs w:val="20"/>
          <w:color w:val="auto"/>
        </w:rPr>
      </w:pPr>
      <w:r>
        <w:rPr>
          <w:rFonts w:ascii="Arial" w:cs="Arial" w:eastAsia="Arial" w:hAnsi="Arial"/>
          <w:sz w:val="14"/>
          <w:szCs w:val="14"/>
          <w:color w:val="auto"/>
        </w:rPr>
        <w:t>Revenue</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tabs>
          <w:tab w:leader="none" w:pos="5620" w:val="left"/>
        </w:tabs>
        <w:rPr>
          <w:sz w:val="20"/>
          <w:szCs w:val="20"/>
          <w:color w:val="auto"/>
        </w:rPr>
      </w:pPr>
      <w:r>
        <w:rPr>
          <w:rFonts w:ascii="Arial" w:cs="Arial" w:eastAsia="Arial" w:hAnsi="Arial"/>
          <w:sz w:val="16"/>
          <w:szCs w:val="16"/>
          <w:color w:val="auto"/>
        </w:rPr>
        <w:t>Net income (loss)</w:t>
      </w:r>
      <w:r>
        <w:rPr>
          <w:sz w:val="20"/>
          <w:szCs w:val="20"/>
          <w:color w:val="auto"/>
        </w:rPr>
        <w:tab/>
      </w:r>
      <w:r>
        <w:rPr>
          <w:rFonts w:ascii="Arial" w:cs="Arial" w:eastAsia="Arial" w:hAnsi="Arial"/>
          <w:sz w:val="14"/>
          <w:szCs w:val="14"/>
          <w:color w:val="auto"/>
        </w:rPr>
        <w:t>$</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Earnings per common share data</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income (loss) attributable to iStar Inc.</w:t>
      </w:r>
    </w:p>
    <w:p>
      <w:pPr>
        <w:spacing w:after="0" w:line="75" w:lineRule="exact"/>
        <w:rPr>
          <w:sz w:val="20"/>
          <w:szCs w:val="20"/>
          <w:color w:val="auto"/>
        </w:rPr>
      </w:pPr>
    </w:p>
    <w:p>
      <w:pPr>
        <w:ind w:left="380"/>
        <w:spacing w:after="0"/>
        <w:tabs>
          <w:tab w:leader="none" w:pos="5620" w:val="left"/>
        </w:tabs>
        <w:rPr>
          <w:sz w:val="20"/>
          <w:szCs w:val="20"/>
          <w:color w:val="auto"/>
        </w:rPr>
      </w:pPr>
      <w:r>
        <w:rPr>
          <w:rFonts w:ascii="Arial" w:cs="Arial" w:eastAsia="Arial" w:hAnsi="Arial"/>
          <w:sz w:val="16"/>
          <w:szCs w:val="16"/>
          <w:color w:val="auto"/>
        </w:rPr>
        <w:t>Basic</w:t>
      </w:r>
      <w:r>
        <w:rPr>
          <w:rFonts w:ascii="Arial" w:cs="Arial" w:eastAsia="Arial" w:hAnsi="Arial"/>
          <w:sz w:val="21"/>
          <w:szCs w:val="21"/>
          <w:color w:val="auto"/>
          <w:vertAlign w:val="superscript"/>
        </w:rPr>
        <w:t>(2)</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7" w:lineRule="exact"/>
        <w:rPr>
          <w:sz w:val="20"/>
          <w:szCs w:val="20"/>
          <w:color w:val="auto"/>
        </w:rPr>
      </w:pPr>
    </w:p>
    <w:p>
      <w:pPr>
        <w:ind w:left="380"/>
        <w:spacing w:after="0"/>
        <w:tabs>
          <w:tab w:leader="none" w:pos="5620" w:val="left"/>
        </w:tabs>
        <w:rPr>
          <w:sz w:val="20"/>
          <w:szCs w:val="20"/>
          <w:color w:val="auto"/>
        </w:rPr>
      </w:pPr>
      <w:r>
        <w:rPr>
          <w:rFonts w:ascii="Arial" w:cs="Arial" w:eastAsia="Arial" w:hAnsi="Arial"/>
          <w:sz w:val="16"/>
          <w:szCs w:val="16"/>
          <w:color w:val="auto"/>
        </w:rPr>
        <w:t>Diluted</w:t>
      </w:r>
      <w:r>
        <w:rPr>
          <w:rFonts w:ascii="Arial" w:cs="Arial" w:eastAsia="Arial" w:hAnsi="Arial"/>
          <w:sz w:val="21"/>
          <w:szCs w:val="21"/>
          <w:color w:val="auto"/>
          <w:vertAlign w:val="superscript"/>
        </w:rPr>
        <w:t>(2)</w:t>
      </w:r>
      <w:r>
        <w:rPr>
          <w:sz w:val="20"/>
          <w:szCs w:val="20"/>
          <w:color w:val="auto"/>
        </w:rPr>
        <w:tab/>
      </w:r>
      <w:r>
        <w:rPr>
          <w:rFonts w:ascii="Arial" w:cs="Arial" w:eastAsia="Arial" w:hAnsi="Arial"/>
          <w:sz w:val="14"/>
          <w:szCs w:val="14"/>
          <w:color w:val="auto"/>
        </w:rPr>
        <w:t>$</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380"/>
        <w:spacing w:after="0"/>
        <w:tabs>
          <w:tab w:leader="none" w:pos="5620" w:val="left"/>
        </w:tabs>
        <w:rPr>
          <w:sz w:val="20"/>
          <w:szCs w:val="20"/>
          <w:color w:val="auto"/>
        </w:rPr>
      </w:pPr>
      <w:r>
        <w:rPr>
          <w:rFonts w:ascii="Arial" w:cs="Arial" w:eastAsia="Arial" w:hAnsi="Arial"/>
          <w:sz w:val="14"/>
          <w:szCs w:val="14"/>
          <w:color w:val="auto"/>
        </w:rPr>
        <w:t>Basic</w:t>
      </w:r>
      <w:r>
        <w:rPr>
          <w:sz w:val="20"/>
          <w:szCs w:val="20"/>
          <w:color w:val="auto"/>
        </w:rPr>
        <w:tab/>
      </w:r>
      <w:r>
        <w:rPr>
          <w:rFonts w:ascii="Arial" w:cs="Arial" w:eastAsia="Arial" w:hAnsi="Arial"/>
          <w:sz w:val="14"/>
          <w:szCs w:val="14"/>
          <w:color w:val="auto"/>
        </w:rPr>
        <w:t>$</w:t>
      </w:r>
    </w:p>
    <w:p>
      <w:pPr>
        <w:spacing w:after="0" w:line="109" w:lineRule="exact"/>
        <w:rPr>
          <w:sz w:val="20"/>
          <w:szCs w:val="20"/>
          <w:color w:val="auto"/>
        </w:rPr>
      </w:pPr>
    </w:p>
    <w:p>
      <w:pPr>
        <w:ind w:left="380"/>
        <w:spacing w:after="0"/>
        <w:tabs>
          <w:tab w:leader="none" w:pos="5620" w:val="left"/>
        </w:tabs>
        <w:rPr>
          <w:sz w:val="20"/>
          <w:szCs w:val="20"/>
          <w:color w:val="auto"/>
        </w:rPr>
      </w:pPr>
      <w:r>
        <w:rPr>
          <w:rFonts w:ascii="Arial" w:cs="Arial" w:eastAsia="Arial" w:hAnsi="Arial"/>
          <w:sz w:val="14"/>
          <w:szCs w:val="14"/>
          <w:color w:val="auto"/>
        </w:rPr>
        <w:t>Diluted</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Weighted average number of common shares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2466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2015:</w:t>
      </w:r>
    </w:p>
    <w:p>
      <w:pPr>
        <w:spacing w:after="0" w:line="90" w:lineRule="exact"/>
        <w:rPr>
          <w:sz w:val="20"/>
          <w:szCs w:val="20"/>
          <w:color w:val="auto"/>
        </w:rPr>
      </w:pPr>
    </w:p>
    <w:p>
      <w:pPr>
        <w:ind w:left="40"/>
        <w:spacing w:after="0"/>
        <w:tabs>
          <w:tab w:leader="none" w:pos="5620" w:val="left"/>
        </w:tabs>
        <w:rPr>
          <w:sz w:val="20"/>
          <w:szCs w:val="20"/>
          <w:color w:val="auto"/>
        </w:rPr>
      </w:pPr>
      <w:r>
        <w:rPr>
          <w:rFonts w:ascii="Arial" w:cs="Arial" w:eastAsia="Arial" w:hAnsi="Arial"/>
          <w:sz w:val="14"/>
          <w:szCs w:val="14"/>
          <w:color w:val="auto"/>
        </w:rPr>
        <w:t>Revenue</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tabs>
          <w:tab w:leader="none" w:pos="5620" w:val="left"/>
        </w:tabs>
        <w:rPr>
          <w:sz w:val="20"/>
          <w:szCs w:val="20"/>
          <w:color w:val="auto"/>
        </w:rPr>
      </w:pPr>
      <w:r>
        <w:rPr>
          <w:rFonts w:ascii="Arial" w:cs="Arial" w:eastAsia="Arial" w:hAnsi="Arial"/>
          <w:sz w:val="16"/>
          <w:szCs w:val="16"/>
          <w:color w:val="auto"/>
        </w:rPr>
        <w:t>Net income (loss)</w:t>
      </w:r>
      <w:r>
        <w:rPr>
          <w:sz w:val="20"/>
          <w:szCs w:val="20"/>
          <w:color w:val="auto"/>
        </w:rPr>
        <w:tab/>
      </w:r>
      <w:r>
        <w:rPr>
          <w:rFonts w:ascii="Arial" w:cs="Arial" w:eastAsia="Arial" w:hAnsi="Arial"/>
          <w:sz w:val="14"/>
          <w:szCs w:val="14"/>
          <w:color w:val="auto"/>
        </w:rPr>
        <w:t>$</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Earnings per common share data</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income (loss) attributable to iStar Inc.</w:t>
      </w:r>
    </w:p>
    <w:p>
      <w:pPr>
        <w:spacing w:after="0" w:line="75" w:lineRule="exact"/>
        <w:rPr>
          <w:sz w:val="20"/>
          <w:szCs w:val="20"/>
          <w:color w:val="auto"/>
        </w:rPr>
      </w:pPr>
    </w:p>
    <w:p>
      <w:pPr>
        <w:ind w:left="380"/>
        <w:spacing w:after="0"/>
        <w:tabs>
          <w:tab w:leader="none" w:pos="5620" w:val="left"/>
        </w:tabs>
        <w:rPr>
          <w:sz w:val="20"/>
          <w:szCs w:val="20"/>
          <w:color w:val="auto"/>
        </w:rPr>
      </w:pPr>
      <w:r>
        <w:rPr>
          <w:rFonts w:ascii="Arial" w:cs="Arial" w:eastAsia="Arial" w:hAnsi="Arial"/>
          <w:sz w:val="16"/>
          <w:szCs w:val="16"/>
          <w:color w:val="auto"/>
        </w:rPr>
        <w:t>Basic</w:t>
      </w:r>
      <w:r>
        <w:rPr>
          <w:rFonts w:ascii="Arial" w:cs="Arial" w:eastAsia="Arial" w:hAnsi="Arial"/>
          <w:sz w:val="21"/>
          <w:szCs w:val="21"/>
          <w:color w:val="auto"/>
          <w:vertAlign w:val="superscript"/>
        </w:rPr>
        <w:t>(3)</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7" w:lineRule="exact"/>
        <w:rPr>
          <w:sz w:val="20"/>
          <w:szCs w:val="20"/>
          <w:color w:val="auto"/>
        </w:rPr>
      </w:pPr>
    </w:p>
    <w:p>
      <w:pPr>
        <w:ind w:left="380"/>
        <w:spacing w:after="0"/>
        <w:tabs>
          <w:tab w:leader="none" w:pos="5620" w:val="left"/>
        </w:tabs>
        <w:rPr>
          <w:sz w:val="20"/>
          <w:szCs w:val="20"/>
          <w:color w:val="auto"/>
        </w:rPr>
      </w:pPr>
      <w:r>
        <w:rPr>
          <w:rFonts w:ascii="Arial" w:cs="Arial" w:eastAsia="Arial" w:hAnsi="Arial"/>
          <w:sz w:val="16"/>
          <w:szCs w:val="16"/>
          <w:color w:val="auto"/>
        </w:rPr>
        <w:t>Diluted</w:t>
      </w:r>
      <w:r>
        <w:rPr>
          <w:rFonts w:ascii="Arial" w:cs="Arial" w:eastAsia="Arial" w:hAnsi="Arial"/>
          <w:sz w:val="21"/>
          <w:szCs w:val="21"/>
          <w:color w:val="auto"/>
          <w:vertAlign w:val="superscript"/>
        </w:rPr>
        <w:t>(3)</w:t>
      </w:r>
      <w:r>
        <w:rPr>
          <w:sz w:val="20"/>
          <w:szCs w:val="20"/>
          <w:color w:val="auto"/>
        </w:rPr>
        <w:tab/>
      </w:r>
      <w:r>
        <w:rPr>
          <w:rFonts w:ascii="Arial" w:cs="Arial" w:eastAsia="Arial" w:hAnsi="Arial"/>
          <w:sz w:val="14"/>
          <w:szCs w:val="14"/>
          <w:color w:val="auto"/>
        </w:rPr>
        <w:t>$</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380"/>
        <w:spacing w:after="0"/>
        <w:tabs>
          <w:tab w:leader="none" w:pos="5620" w:val="left"/>
        </w:tabs>
        <w:rPr>
          <w:sz w:val="20"/>
          <w:szCs w:val="20"/>
          <w:color w:val="auto"/>
        </w:rPr>
      </w:pPr>
      <w:r>
        <w:rPr>
          <w:rFonts w:ascii="Arial" w:cs="Arial" w:eastAsia="Arial" w:hAnsi="Arial"/>
          <w:sz w:val="14"/>
          <w:szCs w:val="14"/>
          <w:color w:val="auto"/>
        </w:rPr>
        <w:t>Basic</w:t>
      </w:r>
      <w:r>
        <w:rPr>
          <w:sz w:val="20"/>
          <w:szCs w:val="20"/>
          <w:color w:val="auto"/>
        </w:rPr>
        <w:tab/>
      </w:r>
      <w:r>
        <w:rPr>
          <w:rFonts w:ascii="Arial" w:cs="Arial" w:eastAsia="Arial" w:hAnsi="Arial"/>
          <w:sz w:val="14"/>
          <w:szCs w:val="14"/>
          <w:color w:val="auto"/>
        </w:rPr>
        <w:t>$</w:t>
      </w:r>
    </w:p>
    <w:p>
      <w:pPr>
        <w:spacing w:after="0" w:line="109" w:lineRule="exact"/>
        <w:rPr>
          <w:sz w:val="20"/>
          <w:szCs w:val="20"/>
          <w:color w:val="auto"/>
        </w:rPr>
      </w:pPr>
    </w:p>
    <w:p>
      <w:pPr>
        <w:ind w:left="380"/>
        <w:spacing w:after="0"/>
        <w:tabs>
          <w:tab w:leader="none" w:pos="5620" w:val="left"/>
        </w:tabs>
        <w:rPr>
          <w:sz w:val="20"/>
          <w:szCs w:val="20"/>
          <w:color w:val="auto"/>
        </w:rPr>
      </w:pPr>
      <w:r>
        <w:rPr>
          <w:rFonts w:ascii="Arial" w:cs="Arial" w:eastAsia="Arial" w:hAnsi="Arial"/>
          <w:sz w:val="14"/>
          <w:szCs w:val="14"/>
          <w:color w:val="auto"/>
        </w:rPr>
        <w:t>Diluted</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Weighted average number of common shares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Diluted</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Earnings per HPU share data</w:t>
      </w:r>
      <w:r>
        <w:rPr>
          <w:rFonts w:ascii="Arial" w:cs="Arial" w:eastAsia="Arial" w:hAnsi="Arial"/>
          <w:sz w:val="21"/>
          <w:szCs w:val="21"/>
          <w:b w:val="1"/>
          <w:bCs w:val="1"/>
          <w:color w:val="auto"/>
          <w:vertAlign w:val="superscript"/>
        </w:rPr>
        <w:t>(1)(4)</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income (loss) attributable to iStar Inc.</w:t>
      </w:r>
    </w:p>
    <w:p>
      <w:pPr>
        <w:spacing w:after="0" w:line="75" w:lineRule="exact"/>
        <w:rPr>
          <w:sz w:val="20"/>
          <w:szCs w:val="20"/>
          <w:color w:val="auto"/>
        </w:rPr>
      </w:pPr>
    </w:p>
    <w:p>
      <w:pPr>
        <w:ind w:left="380"/>
        <w:spacing w:after="0"/>
        <w:tabs>
          <w:tab w:leader="none" w:pos="5620" w:val="left"/>
        </w:tabs>
        <w:rPr>
          <w:sz w:val="20"/>
          <w:szCs w:val="20"/>
          <w:color w:val="auto"/>
        </w:rPr>
      </w:pPr>
      <w:r>
        <w:rPr>
          <w:rFonts w:ascii="Arial" w:cs="Arial" w:eastAsia="Arial" w:hAnsi="Arial"/>
          <w:sz w:val="16"/>
          <w:szCs w:val="16"/>
          <w:color w:val="auto"/>
        </w:rPr>
        <w:t>Basic and diluted</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Earnings per share</w:t>
      </w:r>
    </w:p>
    <w:p>
      <w:pPr>
        <w:spacing w:after="0" w:line="86" w:lineRule="exact"/>
        <w:rPr>
          <w:sz w:val="20"/>
          <w:szCs w:val="20"/>
          <w:color w:val="auto"/>
        </w:rPr>
      </w:pPr>
    </w:p>
    <w:p>
      <w:pPr>
        <w:ind w:left="380"/>
        <w:spacing w:after="0"/>
        <w:tabs>
          <w:tab w:leader="none" w:pos="5620" w:val="left"/>
        </w:tabs>
        <w:rPr>
          <w:sz w:val="20"/>
          <w:szCs w:val="20"/>
          <w:color w:val="auto"/>
        </w:rPr>
      </w:pPr>
      <w:r>
        <w:rPr>
          <w:rFonts w:ascii="Arial" w:cs="Arial" w:eastAsia="Arial" w:hAnsi="Arial"/>
          <w:sz w:val="16"/>
          <w:szCs w:val="16"/>
          <w:color w:val="auto"/>
        </w:rPr>
        <w:t>Basic and diluted</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Weighted average number of HPU shares—basic and diluted</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_______________________________________________________________________________</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680" w:type="dxa"/>
            <w:vAlign w:val="bottom"/>
          </w:tcPr>
          <w:p>
            <w:pPr>
              <w:jc w:val="right"/>
              <w:ind w:right="79"/>
              <w:spacing w:after="0"/>
              <w:rPr>
                <w:sz w:val="20"/>
                <w:szCs w:val="20"/>
                <w:color w:val="auto"/>
              </w:rPr>
            </w:pPr>
            <w:r>
              <w:rPr>
                <w:rFonts w:ascii="Arial" w:cs="Arial" w:eastAsia="Arial" w:hAnsi="Arial"/>
                <w:sz w:val="16"/>
                <w:szCs w:val="16"/>
                <w:color w:val="auto"/>
                <w:w w:val="86"/>
              </w:rPr>
              <w:t>106,811</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128,668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680" w:type="dxa"/>
            <w:vAlign w:val="bottom"/>
          </w:tcPr>
          <w:p>
            <w:pPr>
              <w:jc w:val="right"/>
              <w:ind w:right="19"/>
              <w:spacing w:after="0"/>
              <w:rPr>
                <w:sz w:val="20"/>
                <w:szCs w:val="20"/>
                <w:color w:val="auto"/>
              </w:rPr>
            </w:pPr>
            <w:r>
              <w:rPr>
                <w:rFonts w:ascii="Arial" w:cs="Arial" w:eastAsia="Arial" w:hAnsi="Arial"/>
                <w:sz w:val="16"/>
                <w:szCs w:val="16"/>
                <w:color w:val="auto"/>
              </w:rPr>
              <w:t>(8,461)</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58,155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810"/>
        </w:trPr>
        <w:tc>
          <w:tcPr>
            <w:tcW w:w="680" w:type="dxa"/>
            <w:vAlign w:val="bottom"/>
          </w:tcPr>
          <w:p>
            <w:pPr>
              <w:jc w:val="right"/>
              <w:ind w:right="19"/>
              <w:spacing w:after="0"/>
              <w:rPr>
                <w:sz w:val="20"/>
                <w:szCs w:val="20"/>
                <w:color w:val="auto"/>
              </w:rPr>
            </w:pPr>
            <w:r>
              <w:rPr>
                <w:rFonts w:ascii="Arial" w:cs="Arial" w:eastAsia="Arial" w:hAnsi="Arial"/>
                <w:sz w:val="16"/>
                <w:szCs w:val="16"/>
                <w:color w:val="auto"/>
                <w:w w:val="93"/>
              </w:rPr>
              <w:t>(19,252)</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46,292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680" w:type="dxa"/>
            <w:vAlign w:val="bottom"/>
          </w:tcPr>
          <w:p>
            <w:pPr>
              <w:jc w:val="right"/>
              <w:ind w:right="19"/>
              <w:spacing w:after="0"/>
              <w:rPr>
                <w:sz w:val="20"/>
                <w:szCs w:val="20"/>
                <w:color w:val="auto"/>
              </w:rPr>
            </w:pPr>
            <w:r>
              <w:rPr>
                <w:rFonts w:ascii="Arial" w:cs="Arial" w:eastAsia="Arial" w:hAnsi="Arial"/>
                <w:sz w:val="16"/>
                <w:szCs w:val="16"/>
                <w:color w:val="auto"/>
                <w:w w:val="93"/>
              </w:rPr>
              <w:t>(19,252)</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51,453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540"/>
        </w:trPr>
        <w:tc>
          <w:tcPr>
            <w:tcW w:w="680" w:type="dxa"/>
            <w:vAlign w:val="bottom"/>
          </w:tcPr>
          <w:p>
            <w:pPr>
              <w:jc w:val="right"/>
              <w:ind w:right="19"/>
              <w:spacing w:after="0"/>
              <w:rPr>
                <w:sz w:val="20"/>
                <w:szCs w:val="20"/>
                <w:color w:val="auto"/>
              </w:rPr>
            </w:pPr>
            <w:r>
              <w:rPr>
                <w:rFonts w:ascii="Arial" w:cs="Arial" w:eastAsia="Arial" w:hAnsi="Arial"/>
                <w:sz w:val="16"/>
                <w:szCs w:val="16"/>
                <w:color w:val="auto"/>
              </w:rPr>
              <w:t>(0.27)</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0.65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680" w:type="dxa"/>
            <w:vAlign w:val="bottom"/>
          </w:tcPr>
          <w:p>
            <w:pPr>
              <w:jc w:val="right"/>
              <w:ind w:right="19"/>
              <w:spacing w:after="0"/>
              <w:rPr>
                <w:sz w:val="20"/>
                <w:szCs w:val="20"/>
                <w:color w:val="auto"/>
              </w:rPr>
            </w:pPr>
            <w:r>
              <w:rPr>
                <w:rFonts w:ascii="Arial" w:cs="Arial" w:eastAsia="Arial" w:hAnsi="Arial"/>
                <w:sz w:val="16"/>
                <w:szCs w:val="16"/>
                <w:color w:val="auto"/>
              </w:rPr>
              <w:t>(0.27)</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0.44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540"/>
        </w:trPr>
        <w:tc>
          <w:tcPr>
            <w:tcW w:w="680" w:type="dxa"/>
            <w:vAlign w:val="bottom"/>
          </w:tcPr>
          <w:p>
            <w:pPr>
              <w:jc w:val="right"/>
              <w:ind w:right="79"/>
              <w:spacing w:after="0"/>
              <w:rPr>
                <w:sz w:val="20"/>
                <w:szCs w:val="20"/>
                <w:color w:val="auto"/>
              </w:rPr>
            </w:pPr>
            <w:r>
              <w:rPr>
                <w:rFonts w:ascii="Arial" w:cs="Arial" w:eastAsia="Arial" w:hAnsi="Arial"/>
                <w:sz w:val="16"/>
                <w:szCs w:val="16"/>
                <w:color w:val="auto"/>
              </w:rPr>
              <w:t>71,603</w:t>
            </w:r>
          </w:p>
        </w:tc>
        <w:tc>
          <w:tcPr>
            <w:tcW w:w="520" w:type="dxa"/>
            <w:vAlign w:val="bottom"/>
          </w:tcPr>
          <w:p>
            <w:pPr>
              <w:spacing w:after="0"/>
              <w:rPr>
                <w:sz w:val="24"/>
                <w:szCs w:val="24"/>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71,210</w:t>
            </w:r>
          </w:p>
        </w:tc>
        <w:tc>
          <w:tcPr>
            <w:tcW w:w="180" w:type="dxa"/>
            <w:vAlign w:val="bottom"/>
          </w:tcPr>
          <w:p>
            <w:pPr>
              <w:spacing w:after="0"/>
              <w:rPr>
                <w:sz w:val="24"/>
                <w:szCs w:val="24"/>
                <w:color w:val="auto"/>
              </w:rPr>
            </w:pPr>
          </w:p>
        </w:tc>
      </w:tr>
      <w:tr>
        <w:trPr>
          <w:trHeight w:val="270"/>
        </w:trPr>
        <w:tc>
          <w:tcPr>
            <w:tcW w:w="680" w:type="dxa"/>
            <w:vAlign w:val="bottom"/>
          </w:tcPr>
          <w:p>
            <w:pPr>
              <w:jc w:val="right"/>
              <w:ind w:right="79"/>
              <w:spacing w:after="0"/>
              <w:rPr>
                <w:sz w:val="20"/>
                <w:szCs w:val="20"/>
                <w:color w:val="auto"/>
              </w:rPr>
            </w:pPr>
            <w:r>
              <w:rPr>
                <w:rFonts w:ascii="Arial" w:cs="Arial" w:eastAsia="Arial" w:hAnsi="Arial"/>
                <w:sz w:val="16"/>
                <w:szCs w:val="16"/>
                <w:color w:val="auto"/>
              </w:rPr>
              <w:t>71,603</w:t>
            </w:r>
          </w:p>
        </w:tc>
        <w:tc>
          <w:tcPr>
            <w:tcW w:w="52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115,666</w:t>
            </w:r>
          </w:p>
        </w:tc>
        <w:tc>
          <w:tcPr>
            <w:tcW w:w="180" w:type="dxa"/>
            <w:vAlign w:val="bottom"/>
          </w:tcPr>
          <w:p>
            <w:pPr>
              <w:spacing w:after="0"/>
              <w:rPr>
                <w:sz w:val="23"/>
                <w:szCs w:val="23"/>
                <w:color w:val="auto"/>
              </w:rPr>
            </w:pPr>
          </w:p>
        </w:tc>
      </w:tr>
      <w:tr>
        <w:trPr>
          <w:trHeight w:val="864"/>
        </w:trPr>
        <w:tc>
          <w:tcPr>
            <w:tcW w:w="680" w:type="dxa"/>
            <w:vAlign w:val="bottom"/>
          </w:tcPr>
          <w:p>
            <w:pPr>
              <w:jc w:val="right"/>
              <w:ind w:right="79"/>
              <w:spacing w:after="0"/>
              <w:rPr>
                <w:sz w:val="20"/>
                <w:szCs w:val="20"/>
                <w:color w:val="auto"/>
              </w:rPr>
            </w:pPr>
            <w:r>
              <w:rPr>
                <w:rFonts w:ascii="Arial" w:cs="Arial" w:eastAsia="Arial" w:hAnsi="Arial"/>
                <w:sz w:val="16"/>
                <w:szCs w:val="16"/>
                <w:color w:val="auto"/>
                <w:w w:val="86"/>
              </w:rPr>
              <w:t>172,025</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120,487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680" w:type="dxa"/>
            <w:vAlign w:val="bottom"/>
          </w:tcPr>
          <w:p>
            <w:pPr>
              <w:jc w:val="right"/>
              <w:ind w:right="79"/>
              <w:spacing w:after="0"/>
              <w:rPr>
                <w:sz w:val="20"/>
                <w:szCs w:val="20"/>
                <w:color w:val="auto"/>
              </w:rPr>
            </w:pPr>
            <w:r>
              <w:rPr>
                <w:rFonts w:ascii="Arial" w:cs="Arial" w:eastAsia="Arial" w:hAnsi="Arial"/>
                <w:sz w:val="16"/>
                <w:szCs w:val="16"/>
                <w:color w:val="auto"/>
              </w:rPr>
              <w:t>19,974</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5,958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810"/>
        </w:trPr>
        <w:tc>
          <w:tcPr>
            <w:tcW w:w="680" w:type="dxa"/>
            <w:vAlign w:val="bottom"/>
          </w:tcPr>
          <w:p>
            <w:pPr>
              <w:jc w:val="right"/>
              <w:ind w:right="79"/>
              <w:spacing w:after="0"/>
              <w:rPr>
                <w:sz w:val="20"/>
                <w:szCs w:val="20"/>
                <w:color w:val="auto"/>
              </w:rPr>
            </w:pPr>
            <w:r>
              <w:rPr>
                <w:rFonts w:ascii="Arial" w:cs="Arial" w:eastAsia="Arial" w:hAnsi="Arial"/>
                <w:sz w:val="16"/>
                <w:szCs w:val="16"/>
                <w:color w:val="auto"/>
              </w:rPr>
              <w:t>7,685</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(6,072)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680" w:type="dxa"/>
            <w:vAlign w:val="bottom"/>
          </w:tcPr>
          <w:p>
            <w:pPr>
              <w:jc w:val="right"/>
              <w:ind w:right="79"/>
              <w:spacing w:after="0"/>
              <w:rPr>
                <w:sz w:val="20"/>
                <w:szCs w:val="20"/>
                <w:color w:val="auto"/>
              </w:rPr>
            </w:pPr>
            <w:r>
              <w:rPr>
                <w:rFonts w:ascii="Arial" w:cs="Arial" w:eastAsia="Arial" w:hAnsi="Arial"/>
                <w:sz w:val="16"/>
                <w:szCs w:val="16"/>
                <w:color w:val="auto"/>
              </w:rPr>
              <w:t>7,684</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(6,072)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540"/>
        </w:trPr>
        <w:tc>
          <w:tcPr>
            <w:tcW w:w="680" w:type="dxa"/>
            <w:vAlign w:val="bottom"/>
          </w:tcPr>
          <w:p>
            <w:pPr>
              <w:jc w:val="right"/>
              <w:ind w:right="79"/>
              <w:spacing w:after="0"/>
              <w:rPr>
                <w:sz w:val="20"/>
                <w:szCs w:val="20"/>
                <w:color w:val="auto"/>
              </w:rPr>
            </w:pPr>
            <w:r>
              <w:rPr>
                <w:rFonts w:ascii="Arial" w:cs="Arial" w:eastAsia="Arial" w:hAnsi="Arial"/>
                <w:sz w:val="16"/>
                <w:szCs w:val="16"/>
                <w:color w:val="auto"/>
              </w:rPr>
              <w:t>0.09</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(0.07)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680" w:type="dxa"/>
            <w:vAlign w:val="bottom"/>
          </w:tcPr>
          <w:p>
            <w:pPr>
              <w:jc w:val="right"/>
              <w:ind w:right="79"/>
              <w:spacing w:after="0"/>
              <w:rPr>
                <w:sz w:val="20"/>
                <w:szCs w:val="20"/>
                <w:color w:val="auto"/>
              </w:rPr>
            </w:pPr>
            <w:r>
              <w:rPr>
                <w:rFonts w:ascii="Arial" w:cs="Arial" w:eastAsia="Arial" w:hAnsi="Arial"/>
                <w:sz w:val="16"/>
                <w:szCs w:val="16"/>
                <w:color w:val="auto"/>
              </w:rPr>
              <w:t>0.09</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(0.07)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540"/>
        </w:trPr>
        <w:tc>
          <w:tcPr>
            <w:tcW w:w="680" w:type="dxa"/>
            <w:vAlign w:val="bottom"/>
          </w:tcPr>
          <w:p>
            <w:pPr>
              <w:jc w:val="right"/>
              <w:ind w:right="79"/>
              <w:spacing w:after="0"/>
              <w:rPr>
                <w:sz w:val="20"/>
                <w:szCs w:val="20"/>
                <w:color w:val="auto"/>
              </w:rPr>
            </w:pPr>
            <w:r>
              <w:rPr>
                <w:rFonts w:ascii="Arial" w:cs="Arial" w:eastAsia="Arial" w:hAnsi="Arial"/>
                <w:sz w:val="16"/>
                <w:szCs w:val="16"/>
                <w:color w:val="auto"/>
              </w:rPr>
              <w:t>83,162</w:t>
            </w:r>
          </w:p>
        </w:tc>
        <w:tc>
          <w:tcPr>
            <w:tcW w:w="520" w:type="dxa"/>
            <w:vAlign w:val="bottom"/>
          </w:tcPr>
          <w:p>
            <w:pPr>
              <w:spacing w:after="0"/>
              <w:rPr>
                <w:sz w:val="24"/>
                <w:szCs w:val="24"/>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85,766</w:t>
            </w:r>
          </w:p>
        </w:tc>
        <w:tc>
          <w:tcPr>
            <w:tcW w:w="180" w:type="dxa"/>
            <w:vAlign w:val="bottom"/>
          </w:tcPr>
          <w:p>
            <w:pPr>
              <w:spacing w:after="0"/>
              <w:rPr>
                <w:sz w:val="24"/>
                <w:szCs w:val="24"/>
                <w:color w:val="auto"/>
              </w:rPr>
            </w:pPr>
          </w:p>
        </w:tc>
      </w:tr>
      <w:tr>
        <w:trPr>
          <w:trHeight w:val="270"/>
        </w:trPr>
        <w:tc>
          <w:tcPr>
            <w:tcW w:w="680" w:type="dxa"/>
            <w:vAlign w:val="bottom"/>
          </w:tcPr>
          <w:p>
            <w:pPr>
              <w:jc w:val="right"/>
              <w:ind w:right="79"/>
              <w:spacing w:after="0"/>
              <w:rPr>
                <w:sz w:val="20"/>
                <w:szCs w:val="20"/>
                <w:color w:val="auto"/>
              </w:rPr>
            </w:pPr>
            <w:r>
              <w:rPr>
                <w:rFonts w:ascii="Arial" w:cs="Arial" w:eastAsia="Arial" w:hAnsi="Arial"/>
                <w:sz w:val="16"/>
                <w:szCs w:val="16"/>
                <w:color w:val="auto"/>
              </w:rPr>
              <w:t>83,581</w:t>
            </w:r>
          </w:p>
        </w:tc>
        <w:tc>
          <w:tcPr>
            <w:tcW w:w="52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85,766</w:t>
            </w:r>
          </w:p>
        </w:tc>
        <w:tc>
          <w:tcPr>
            <w:tcW w:w="180" w:type="dxa"/>
            <w:vAlign w:val="bottom"/>
          </w:tcPr>
          <w:p>
            <w:pPr>
              <w:spacing w:after="0"/>
              <w:rPr>
                <w:sz w:val="23"/>
                <w:szCs w:val="23"/>
                <w:color w:val="auto"/>
              </w:rPr>
            </w:pPr>
          </w:p>
        </w:tc>
      </w:tr>
      <w:tr>
        <w:trPr>
          <w:trHeight w:val="810"/>
        </w:trPr>
        <w:tc>
          <w:tcPr>
            <w:tcW w:w="6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540"/>
        </w:trPr>
        <w:tc>
          <w:tcPr>
            <w:tcW w:w="6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(13.41)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6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680" w:type="dxa"/>
            <w:vAlign w:val="bottom"/>
          </w:tcPr>
          <w:p>
            <w:pPr>
              <w:jc w:val="right"/>
              <w:ind w:right="59"/>
              <w:spacing w:after="0"/>
              <w:rPr>
                <w:sz w:val="20"/>
                <w:szCs w:val="20"/>
                <w:color w:val="auto"/>
              </w:rPr>
            </w:pPr>
            <w:r>
              <w:rPr>
                <w:rFonts w:ascii="Arial" w:cs="Arial" w:eastAsia="Arial" w:hAnsi="Arial"/>
                <w:sz w:val="16"/>
                <w:szCs w:val="16"/>
                <w:color w:val="auto"/>
                <w:w w:val="89"/>
              </w:rPr>
              <w:t>126,903</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114,644</w:t>
            </w:r>
          </w:p>
        </w:tc>
      </w:tr>
      <w:tr>
        <w:trPr>
          <w:trHeight w:val="270"/>
        </w:trPr>
        <w:tc>
          <w:tcPr>
            <w:tcW w:w="680" w:type="dxa"/>
            <w:vAlign w:val="bottom"/>
          </w:tcPr>
          <w:p>
            <w:pPr>
              <w:jc w:val="right"/>
              <w:ind w:right="59"/>
              <w:spacing w:after="0"/>
              <w:rPr>
                <w:sz w:val="20"/>
                <w:szCs w:val="20"/>
                <w:color w:val="auto"/>
              </w:rPr>
            </w:pPr>
            <w:r>
              <w:rPr>
                <w:rFonts w:ascii="Arial" w:cs="Arial" w:eastAsia="Arial" w:hAnsi="Arial"/>
                <w:sz w:val="16"/>
                <w:szCs w:val="16"/>
                <w:color w:val="auto"/>
              </w:rPr>
              <w:t>59,787</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(9,299)</w:t>
            </w:r>
          </w:p>
        </w:tc>
      </w:tr>
      <w:tr>
        <w:trPr>
          <w:trHeight w:val="810"/>
        </w:trPr>
        <w:tc>
          <w:tcPr>
            <w:tcW w:w="680" w:type="dxa"/>
            <w:vAlign w:val="bottom"/>
          </w:tcPr>
          <w:p>
            <w:pPr>
              <w:jc w:val="right"/>
              <w:ind w:right="59"/>
              <w:spacing w:after="0"/>
              <w:rPr>
                <w:sz w:val="20"/>
                <w:szCs w:val="20"/>
                <w:color w:val="auto"/>
              </w:rPr>
            </w:pPr>
            <w:r>
              <w:rPr>
                <w:rFonts w:ascii="Arial" w:cs="Arial" w:eastAsia="Arial" w:hAnsi="Arial"/>
                <w:sz w:val="16"/>
                <w:szCs w:val="16"/>
                <w:color w:val="auto"/>
              </w:rPr>
              <w:t>38,112</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(21,187)</w:t>
            </w:r>
          </w:p>
        </w:tc>
      </w:tr>
      <w:tr>
        <w:trPr>
          <w:trHeight w:val="270"/>
        </w:trPr>
        <w:tc>
          <w:tcPr>
            <w:tcW w:w="680" w:type="dxa"/>
            <w:vAlign w:val="bottom"/>
          </w:tcPr>
          <w:p>
            <w:pPr>
              <w:jc w:val="right"/>
              <w:ind w:right="59"/>
              <w:spacing w:after="0"/>
              <w:rPr>
                <w:sz w:val="20"/>
                <w:szCs w:val="20"/>
                <w:color w:val="auto"/>
              </w:rPr>
            </w:pPr>
            <w:r>
              <w:rPr>
                <w:rFonts w:ascii="Arial" w:cs="Arial" w:eastAsia="Arial" w:hAnsi="Arial"/>
                <w:sz w:val="16"/>
                <w:szCs w:val="16"/>
                <w:color w:val="auto"/>
              </w:rPr>
              <w:t>43,293</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(21,187)</w:t>
            </w:r>
          </w:p>
        </w:tc>
      </w:tr>
      <w:tr>
        <w:trPr>
          <w:trHeight w:val="540"/>
        </w:trPr>
        <w:tc>
          <w:tcPr>
            <w:tcW w:w="680" w:type="dxa"/>
            <w:vAlign w:val="bottom"/>
          </w:tcPr>
          <w:p>
            <w:pPr>
              <w:jc w:val="right"/>
              <w:ind w:right="59"/>
              <w:spacing w:after="0"/>
              <w:rPr>
                <w:sz w:val="20"/>
                <w:szCs w:val="20"/>
                <w:color w:val="auto"/>
              </w:rPr>
            </w:pPr>
            <w:r>
              <w:rPr>
                <w:rFonts w:ascii="Arial" w:cs="Arial" w:eastAsia="Arial" w:hAnsi="Arial"/>
                <w:sz w:val="16"/>
                <w:szCs w:val="16"/>
                <w:color w:val="auto"/>
              </w:rPr>
              <w:t>0.52</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(0.27)</w:t>
            </w:r>
          </w:p>
        </w:tc>
      </w:tr>
      <w:tr>
        <w:trPr>
          <w:trHeight w:val="270"/>
        </w:trPr>
        <w:tc>
          <w:tcPr>
            <w:tcW w:w="680" w:type="dxa"/>
            <w:vAlign w:val="bottom"/>
          </w:tcPr>
          <w:p>
            <w:pPr>
              <w:jc w:val="right"/>
              <w:ind w:right="59"/>
              <w:spacing w:after="0"/>
              <w:rPr>
                <w:sz w:val="20"/>
                <w:szCs w:val="20"/>
                <w:color w:val="auto"/>
              </w:rPr>
            </w:pPr>
            <w:r>
              <w:rPr>
                <w:rFonts w:ascii="Arial" w:cs="Arial" w:eastAsia="Arial" w:hAnsi="Arial"/>
                <w:sz w:val="16"/>
                <w:szCs w:val="16"/>
                <w:color w:val="auto"/>
              </w:rPr>
              <w:t>0.37</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(0.27)</w:t>
            </w:r>
          </w:p>
        </w:tc>
      </w:tr>
      <w:tr>
        <w:trPr>
          <w:trHeight w:val="540"/>
        </w:trPr>
        <w:tc>
          <w:tcPr>
            <w:tcW w:w="680" w:type="dxa"/>
            <w:vAlign w:val="bottom"/>
          </w:tcPr>
          <w:p>
            <w:pPr>
              <w:jc w:val="right"/>
              <w:ind w:right="59"/>
              <w:spacing w:after="0"/>
              <w:rPr>
                <w:sz w:val="20"/>
                <w:szCs w:val="20"/>
                <w:color w:val="auto"/>
              </w:rPr>
            </w:pPr>
            <w:r>
              <w:rPr>
                <w:rFonts w:ascii="Arial" w:cs="Arial" w:eastAsia="Arial" w:hAnsi="Arial"/>
                <w:sz w:val="16"/>
                <w:szCs w:val="16"/>
                <w:color w:val="auto"/>
              </w:rPr>
              <w:t>73,984</w:t>
            </w: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77,060</w:t>
            </w:r>
          </w:p>
        </w:tc>
      </w:tr>
      <w:tr>
        <w:trPr>
          <w:trHeight w:val="270"/>
        </w:trPr>
        <w:tc>
          <w:tcPr>
            <w:tcW w:w="680" w:type="dxa"/>
            <w:vAlign w:val="bottom"/>
          </w:tcPr>
          <w:p>
            <w:pPr>
              <w:jc w:val="right"/>
              <w:ind w:right="59"/>
              <w:spacing w:after="0"/>
              <w:rPr>
                <w:sz w:val="20"/>
                <w:szCs w:val="20"/>
                <w:color w:val="auto"/>
              </w:rPr>
            </w:pPr>
            <w:r>
              <w:rPr>
                <w:rFonts w:ascii="Arial" w:cs="Arial" w:eastAsia="Arial" w:hAnsi="Arial"/>
                <w:sz w:val="16"/>
                <w:szCs w:val="16"/>
                <w:color w:val="auto"/>
                <w:w w:val="89"/>
              </w:rPr>
              <w:t>118,510</w:t>
            </w: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77,060</w:t>
            </w:r>
          </w:p>
        </w:tc>
      </w:tr>
      <w:tr>
        <w:trPr>
          <w:trHeight w:val="864"/>
        </w:trPr>
        <w:tc>
          <w:tcPr>
            <w:tcW w:w="680" w:type="dxa"/>
            <w:vAlign w:val="bottom"/>
          </w:tcPr>
          <w:p>
            <w:pPr>
              <w:jc w:val="right"/>
              <w:ind w:right="59"/>
              <w:spacing w:after="0"/>
              <w:rPr>
                <w:sz w:val="20"/>
                <w:szCs w:val="20"/>
                <w:color w:val="auto"/>
              </w:rPr>
            </w:pPr>
            <w:r>
              <w:rPr>
                <w:rFonts w:ascii="Arial" w:cs="Arial" w:eastAsia="Arial" w:hAnsi="Arial"/>
                <w:sz w:val="16"/>
                <w:szCs w:val="16"/>
                <w:color w:val="auto"/>
                <w:w w:val="89"/>
              </w:rPr>
              <w:t>109,185</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112,857</w:t>
            </w:r>
          </w:p>
        </w:tc>
      </w:tr>
      <w:tr>
        <w:trPr>
          <w:trHeight w:val="270"/>
        </w:trPr>
        <w:tc>
          <w:tcPr>
            <w:tcW w:w="680" w:type="dxa"/>
            <w:vAlign w:val="bottom"/>
          </w:tcPr>
          <w:p>
            <w:pPr>
              <w:jc w:val="right"/>
              <w:ind w:right="19"/>
              <w:spacing w:after="0"/>
              <w:rPr>
                <w:sz w:val="20"/>
                <w:szCs w:val="20"/>
                <w:color w:val="auto"/>
              </w:rPr>
            </w:pPr>
            <w:r>
              <w:rPr>
                <w:rFonts w:ascii="Arial" w:cs="Arial" w:eastAsia="Arial" w:hAnsi="Arial"/>
                <w:sz w:val="16"/>
                <w:szCs w:val="16"/>
                <w:color w:val="auto"/>
                <w:w w:val="93"/>
              </w:rPr>
              <w:t>(19,776)</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(12,313)</w:t>
            </w:r>
          </w:p>
        </w:tc>
      </w:tr>
      <w:tr>
        <w:trPr>
          <w:trHeight w:val="810"/>
        </w:trPr>
        <w:tc>
          <w:tcPr>
            <w:tcW w:w="680" w:type="dxa"/>
            <w:vAlign w:val="bottom"/>
          </w:tcPr>
          <w:p>
            <w:pPr>
              <w:jc w:val="right"/>
              <w:ind w:right="19"/>
              <w:spacing w:after="0"/>
              <w:rPr>
                <w:sz w:val="20"/>
                <w:szCs w:val="20"/>
                <w:color w:val="auto"/>
              </w:rPr>
            </w:pPr>
            <w:r>
              <w:rPr>
                <w:rFonts w:ascii="Arial" w:cs="Arial" w:eastAsia="Arial" w:hAnsi="Arial"/>
                <w:sz w:val="16"/>
                <w:szCs w:val="16"/>
                <w:color w:val="auto"/>
                <w:w w:val="93"/>
              </w:rPr>
              <w:t>(30,950)</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(22,553)</w:t>
            </w:r>
          </w:p>
        </w:tc>
      </w:tr>
      <w:tr>
        <w:trPr>
          <w:trHeight w:val="270"/>
        </w:trPr>
        <w:tc>
          <w:tcPr>
            <w:tcW w:w="680" w:type="dxa"/>
            <w:vAlign w:val="bottom"/>
          </w:tcPr>
          <w:p>
            <w:pPr>
              <w:jc w:val="right"/>
              <w:ind w:right="19"/>
              <w:spacing w:after="0"/>
              <w:rPr>
                <w:sz w:val="20"/>
                <w:szCs w:val="20"/>
                <w:color w:val="auto"/>
              </w:rPr>
            </w:pPr>
            <w:r>
              <w:rPr>
                <w:rFonts w:ascii="Arial" w:cs="Arial" w:eastAsia="Arial" w:hAnsi="Arial"/>
                <w:sz w:val="16"/>
                <w:szCs w:val="16"/>
                <w:color w:val="auto"/>
                <w:w w:val="93"/>
              </w:rPr>
              <w:t>(30,950)</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(22,553)</w:t>
            </w:r>
          </w:p>
        </w:tc>
      </w:tr>
      <w:tr>
        <w:trPr>
          <w:trHeight w:val="540"/>
        </w:trPr>
        <w:tc>
          <w:tcPr>
            <w:tcW w:w="680" w:type="dxa"/>
            <w:vAlign w:val="bottom"/>
          </w:tcPr>
          <w:p>
            <w:pPr>
              <w:jc w:val="right"/>
              <w:ind w:right="19"/>
              <w:spacing w:after="0"/>
              <w:rPr>
                <w:sz w:val="20"/>
                <w:szCs w:val="20"/>
                <w:color w:val="auto"/>
              </w:rPr>
            </w:pPr>
            <w:r>
              <w:rPr>
                <w:rFonts w:ascii="Arial" w:cs="Arial" w:eastAsia="Arial" w:hAnsi="Arial"/>
                <w:sz w:val="16"/>
                <w:szCs w:val="16"/>
                <w:color w:val="auto"/>
              </w:rPr>
              <w:t>(0.36)</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(0.26)</w:t>
            </w:r>
          </w:p>
        </w:tc>
      </w:tr>
      <w:tr>
        <w:trPr>
          <w:trHeight w:val="270"/>
        </w:trPr>
        <w:tc>
          <w:tcPr>
            <w:tcW w:w="680" w:type="dxa"/>
            <w:vAlign w:val="bottom"/>
          </w:tcPr>
          <w:p>
            <w:pPr>
              <w:jc w:val="right"/>
              <w:ind w:right="19"/>
              <w:spacing w:after="0"/>
              <w:rPr>
                <w:sz w:val="20"/>
                <w:szCs w:val="20"/>
                <w:color w:val="auto"/>
              </w:rPr>
            </w:pPr>
            <w:r>
              <w:rPr>
                <w:rFonts w:ascii="Arial" w:cs="Arial" w:eastAsia="Arial" w:hAnsi="Arial"/>
                <w:sz w:val="16"/>
                <w:szCs w:val="16"/>
                <w:color w:val="auto"/>
              </w:rPr>
              <w:t>(0.36)</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(0.26)</w:t>
            </w:r>
          </w:p>
        </w:tc>
      </w:tr>
      <w:tr>
        <w:trPr>
          <w:trHeight w:val="540"/>
        </w:trPr>
        <w:tc>
          <w:tcPr>
            <w:tcW w:w="680" w:type="dxa"/>
            <w:vAlign w:val="bottom"/>
          </w:tcPr>
          <w:p>
            <w:pPr>
              <w:jc w:val="right"/>
              <w:ind w:right="59"/>
              <w:spacing w:after="0"/>
              <w:rPr>
                <w:sz w:val="20"/>
                <w:szCs w:val="20"/>
                <w:color w:val="auto"/>
              </w:rPr>
            </w:pPr>
            <w:r>
              <w:rPr>
                <w:rFonts w:ascii="Arial" w:cs="Arial" w:eastAsia="Arial" w:hAnsi="Arial"/>
                <w:sz w:val="16"/>
                <w:szCs w:val="16"/>
                <w:color w:val="auto"/>
              </w:rPr>
              <w:t>85,541</w:t>
            </w: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85,497</w:t>
            </w:r>
          </w:p>
        </w:tc>
      </w:tr>
      <w:tr>
        <w:trPr>
          <w:trHeight w:val="270"/>
        </w:trPr>
        <w:tc>
          <w:tcPr>
            <w:tcW w:w="680" w:type="dxa"/>
            <w:vAlign w:val="bottom"/>
          </w:tcPr>
          <w:p>
            <w:pPr>
              <w:jc w:val="right"/>
              <w:ind w:right="59"/>
              <w:spacing w:after="0"/>
              <w:rPr>
                <w:sz w:val="20"/>
                <w:szCs w:val="20"/>
                <w:color w:val="auto"/>
              </w:rPr>
            </w:pPr>
            <w:r>
              <w:rPr>
                <w:rFonts w:ascii="Arial" w:cs="Arial" w:eastAsia="Arial" w:hAnsi="Arial"/>
                <w:sz w:val="16"/>
                <w:szCs w:val="16"/>
                <w:color w:val="auto"/>
              </w:rPr>
              <w:t>85,541</w:t>
            </w: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85,497</w:t>
            </w:r>
          </w:p>
        </w:tc>
      </w:tr>
      <w:tr>
        <w:trPr>
          <w:trHeight w:val="810"/>
        </w:trPr>
        <w:tc>
          <w:tcPr>
            <w:tcW w:w="680" w:type="dxa"/>
            <w:vAlign w:val="bottom"/>
          </w:tcPr>
          <w:p>
            <w:pPr>
              <w:jc w:val="right"/>
              <w:ind w:right="19"/>
              <w:spacing w:after="0"/>
              <w:rPr>
                <w:sz w:val="20"/>
                <w:szCs w:val="20"/>
                <w:color w:val="auto"/>
              </w:rPr>
            </w:pPr>
            <w:r>
              <w:rPr>
                <w:rFonts w:ascii="Arial" w:cs="Arial" w:eastAsia="Arial" w:hAnsi="Arial"/>
                <w:sz w:val="16"/>
                <w:szCs w:val="16"/>
                <w:color w:val="auto"/>
              </w:rPr>
              <w:t>(1,027)</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(749)</w:t>
            </w:r>
          </w:p>
        </w:tc>
      </w:tr>
      <w:tr>
        <w:trPr>
          <w:trHeight w:val="540"/>
        </w:trPr>
        <w:tc>
          <w:tcPr>
            <w:tcW w:w="680" w:type="dxa"/>
            <w:vAlign w:val="bottom"/>
          </w:tcPr>
          <w:p>
            <w:pPr>
              <w:jc w:val="right"/>
              <w:ind w:right="19"/>
              <w:spacing w:after="0"/>
              <w:rPr>
                <w:sz w:val="20"/>
                <w:szCs w:val="20"/>
                <w:color w:val="auto"/>
              </w:rPr>
            </w:pPr>
            <w:r>
              <w:rPr>
                <w:rFonts w:ascii="Arial" w:cs="Arial" w:eastAsia="Arial" w:hAnsi="Arial"/>
                <w:sz w:val="16"/>
                <w:szCs w:val="16"/>
                <w:color w:val="auto"/>
              </w:rPr>
              <w:t>(68.47)</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(49.93)</w:t>
            </w:r>
          </w:p>
        </w:tc>
      </w:tr>
      <w:tr>
        <w:trPr>
          <w:trHeight w:val="270"/>
        </w:trPr>
        <w:tc>
          <w:tcPr>
            <w:tcW w:w="680" w:type="dxa"/>
            <w:vAlign w:val="bottom"/>
          </w:tcPr>
          <w:p>
            <w:pPr>
              <w:jc w:val="right"/>
              <w:ind w:right="59"/>
              <w:spacing w:after="0"/>
              <w:rPr>
                <w:sz w:val="20"/>
                <w:szCs w:val="20"/>
                <w:color w:val="auto"/>
              </w:rPr>
            </w:pPr>
            <w:r>
              <w:rPr>
                <w:rFonts w:ascii="Arial" w:cs="Arial" w:eastAsia="Arial" w:hAnsi="Arial"/>
                <w:sz w:val="16"/>
                <w:szCs w:val="16"/>
                <w:color w:val="auto"/>
              </w:rPr>
              <w:t>15</w:t>
            </w: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w:t>
            </w:r>
          </w:p>
        </w:tc>
      </w:tr>
    </w:tbl>
    <w:p>
      <w:pPr>
        <w:spacing w:after="0" w:line="188" w:lineRule="exact"/>
        <w:rPr>
          <w:sz w:val="20"/>
          <w:szCs w:val="20"/>
          <w:color w:val="auto"/>
        </w:rPr>
      </w:pPr>
    </w:p>
    <w:p>
      <w:pPr>
        <w:sectPr>
          <w:pgSz w:w="11900" w:h="16838" w:orient="portrait"/>
          <w:cols w:equalWidth="0" w:num="3">
            <w:col w:w="5720" w:space="640"/>
            <w:col w:w="2360" w:space="600"/>
            <w:col w:w="2100"/>
          </w:cols>
          <w:pgMar w:left="240" w:top="122" w:right="239" w:bottom="1440" w:gutter="0" w:footer="0" w:header="0"/>
          <w:type w:val="continuous"/>
        </w:sectPr>
      </w:pPr>
    </w:p>
    <w:p>
      <w:pPr>
        <w:ind w:left="420" w:hanging="412"/>
        <w:spacing w:after="0" w:line="241" w:lineRule="auto"/>
        <w:tabs>
          <w:tab w:leader="none" w:pos="232" w:val="left"/>
        </w:tabs>
        <w:numPr>
          <w:ilvl w:val="0"/>
          <w:numId w:val="60"/>
        </w:numPr>
        <w:rPr>
          <w:rFonts w:ascii="Arial" w:cs="Arial" w:eastAsia="Arial" w:hAnsi="Arial"/>
          <w:sz w:val="14"/>
          <w:szCs w:val="14"/>
          <w:color w:val="auto"/>
        </w:rPr>
      </w:pPr>
      <w:r>
        <w:rPr>
          <w:rFonts w:ascii="Arial" w:cs="Arial" w:eastAsia="Arial" w:hAnsi="Arial"/>
          <w:sz w:val="14"/>
          <w:szCs w:val="14"/>
          <w:color w:val="auto"/>
        </w:rPr>
        <w:t>Basic and diluted EPS are computed independently based on the weighted-average shares of common stock and stock equivalents outstanding for each period. Accordingly, the sum of the quarterly EPS amounts may not agree to the total for the year.</w:t>
      </w:r>
    </w:p>
    <w:p>
      <w:pPr>
        <w:ind w:left="420" w:hanging="412"/>
        <w:spacing w:after="0"/>
        <w:tabs>
          <w:tab w:leader="none" w:pos="420" w:val="left"/>
        </w:tabs>
        <w:numPr>
          <w:ilvl w:val="0"/>
          <w:numId w:val="60"/>
        </w:numPr>
        <w:rPr>
          <w:rFonts w:ascii="Arial" w:cs="Arial" w:eastAsia="Arial" w:hAnsi="Arial"/>
          <w:sz w:val="13"/>
          <w:szCs w:val="13"/>
          <w:color w:val="auto"/>
        </w:rPr>
      </w:pPr>
      <w:r>
        <w:rPr>
          <w:rFonts w:ascii="Arial" w:cs="Arial" w:eastAsia="Arial" w:hAnsi="Arial"/>
          <w:sz w:val="13"/>
          <w:szCs w:val="13"/>
          <w:color w:val="auto"/>
        </w:rPr>
        <w:t>For the quarter ended June 30, 2016 includes net income attributable to iStar Inc. and allocable to Participating Security Holders of $20 and $14 on a basic and dilutive basis, respectively.</w:t>
      </w:r>
    </w:p>
    <w:p>
      <w:pPr>
        <w:spacing w:after="0" w:line="12" w:lineRule="exact"/>
        <w:rPr>
          <w:rFonts w:ascii="Arial" w:cs="Arial" w:eastAsia="Arial" w:hAnsi="Arial"/>
          <w:sz w:val="13"/>
          <w:szCs w:val="13"/>
          <w:color w:val="auto"/>
        </w:rPr>
      </w:pPr>
    </w:p>
    <w:p>
      <w:pPr>
        <w:ind w:left="420" w:hanging="412"/>
        <w:spacing w:after="0"/>
        <w:tabs>
          <w:tab w:leader="none" w:pos="420" w:val="left"/>
        </w:tabs>
        <w:numPr>
          <w:ilvl w:val="0"/>
          <w:numId w:val="60"/>
        </w:numPr>
        <w:rPr>
          <w:rFonts w:ascii="Arial" w:cs="Arial" w:eastAsia="Arial" w:hAnsi="Arial"/>
          <w:sz w:val="13"/>
          <w:szCs w:val="13"/>
          <w:color w:val="auto"/>
        </w:rPr>
      </w:pPr>
      <w:r>
        <w:rPr>
          <w:rFonts w:ascii="Arial" w:cs="Arial" w:eastAsia="Arial" w:hAnsi="Arial"/>
          <w:sz w:val="13"/>
          <w:szCs w:val="13"/>
          <w:color w:val="auto"/>
        </w:rPr>
        <w:t>For the quarter ended December 31, 2015 includes net income attributable to iStar Inc. and allocable to Participating Security Holders of $5 and $5 on a basic and dilutive basis, respectively.</w:t>
      </w:r>
    </w:p>
    <w:p>
      <w:pPr>
        <w:spacing w:after="0" w:line="12" w:lineRule="exact"/>
        <w:rPr>
          <w:rFonts w:ascii="Arial" w:cs="Arial" w:eastAsia="Arial" w:hAnsi="Arial"/>
          <w:sz w:val="13"/>
          <w:szCs w:val="13"/>
          <w:color w:val="auto"/>
        </w:rPr>
      </w:pPr>
    </w:p>
    <w:p>
      <w:pPr>
        <w:ind w:left="420" w:hanging="412"/>
        <w:spacing w:after="0"/>
        <w:tabs>
          <w:tab w:leader="none" w:pos="4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All of the Company's outstanding HPUs were repurchased and retired on August 13, 2015 (refer to Note 13).</w:t>
      </w:r>
    </w:p>
    <w:p>
      <w:pPr>
        <w:sectPr>
          <w:pgSz w:w="11900" w:h="16838" w:orient="portrait"/>
          <w:cols w:equalWidth="0" w:num="1">
            <w:col w:w="11420"/>
          </w:cols>
          <w:pgMar w:left="240" w:top="12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1420"/>
          </w:cols>
          <w:pgMar w:left="240" w:top="122" w:right="239"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 and Reserves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Balance at</w:t>
            </w: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Charged to</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Adjustments</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154"/>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Beginning</w:t>
            </w:r>
          </w:p>
        </w:tc>
        <w:tc>
          <w:tcPr>
            <w:tcW w:w="2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Costs and</w:t>
            </w:r>
          </w:p>
        </w:tc>
        <w:tc>
          <w:tcPr>
            <w:tcW w:w="18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to Valuation</w:t>
            </w:r>
          </w:p>
        </w:tc>
        <w:tc>
          <w:tcPr>
            <w:tcW w:w="160" w:type="dxa"/>
            <w:vAlign w:val="bottom"/>
          </w:tcPr>
          <w:p>
            <w:pPr>
              <w:spacing w:after="0"/>
              <w:rPr>
                <w:sz w:val="12"/>
                <w:szCs w:val="12"/>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Deductions</w:t>
            </w:r>
          </w:p>
        </w:tc>
        <w:tc>
          <w:tcPr>
            <w:tcW w:w="240" w:type="dxa"/>
            <w:vAlign w:val="bottom"/>
          </w:tcPr>
          <w:p>
            <w:pPr>
              <w:spacing w:after="0"/>
              <w:rPr>
                <w:sz w:val="12"/>
                <w:szCs w:val="12"/>
                <w:color w:val="auto"/>
              </w:rPr>
            </w:pPr>
          </w:p>
        </w:tc>
        <w:tc>
          <w:tcPr>
            <w:tcW w:w="1120" w:type="dxa"/>
            <w:vAlign w:val="bottom"/>
          </w:tcPr>
          <w:p>
            <w:pPr>
              <w:jc w:val="center"/>
              <w:ind w:right="174"/>
              <w:spacing w:after="0" w:line="149" w:lineRule="exact"/>
              <w:rPr>
                <w:sz w:val="20"/>
                <w:szCs w:val="20"/>
                <w:color w:val="auto"/>
              </w:rPr>
            </w:pPr>
            <w:r>
              <w:rPr>
                <w:rFonts w:ascii="Arial" w:cs="Arial" w:eastAsia="Arial" w:hAnsi="Arial"/>
                <w:sz w:val="14"/>
                <w:szCs w:val="14"/>
                <w:b w:val="1"/>
                <w:bCs w:val="1"/>
                <w:color w:val="auto"/>
                <w:w w:val="98"/>
              </w:rPr>
              <w:t>End</w:t>
            </w: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of Period</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Expenses</w:t>
            </w: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Accounts</w:t>
            </w: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54"/>
              <w:spacing w:after="0"/>
              <w:rPr>
                <w:sz w:val="20"/>
                <w:szCs w:val="20"/>
                <w:color w:val="auto"/>
              </w:rPr>
            </w:pPr>
            <w:r>
              <w:rPr>
                <w:rFonts w:ascii="Arial" w:cs="Arial" w:eastAsia="Arial" w:hAnsi="Arial"/>
                <w:sz w:val="14"/>
                <w:szCs w:val="14"/>
                <w:b w:val="1"/>
                <w:bCs w:val="1"/>
                <w:color w:val="auto"/>
                <w:w w:val="92"/>
              </w:rPr>
              <w:t>of Period</w:t>
            </w:r>
          </w:p>
        </w:tc>
        <w:tc>
          <w:tcPr>
            <w:tcW w:w="0" w:type="dxa"/>
            <w:vAlign w:val="bottom"/>
          </w:tcPr>
          <w:p>
            <w:pPr>
              <w:spacing w:after="0"/>
              <w:rPr>
                <w:sz w:val="1"/>
                <w:szCs w:val="1"/>
                <w:color w:val="auto"/>
              </w:rPr>
            </w:pPr>
          </w:p>
        </w:tc>
      </w:tr>
      <w:tr>
        <w:trPr>
          <w:trHeight w:val="250"/>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Year Ended December 31, 2014</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580" w:type="dxa"/>
            <w:vAlign w:val="bottom"/>
          </w:tcPr>
          <w:p>
            <w:pPr>
              <w:ind w:left="180"/>
              <w:spacing w:after="0" w:line="270" w:lineRule="exact"/>
              <w:rPr>
                <w:sz w:val="20"/>
                <w:szCs w:val="20"/>
                <w:color w:val="auto"/>
              </w:rPr>
            </w:pPr>
            <w:r>
              <w:rPr>
                <w:rFonts w:ascii="Arial" w:cs="Arial" w:eastAsia="Arial" w:hAnsi="Arial"/>
                <w:sz w:val="18"/>
                <w:szCs w:val="18"/>
                <w:color w:val="auto"/>
              </w:rPr>
              <w:t>Reserve for loan losses</w:t>
            </w:r>
            <w:r>
              <w:rPr>
                <w:rFonts w:ascii="Arial" w:cs="Arial" w:eastAsia="Arial" w:hAnsi="Arial"/>
                <w:sz w:val="25"/>
                <w:szCs w:val="25"/>
                <w:color w:val="auto"/>
                <w:vertAlign w:val="superscript"/>
              </w:rPr>
              <w:t>(1)(2)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377,204</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(1,714)</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(277,000)</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98,490</w:t>
            </w:r>
          </w:p>
        </w:tc>
        <w:tc>
          <w:tcPr>
            <w:tcW w:w="0" w:type="dxa"/>
            <w:vAlign w:val="bottom"/>
          </w:tcPr>
          <w:p>
            <w:pPr>
              <w:spacing w:after="0"/>
              <w:rPr>
                <w:sz w:val="1"/>
                <w:szCs w:val="1"/>
                <w:color w:val="auto"/>
              </w:rPr>
            </w:pPr>
          </w:p>
        </w:tc>
      </w:tr>
      <w:tr>
        <w:trPr>
          <w:trHeight w:val="270"/>
        </w:trPr>
        <w:tc>
          <w:tcPr>
            <w:tcW w:w="45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Allowance for doubtful accounts</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5,857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2,074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3,646</w:t>
            </w:r>
          </w:p>
        </w:tc>
        <w:tc>
          <w:tcPr>
            <w:tcW w:w="0" w:type="dxa"/>
            <w:vAlign w:val="bottom"/>
          </w:tcPr>
          <w:p>
            <w:pPr>
              <w:spacing w:after="0"/>
              <w:rPr>
                <w:sz w:val="1"/>
                <w:szCs w:val="1"/>
                <w:color w:val="auto"/>
              </w:rPr>
            </w:pPr>
          </w:p>
        </w:tc>
      </w:tr>
      <w:tr>
        <w:trPr>
          <w:trHeight w:val="270"/>
        </w:trPr>
        <w:tc>
          <w:tcPr>
            <w:tcW w:w="4580" w:type="dxa"/>
            <w:vAlign w:val="bottom"/>
          </w:tcPr>
          <w:p>
            <w:pPr>
              <w:ind w:left="180"/>
              <w:spacing w:after="0" w:line="270" w:lineRule="exact"/>
              <w:rPr>
                <w:sz w:val="20"/>
                <w:szCs w:val="20"/>
                <w:color w:val="auto"/>
              </w:rPr>
            </w:pPr>
            <w:r>
              <w:rPr>
                <w:rFonts w:ascii="Arial" w:cs="Arial" w:eastAsia="Arial" w:hAnsi="Arial"/>
                <w:sz w:val="18"/>
                <w:szCs w:val="18"/>
                <w:color w:val="auto"/>
              </w:rPr>
              <w:t>Allowance for deferred tax assets</w:t>
            </w:r>
            <w:r>
              <w:rPr>
                <w:rFonts w:ascii="Arial" w:cs="Arial" w:eastAsia="Arial" w:hAnsi="Arial"/>
                <w:sz w:val="25"/>
                <w:szCs w:val="25"/>
                <w:color w:val="auto"/>
                <w:vertAlign w:val="superscript"/>
              </w:rPr>
              <w:t>(2)</w:t>
            </w:r>
          </w:p>
        </w:tc>
        <w:tc>
          <w:tcPr>
            <w:tcW w:w="260" w:type="dxa"/>
            <w:vAlign w:val="bottom"/>
          </w:tcPr>
          <w:p>
            <w:pPr>
              <w:spacing w:after="0"/>
              <w:rPr>
                <w:sz w:val="23"/>
                <w:szCs w:val="23"/>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56,262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(6,246)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4,302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54,318</w:t>
            </w:r>
          </w:p>
        </w:tc>
        <w:tc>
          <w:tcPr>
            <w:tcW w:w="0" w:type="dxa"/>
            <w:vAlign w:val="bottom"/>
          </w:tcPr>
          <w:p>
            <w:pPr>
              <w:spacing w:after="0"/>
              <w:rPr>
                <w:sz w:val="1"/>
                <w:szCs w:val="1"/>
                <w:color w:val="auto"/>
              </w:rPr>
            </w:pPr>
          </w:p>
        </w:tc>
      </w:tr>
      <w:tr>
        <w:trPr>
          <w:trHeight w:val="244"/>
        </w:trPr>
        <w:tc>
          <w:tcPr>
            <w:tcW w:w="45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439,323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(281,285)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156,454</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For the Year Ended December 31, 2015</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Reserve for loan losses</w:t>
            </w:r>
            <w:r>
              <w:rPr>
                <w:rFonts w:ascii="Arial" w:cs="Arial" w:eastAsia="Arial" w:hAnsi="Arial"/>
                <w:sz w:val="25"/>
                <w:szCs w:val="25"/>
                <w:color w:val="auto"/>
                <w:vertAlign w:val="superscript"/>
              </w:rPr>
              <w:t>(1)(2)</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98,490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36,567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108,165</w:t>
            </w:r>
          </w:p>
        </w:tc>
        <w:tc>
          <w:tcPr>
            <w:tcW w:w="0" w:type="dxa"/>
            <w:vAlign w:val="bottom"/>
          </w:tcPr>
          <w:p>
            <w:pPr>
              <w:spacing w:after="0"/>
              <w:rPr>
                <w:sz w:val="1"/>
                <w:szCs w:val="1"/>
                <w:color w:val="auto"/>
              </w:rPr>
            </w:pPr>
          </w:p>
        </w:tc>
      </w:tr>
      <w:tr>
        <w:trPr>
          <w:trHeight w:val="270"/>
        </w:trPr>
        <w:tc>
          <w:tcPr>
            <w:tcW w:w="4580" w:type="dxa"/>
            <w:vAlign w:val="bottom"/>
          </w:tcPr>
          <w:p>
            <w:pPr>
              <w:ind w:left="180"/>
              <w:spacing w:after="0" w:line="270" w:lineRule="exact"/>
              <w:rPr>
                <w:sz w:val="20"/>
                <w:szCs w:val="20"/>
                <w:color w:val="auto"/>
              </w:rPr>
            </w:pPr>
            <w:r>
              <w:rPr>
                <w:rFonts w:ascii="Arial" w:cs="Arial" w:eastAsia="Arial" w:hAnsi="Arial"/>
                <w:sz w:val="18"/>
                <w:szCs w:val="18"/>
                <w:color w:val="auto"/>
              </w:rPr>
              <w:t>Allowance for doubtful accounts</w:t>
            </w:r>
            <w:r>
              <w:rPr>
                <w:rFonts w:ascii="Arial" w:cs="Arial" w:eastAsia="Arial" w:hAnsi="Arial"/>
                <w:sz w:val="25"/>
                <w:szCs w:val="25"/>
                <w:color w:val="auto"/>
                <w:vertAlign w:val="superscript"/>
              </w:rPr>
              <w:t>(2)</w:t>
            </w:r>
          </w:p>
        </w:tc>
        <w:tc>
          <w:tcPr>
            <w:tcW w:w="260" w:type="dxa"/>
            <w:vAlign w:val="bottom"/>
          </w:tcPr>
          <w:p>
            <w:pPr>
              <w:spacing w:after="0"/>
              <w:rPr>
                <w:sz w:val="23"/>
                <w:szCs w:val="23"/>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3,646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3,384</w:t>
            </w:r>
          </w:p>
        </w:tc>
        <w:tc>
          <w:tcPr>
            <w:tcW w:w="0" w:type="dxa"/>
            <w:vAlign w:val="bottom"/>
          </w:tcPr>
          <w:p>
            <w:pPr>
              <w:spacing w:after="0"/>
              <w:rPr>
                <w:sz w:val="1"/>
                <w:szCs w:val="1"/>
                <w:color w:val="auto"/>
              </w:rPr>
            </w:pPr>
          </w:p>
        </w:tc>
      </w:tr>
      <w:tr>
        <w:trPr>
          <w:trHeight w:val="270"/>
        </w:trPr>
        <w:tc>
          <w:tcPr>
            <w:tcW w:w="45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Allowance for deferred tax assets</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54,318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53,910</w:t>
            </w: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156,454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37,616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(28,513)</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165,459</w:t>
            </w:r>
          </w:p>
        </w:tc>
        <w:tc>
          <w:tcPr>
            <w:tcW w:w="0" w:type="dxa"/>
            <w:vAlign w:val="bottom"/>
          </w:tcPr>
          <w:p>
            <w:pPr>
              <w:spacing w:after="0"/>
              <w:rPr>
                <w:sz w:val="1"/>
                <w:szCs w:val="1"/>
                <w:color w:val="auto"/>
              </w:rPr>
            </w:pPr>
          </w:p>
        </w:tc>
      </w:tr>
      <w:tr>
        <w:trPr>
          <w:trHeight w:val="67"/>
        </w:trPr>
        <w:tc>
          <w:tcPr>
            <w:tcW w:w="458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Year Ended December 31, 2016</w:t>
            </w: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580" w:type="dxa"/>
            <w:vAlign w:val="bottom"/>
          </w:tcPr>
          <w:p>
            <w:pPr>
              <w:ind w:left="180"/>
              <w:spacing w:after="0" w:line="270" w:lineRule="exact"/>
              <w:rPr>
                <w:sz w:val="20"/>
                <w:szCs w:val="20"/>
                <w:color w:val="auto"/>
              </w:rPr>
            </w:pPr>
            <w:r>
              <w:rPr>
                <w:rFonts w:ascii="Arial" w:cs="Arial" w:eastAsia="Arial" w:hAnsi="Arial"/>
                <w:sz w:val="18"/>
                <w:szCs w:val="18"/>
                <w:color w:val="auto"/>
              </w:rPr>
              <w:t>Reserve for loan losses</w:t>
            </w:r>
            <w:r>
              <w:rPr>
                <w:rFonts w:ascii="Arial" w:cs="Arial" w:eastAsia="Arial" w:hAnsi="Arial"/>
                <w:sz w:val="25"/>
                <w:szCs w:val="25"/>
                <w:color w:val="auto"/>
                <w:vertAlign w:val="superscript"/>
              </w:rPr>
              <w:t>(1)(2)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108,165</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(12,514)</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(10,106)</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85,545</w:t>
            </w:r>
          </w:p>
        </w:tc>
        <w:tc>
          <w:tcPr>
            <w:tcW w:w="0" w:type="dxa"/>
            <w:vAlign w:val="bottom"/>
          </w:tcPr>
          <w:p>
            <w:pPr>
              <w:spacing w:after="0"/>
              <w:rPr>
                <w:sz w:val="1"/>
                <w:szCs w:val="1"/>
                <w:color w:val="auto"/>
              </w:rPr>
            </w:pPr>
          </w:p>
        </w:tc>
      </w:tr>
      <w:tr>
        <w:trPr>
          <w:trHeight w:val="270"/>
        </w:trPr>
        <w:tc>
          <w:tcPr>
            <w:tcW w:w="45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Allowance for doubtful accounts</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3,384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985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2,588</w:t>
            </w:r>
          </w:p>
        </w:tc>
        <w:tc>
          <w:tcPr>
            <w:tcW w:w="0" w:type="dxa"/>
            <w:vAlign w:val="bottom"/>
          </w:tcPr>
          <w:p>
            <w:pPr>
              <w:spacing w:after="0"/>
              <w:rPr>
                <w:sz w:val="1"/>
                <w:szCs w:val="1"/>
                <w:color w:val="auto"/>
              </w:rPr>
            </w:pPr>
          </w:p>
        </w:tc>
      </w:tr>
      <w:tr>
        <w:trPr>
          <w:trHeight w:val="270"/>
        </w:trPr>
        <w:tc>
          <w:tcPr>
            <w:tcW w:w="458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Allowance for deferred tax assets</w:t>
            </w:r>
            <w:r>
              <w:rPr>
                <w:rFonts w:ascii="Arial" w:cs="Arial" w:eastAsia="Arial" w:hAnsi="Arial"/>
                <w:sz w:val="25"/>
                <w:szCs w:val="25"/>
                <w:color w:val="auto"/>
                <w:vertAlign w:val="superscript"/>
              </w:rPr>
              <w:t>(2)</w:t>
            </w:r>
          </w:p>
        </w:tc>
        <w:tc>
          <w:tcPr>
            <w:tcW w:w="2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53,910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3,233</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15,838</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(6,483)</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66,498</w:t>
            </w: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165,459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15,838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(18,370)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154,631</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w w:val="96"/>
              </w:rPr>
              <w:t>_____________________________________________________________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5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580" w:type="dxa"/>
            <w:vAlign w:val="bottom"/>
          </w:tcPr>
          <w:p>
            <w:pPr>
              <w:spacing w:after="0"/>
              <w:rPr>
                <w:sz w:val="20"/>
                <w:szCs w:val="20"/>
                <w:color w:val="auto"/>
              </w:rPr>
            </w:pPr>
            <w:r>
              <w:rPr>
                <w:rFonts w:ascii="Arial" w:cs="Arial" w:eastAsia="Arial" w:hAnsi="Arial"/>
                <w:sz w:val="14"/>
                <w:szCs w:val="14"/>
                <w:color w:val="auto"/>
              </w:rPr>
              <w:t>(1)   Refer to Note 6 to the Company's consolidated financial statements.</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580" w:type="dxa"/>
            <w:vAlign w:val="bottom"/>
          </w:tcPr>
          <w:p>
            <w:pPr>
              <w:spacing w:after="0"/>
              <w:rPr>
                <w:sz w:val="20"/>
                <w:szCs w:val="20"/>
                <w:color w:val="auto"/>
              </w:rPr>
            </w:pPr>
            <w:r>
              <w:rPr>
                <w:rFonts w:ascii="Arial" w:cs="Arial" w:eastAsia="Arial" w:hAnsi="Arial"/>
                <w:sz w:val="14"/>
                <w:szCs w:val="14"/>
                <w:color w:val="auto"/>
              </w:rPr>
              <w:t>(2)   Refer to Note 3 to the Company's consolidated financial statements.</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4"/>
        </w:trPr>
        <w:tc>
          <w:tcPr>
            <w:tcW w:w="4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iStar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III—Real Estate and Accumulated Depreciation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2016</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60" w:type="dxa"/>
            <w:vAlign w:val="bottom"/>
            <w:gridSpan w:val="6"/>
          </w:tcPr>
          <w:p>
            <w:pPr>
              <w:jc w:val="center"/>
              <w:spacing w:after="0"/>
              <w:rPr>
                <w:sz w:val="20"/>
                <w:szCs w:val="20"/>
                <w:color w:val="auto"/>
              </w:rPr>
            </w:pPr>
            <w:r>
              <w:rPr>
                <w:rFonts w:ascii="Arial" w:cs="Arial" w:eastAsia="Arial" w:hAnsi="Arial"/>
                <w:sz w:val="14"/>
                <w:szCs w:val="14"/>
                <w:b w:val="1"/>
                <w:bCs w:val="1"/>
                <w:color w:val="auto"/>
                <w:w w:val="94"/>
              </w:rPr>
              <w:t>Gross Amount Carried</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w w:val="95"/>
              </w:rPr>
              <w:t>Initial Cost to Company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at Close of Period</w:t>
            </w: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Building and</w:t>
            </w:r>
          </w:p>
        </w:tc>
        <w:tc>
          <w:tcPr>
            <w:tcW w:w="100" w:type="dxa"/>
            <w:vAlign w:val="bottom"/>
          </w:tcPr>
          <w:p>
            <w:pPr>
              <w:spacing w:after="0"/>
              <w:rPr>
                <w:sz w:val="11"/>
                <w:szCs w:val="11"/>
                <w:color w:val="auto"/>
              </w:rPr>
            </w:pPr>
          </w:p>
        </w:tc>
        <w:tc>
          <w:tcPr>
            <w:tcW w:w="920" w:type="dxa"/>
            <w:vAlign w:val="bottom"/>
            <w:gridSpan w:val="2"/>
          </w:tcPr>
          <w:p>
            <w:pPr>
              <w:jc w:val="center"/>
              <w:ind w:right="180"/>
              <w:spacing w:after="0" w:line="133" w:lineRule="exact"/>
              <w:rPr>
                <w:sz w:val="20"/>
                <w:szCs w:val="20"/>
                <w:color w:val="auto"/>
              </w:rPr>
            </w:pPr>
            <w:r>
              <w:rPr>
                <w:rFonts w:ascii="Arial" w:cs="Arial" w:eastAsia="Arial" w:hAnsi="Arial"/>
                <w:sz w:val="14"/>
                <w:szCs w:val="14"/>
                <w:b w:val="1"/>
                <w:bCs w:val="1"/>
                <w:color w:val="auto"/>
                <w:w w:val="94"/>
              </w:rPr>
              <w:t>Capitalized</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Building and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1"/>
                <w:szCs w:val="11"/>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Depreciable</w:t>
            </w:r>
          </w:p>
        </w:tc>
        <w:tc>
          <w:tcPr>
            <w:tcW w:w="0" w:type="dxa"/>
            <w:vAlign w:val="bottom"/>
          </w:tcPr>
          <w:p>
            <w:pPr>
              <w:spacing w:after="0"/>
              <w:rPr>
                <w:sz w:val="1"/>
                <w:szCs w:val="1"/>
                <w:color w:val="auto"/>
              </w:rPr>
            </w:pPr>
          </w:p>
        </w:tc>
      </w:tr>
      <w:tr>
        <w:trPr>
          <w:trHeight w:val="149"/>
        </w:trPr>
        <w:tc>
          <w:tcPr>
            <w:tcW w:w="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Location</w:t>
            </w:r>
          </w:p>
        </w:tc>
        <w:tc>
          <w:tcPr>
            <w:tcW w:w="660" w:type="dxa"/>
            <w:vAlign w:val="bottom"/>
          </w:tcPr>
          <w:p>
            <w:pPr>
              <w:spacing w:after="0"/>
              <w:rPr>
                <w:sz w:val="12"/>
                <w:szCs w:val="12"/>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Encumbrances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Land</w:t>
            </w:r>
          </w:p>
        </w:tc>
        <w:tc>
          <w:tcPr>
            <w:tcW w:w="1040" w:type="dxa"/>
            <w:vAlign w:val="bottom"/>
            <w:gridSpan w:val="3"/>
            <w:vMerge w:val="continue"/>
          </w:tcPr>
          <w:p>
            <w:pPr>
              <w:spacing w:after="0"/>
              <w:rPr>
                <w:sz w:val="12"/>
                <w:szCs w:val="12"/>
                <w:color w:val="auto"/>
              </w:rPr>
            </w:pPr>
          </w:p>
        </w:tc>
        <w:tc>
          <w:tcPr>
            <w:tcW w:w="10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Subsequent to</w:t>
            </w:r>
          </w:p>
        </w:tc>
        <w:tc>
          <w:tcPr>
            <w:tcW w:w="140" w:type="dxa"/>
            <w:vAlign w:val="bottom"/>
          </w:tcPr>
          <w:p>
            <w:pPr>
              <w:spacing w:after="0"/>
              <w:rPr>
                <w:sz w:val="12"/>
                <w:szCs w:val="12"/>
                <w:color w:val="auto"/>
              </w:rPr>
            </w:pPr>
          </w:p>
        </w:tc>
        <w:tc>
          <w:tcPr>
            <w:tcW w:w="5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Land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8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192"/>
        </w:trPr>
        <w:tc>
          <w:tcPr>
            <w:tcW w:w="90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Improvements</w:t>
            </w: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Acquisition</w:t>
            </w:r>
            <w:r>
              <w:rPr>
                <w:rFonts w:ascii="Arial" w:cs="Arial" w:eastAsia="Arial" w:hAnsi="Arial"/>
                <w:sz w:val="8"/>
                <w:szCs w:val="8"/>
                <w:b w:val="1"/>
                <w:bCs w:val="1"/>
                <w:color w:val="auto"/>
                <w:w w:val="92"/>
              </w:rPr>
              <w:t>(2)</w:t>
            </w:r>
          </w:p>
        </w:tc>
        <w:tc>
          <w:tcPr>
            <w:tcW w:w="14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Improvements</w:t>
            </w: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Depreciation</w:t>
            </w:r>
          </w:p>
        </w:tc>
        <w:tc>
          <w:tcPr>
            <w:tcW w:w="200" w:type="dxa"/>
            <w:vAlign w:val="bottom"/>
          </w:tcPr>
          <w:p>
            <w:pPr>
              <w:spacing w:after="0"/>
              <w:rPr>
                <w:sz w:val="16"/>
                <w:szCs w:val="16"/>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Acquired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156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OFFICE FACILITIES:</w:t>
            </w:r>
          </w:p>
        </w:tc>
        <w:tc>
          <w:tcPr>
            <w:tcW w:w="36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Tempe,</w:t>
            </w: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Arizona</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OAZ002</w:t>
            </w:r>
          </w:p>
        </w:tc>
        <w:tc>
          <w:tcPr>
            <w:tcW w:w="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6,652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2,938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1,033</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9,590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10,623</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3,503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1999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900" w:type="dxa"/>
            <w:vAlign w:val="bottom"/>
          </w:tcPr>
          <w:p>
            <w:pPr>
              <w:ind w:left="20"/>
              <w:spacing w:after="0" w:line="157" w:lineRule="exact"/>
              <w:rPr>
                <w:sz w:val="20"/>
                <w:szCs w:val="20"/>
                <w:color w:val="auto"/>
              </w:rPr>
            </w:pPr>
            <w:r>
              <w:rPr>
                <w:rFonts w:ascii="Arial" w:cs="Arial" w:eastAsia="Arial" w:hAnsi="Arial"/>
                <w:sz w:val="14"/>
                <w:szCs w:val="14"/>
                <w:color w:val="auto"/>
              </w:rPr>
              <w:t>Tempe,</w:t>
            </w: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00" w:type="dxa"/>
            <w:vAlign w:val="bottom"/>
          </w:tcPr>
          <w:p>
            <w:pPr>
              <w:ind w:left="20"/>
              <w:spacing w:after="0"/>
              <w:rPr>
                <w:sz w:val="20"/>
                <w:szCs w:val="20"/>
                <w:color w:val="auto"/>
              </w:rPr>
            </w:pPr>
            <w:r>
              <w:rPr>
                <w:rFonts w:ascii="Arial" w:cs="Arial" w:eastAsia="Arial" w:hAnsi="Arial"/>
                <w:sz w:val="14"/>
                <w:szCs w:val="14"/>
                <w:color w:val="auto"/>
              </w:rPr>
              <w:t>Arizona</w:t>
            </w:r>
          </w:p>
        </w:tc>
        <w:tc>
          <w:tcPr>
            <w:tcW w:w="660" w:type="dxa"/>
            <w:vAlign w:val="bottom"/>
          </w:tcPr>
          <w:p>
            <w:pPr>
              <w:ind w:left="60"/>
              <w:spacing w:after="0"/>
              <w:rPr>
                <w:sz w:val="20"/>
                <w:szCs w:val="20"/>
                <w:color w:val="auto"/>
              </w:rPr>
            </w:pPr>
            <w:r>
              <w:rPr>
                <w:rFonts w:ascii="Arial" w:cs="Arial" w:eastAsia="Arial" w:hAnsi="Arial"/>
                <w:sz w:val="14"/>
                <w:szCs w:val="14"/>
                <w:color w:val="auto"/>
              </w:rPr>
              <w:t>OAZ003</w:t>
            </w:r>
          </w:p>
        </w:tc>
        <w:tc>
          <w:tcPr>
            <w:tcW w:w="36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1,033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6,652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1,033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6,939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7,972</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2,954</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1999</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Tempe,</w:t>
            </w: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Arizona</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OAZ004</w:t>
            </w:r>
          </w:p>
        </w:tc>
        <w:tc>
          <w:tcPr>
            <w:tcW w:w="3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6,652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6,857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7,890</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2,941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1999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900" w:type="dxa"/>
            <w:vAlign w:val="bottom"/>
          </w:tcPr>
          <w:p>
            <w:pPr>
              <w:ind w:left="20"/>
              <w:spacing w:after="0" w:line="157" w:lineRule="exact"/>
              <w:rPr>
                <w:sz w:val="20"/>
                <w:szCs w:val="20"/>
                <w:color w:val="auto"/>
              </w:rPr>
            </w:pPr>
            <w:r>
              <w:rPr>
                <w:rFonts w:ascii="Arial" w:cs="Arial" w:eastAsia="Arial" w:hAnsi="Arial"/>
                <w:sz w:val="14"/>
                <w:szCs w:val="14"/>
                <w:color w:val="auto"/>
              </w:rPr>
              <w:t>Tempe,</w:t>
            </w: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00" w:type="dxa"/>
            <w:vAlign w:val="bottom"/>
          </w:tcPr>
          <w:p>
            <w:pPr>
              <w:ind w:left="20"/>
              <w:spacing w:after="0"/>
              <w:rPr>
                <w:sz w:val="20"/>
                <w:szCs w:val="20"/>
                <w:color w:val="auto"/>
              </w:rPr>
            </w:pPr>
            <w:r>
              <w:rPr>
                <w:rFonts w:ascii="Arial" w:cs="Arial" w:eastAsia="Arial" w:hAnsi="Arial"/>
                <w:sz w:val="14"/>
                <w:szCs w:val="14"/>
                <w:color w:val="auto"/>
              </w:rPr>
              <w:t>Arizona</w:t>
            </w:r>
          </w:p>
        </w:tc>
        <w:tc>
          <w:tcPr>
            <w:tcW w:w="660" w:type="dxa"/>
            <w:vAlign w:val="bottom"/>
          </w:tcPr>
          <w:p>
            <w:pPr>
              <w:ind w:left="60"/>
              <w:spacing w:after="0"/>
              <w:rPr>
                <w:sz w:val="20"/>
                <w:szCs w:val="20"/>
                <w:color w:val="auto"/>
              </w:rPr>
            </w:pPr>
            <w:r>
              <w:rPr>
                <w:rFonts w:ascii="Arial" w:cs="Arial" w:eastAsia="Arial" w:hAnsi="Arial"/>
                <w:sz w:val="14"/>
                <w:szCs w:val="14"/>
                <w:color w:val="auto"/>
              </w:rPr>
              <w:t>OAZ005</w:t>
            </w:r>
          </w:p>
        </w:tc>
        <w:tc>
          <w:tcPr>
            <w:tcW w:w="36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701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4,339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701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4,339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5,040</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1,862</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1999</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Englewood,</w:t>
            </w: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Colorado</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OCO001</w:t>
            </w:r>
          </w:p>
        </w:tc>
        <w:tc>
          <w:tcPr>
            <w:tcW w:w="3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1,757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16,930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6,503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23,433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25,190</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11,070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1999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900" w:type="dxa"/>
            <w:vAlign w:val="bottom"/>
          </w:tcPr>
          <w:p>
            <w:pPr>
              <w:ind w:left="20"/>
              <w:spacing w:after="0" w:line="157" w:lineRule="exact"/>
              <w:rPr>
                <w:sz w:val="20"/>
                <w:szCs w:val="20"/>
                <w:color w:val="auto"/>
              </w:rPr>
            </w:pPr>
            <w:r>
              <w:rPr>
                <w:rFonts w:ascii="Arial" w:cs="Arial" w:eastAsia="Arial" w:hAnsi="Arial"/>
                <w:sz w:val="14"/>
                <w:szCs w:val="14"/>
                <w:color w:val="auto"/>
              </w:rPr>
              <w:t>Ft. Collins,</w:t>
            </w: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00" w:type="dxa"/>
            <w:vAlign w:val="bottom"/>
          </w:tcPr>
          <w:p>
            <w:pPr>
              <w:ind w:left="20"/>
              <w:spacing w:after="0"/>
              <w:rPr>
                <w:sz w:val="20"/>
                <w:szCs w:val="20"/>
                <w:color w:val="auto"/>
              </w:rPr>
            </w:pPr>
            <w:r>
              <w:rPr>
                <w:rFonts w:ascii="Arial" w:cs="Arial" w:eastAsia="Arial" w:hAnsi="Arial"/>
                <w:sz w:val="14"/>
                <w:szCs w:val="14"/>
                <w:color w:val="auto"/>
              </w:rPr>
              <w:t>Colorado</w:t>
            </w:r>
          </w:p>
        </w:tc>
        <w:tc>
          <w:tcPr>
            <w:tcW w:w="660" w:type="dxa"/>
            <w:vAlign w:val="bottom"/>
          </w:tcPr>
          <w:p>
            <w:pPr>
              <w:ind w:left="60"/>
              <w:spacing w:after="0"/>
              <w:rPr>
                <w:sz w:val="20"/>
                <w:szCs w:val="20"/>
                <w:color w:val="auto"/>
              </w:rPr>
            </w:pPr>
            <w:r>
              <w:rPr>
                <w:rFonts w:ascii="Arial" w:cs="Arial" w:eastAsia="Arial" w:hAnsi="Arial"/>
                <w:sz w:val="14"/>
                <w:szCs w:val="14"/>
                <w:color w:val="auto"/>
              </w:rPr>
              <w:t>OCO002</w:t>
            </w:r>
          </w:p>
        </w:tc>
        <w:tc>
          <w:tcPr>
            <w:tcW w:w="36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2,795</w:t>
            </w:r>
          </w:p>
        </w:tc>
        <w:tc>
          <w:tcPr>
            <w:tcW w:w="42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16,752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16,800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16,800</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6,196</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2002</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Largo,</w:t>
            </w: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Maryland</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OMD001</w:t>
            </w:r>
          </w:p>
        </w:tc>
        <w:tc>
          <w:tcPr>
            <w:tcW w:w="3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10,124</w:t>
            </w:r>
          </w:p>
        </w:tc>
        <w:tc>
          <w:tcPr>
            <w:tcW w:w="4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1,800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18,706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19,449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21,249</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7,067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2002</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900" w:type="dxa"/>
            <w:vAlign w:val="bottom"/>
          </w:tcPr>
          <w:p>
            <w:pPr>
              <w:ind w:left="20"/>
              <w:spacing w:after="0" w:line="157" w:lineRule="exact"/>
              <w:rPr>
                <w:sz w:val="20"/>
                <w:szCs w:val="20"/>
                <w:color w:val="auto"/>
              </w:rPr>
            </w:pPr>
            <w:r>
              <w:rPr>
                <w:rFonts w:ascii="Arial" w:cs="Arial" w:eastAsia="Arial" w:hAnsi="Arial"/>
                <w:sz w:val="14"/>
                <w:szCs w:val="14"/>
                <w:color w:val="auto"/>
              </w:rPr>
              <w:t>Chelmsford,</w:t>
            </w: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00" w:type="dxa"/>
            <w:vAlign w:val="bottom"/>
          </w:tcPr>
          <w:p>
            <w:pPr>
              <w:ind w:left="20"/>
              <w:spacing w:after="0"/>
              <w:rPr>
                <w:sz w:val="20"/>
                <w:szCs w:val="20"/>
                <w:color w:val="auto"/>
              </w:rPr>
            </w:pPr>
            <w:r>
              <w:rPr>
                <w:rFonts w:ascii="Arial" w:cs="Arial" w:eastAsia="Arial" w:hAnsi="Arial"/>
                <w:sz w:val="14"/>
                <w:szCs w:val="14"/>
                <w:color w:val="auto"/>
                <w:w w:val="92"/>
              </w:rPr>
              <w:t>Massachusetts</w:t>
            </w:r>
          </w:p>
        </w:tc>
        <w:tc>
          <w:tcPr>
            <w:tcW w:w="660" w:type="dxa"/>
            <w:vAlign w:val="bottom"/>
          </w:tcPr>
          <w:p>
            <w:pPr>
              <w:ind w:left="60"/>
              <w:spacing w:after="0"/>
              <w:rPr>
                <w:sz w:val="20"/>
                <w:szCs w:val="20"/>
                <w:color w:val="auto"/>
              </w:rPr>
            </w:pPr>
            <w:r>
              <w:rPr>
                <w:rFonts w:ascii="Arial" w:cs="Arial" w:eastAsia="Arial" w:hAnsi="Arial"/>
                <w:sz w:val="14"/>
                <w:szCs w:val="14"/>
                <w:color w:val="auto"/>
              </w:rPr>
              <w:t>OMA001</w:t>
            </w:r>
          </w:p>
        </w:tc>
        <w:tc>
          <w:tcPr>
            <w:tcW w:w="36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10,125</w:t>
            </w:r>
          </w:p>
        </w:tc>
        <w:tc>
          <w:tcPr>
            <w:tcW w:w="42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1,600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21,947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1,600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22,232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23,832</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8,280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2002</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Mt. Laurel,</w:t>
            </w: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Jersey</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ONJ001</w:t>
            </w:r>
          </w:p>
        </w:tc>
        <w:tc>
          <w:tcPr>
            <w:tcW w:w="3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50,877</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7,726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74,429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74,441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82,165</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26,169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2002</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900" w:type="dxa"/>
            <w:vAlign w:val="bottom"/>
          </w:tcPr>
          <w:p>
            <w:pPr>
              <w:ind w:left="20"/>
              <w:spacing w:after="0" w:line="157" w:lineRule="exact"/>
              <w:rPr>
                <w:sz w:val="20"/>
                <w:szCs w:val="20"/>
                <w:color w:val="auto"/>
              </w:rPr>
            </w:pPr>
            <w:r>
              <w:rPr>
                <w:rFonts w:ascii="Arial" w:cs="Arial" w:eastAsia="Arial" w:hAnsi="Arial"/>
                <w:sz w:val="14"/>
                <w:szCs w:val="14"/>
                <w:color w:val="auto"/>
              </w:rPr>
              <w:t>Riverview,</w:t>
            </w: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00" w:type="dxa"/>
            <w:vAlign w:val="bottom"/>
          </w:tcPr>
          <w:p>
            <w:pPr>
              <w:ind w:left="20"/>
              <w:spacing w:after="0"/>
              <w:rPr>
                <w:sz w:val="20"/>
                <w:szCs w:val="20"/>
                <w:color w:val="auto"/>
              </w:rPr>
            </w:pPr>
            <w:r>
              <w:rPr>
                <w:rFonts w:ascii="Arial" w:cs="Arial" w:eastAsia="Arial" w:hAnsi="Arial"/>
                <w:sz w:val="14"/>
                <w:szCs w:val="14"/>
                <w:color w:val="auto"/>
              </w:rPr>
              <w:t>New Jersey</w:t>
            </w:r>
          </w:p>
        </w:tc>
        <w:tc>
          <w:tcPr>
            <w:tcW w:w="660" w:type="dxa"/>
            <w:vAlign w:val="bottom"/>
          </w:tcPr>
          <w:p>
            <w:pPr>
              <w:ind w:left="60"/>
              <w:spacing w:after="0"/>
              <w:rPr>
                <w:sz w:val="20"/>
                <w:szCs w:val="20"/>
                <w:color w:val="auto"/>
              </w:rPr>
            </w:pPr>
            <w:r>
              <w:rPr>
                <w:rFonts w:ascii="Arial" w:cs="Arial" w:eastAsia="Arial" w:hAnsi="Arial"/>
                <w:sz w:val="14"/>
                <w:szCs w:val="14"/>
                <w:color w:val="auto"/>
              </w:rPr>
              <w:t>ONJ002</w:t>
            </w:r>
          </w:p>
        </w:tc>
        <w:tc>
          <w:tcPr>
            <w:tcW w:w="36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9,139</w:t>
            </w:r>
          </w:p>
        </w:tc>
        <w:tc>
          <w:tcPr>
            <w:tcW w:w="42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1,008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13,763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1,008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13,943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14,951</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4,424</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Riverview,</w:t>
            </w: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Jersey</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ONJ003</w:t>
            </w:r>
          </w:p>
        </w:tc>
        <w:tc>
          <w:tcPr>
            <w:tcW w:w="3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11,196</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2,456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28,955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29,729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32,185</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9,480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900" w:type="dxa"/>
            <w:vAlign w:val="bottom"/>
          </w:tcPr>
          <w:p>
            <w:pPr>
              <w:ind w:left="20"/>
              <w:spacing w:after="0" w:line="157" w:lineRule="exact"/>
              <w:rPr>
                <w:sz w:val="20"/>
                <w:szCs w:val="20"/>
                <w:color w:val="auto"/>
              </w:rPr>
            </w:pPr>
            <w:r>
              <w:rPr>
                <w:rFonts w:ascii="Arial" w:cs="Arial" w:eastAsia="Arial" w:hAnsi="Arial"/>
                <w:sz w:val="14"/>
                <w:szCs w:val="14"/>
                <w:color w:val="auto"/>
              </w:rPr>
              <w:t>Harrisburg,</w:t>
            </w: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00" w:type="dxa"/>
            <w:vAlign w:val="bottom"/>
          </w:tcPr>
          <w:p>
            <w:pPr>
              <w:ind w:left="20"/>
              <w:spacing w:after="0"/>
              <w:rPr>
                <w:sz w:val="20"/>
                <w:szCs w:val="20"/>
                <w:color w:val="auto"/>
              </w:rPr>
            </w:pPr>
            <w:r>
              <w:rPr>
                <w:rFonts w:ascii="Arial" w:cs="Arial" w:eastAsia="Arial" w:hAnsi="Arial"/>
                <w:sz w:val="14"/>
                <w:szCs w:val="14"/>
                <w:color w:val="auto"/>
              </w:rPr>
              <w:t>Pennsylvania</w:t>
            </w:r>
          </w:p>
        </w:tc>
        <w:tc>
          <w:tcPr>
            <w:tcW w:w="660" w:type="dxa"/>
            <w:vAlign w:val="bottom"/>
          </w:tcPr>
          <w:p>
            <w:pPr>
              <w:ind w:left="60"/>
              <w:spacing w:after="0"/>
              <w:rPr>
                <w:sz w:val="20"/>
                <w:szCs w:val="20"/>
                <w:color w:val="auto"/>
              </w:rPr>
            </w:pPr>
            <w:r>
              <w:rPr>
                <w:rFonts w:ascii="Arial" w:cs="Arial" w:eastAsia="Arial" w:hAnsi="Arial"/>
                <w:sz w:val="14"/>
                <w:szCs w:val="14"/>
                <w:color w:val="auto"/>
              </w:rPr>
              <w:t>OPA001</w:t>
            </w:r>
          </w:p>
        </w:tc>
        <w:tc>
          <w:tcPr>
            <w:tcW w:w="36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690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26,098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690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26,049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26,739</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9,958</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2001</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Irving, Texas</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OTX001</w:t>
            </w:r>
          </w:p>
        </w:tc>
        <w:tc>
          <w:tcPr>
            <w:tcW w:w="36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1,364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10,628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5,780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2,373</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15,399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17,772</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6,711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1999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900" w:type="dxa"/>
            <w:vAlign w:val="bottom"/>
          </w:tcPr>
          <w:p>
            <w:pPr>
              <w:ind w:left="20"/>
              <w:spacing w:after="0" w:line="157" w:lineRule="exact"/>
              <w:rPr>
                <w:sz w:val="20"/>
                <w:szCs w:val="20"/>
                <w:color w:val="auto"/>
              </w:rPr>
            </w:pPr>
            <w:r>
              <w:rPr>
                <w:rFonts w:ascii="Arial" w:cs="Arial" w:eastAsia="Arial" w:hAnsi="Arial"/>
                <w:sz w:val="14"/>
                <w:szCs w:val="14"/>
                <w:color w:val="auto"/>
              </w:rPr>
              <w:t>Richardson,</w:t>
            </w: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00" w:type="dxa"/>
            <w:vAlign w:val="bottom"/>
          </w:tcPr>
          <w:p>
            <w:pPr>
              <w:ind w:left="20"/>
              <w:spacing w:after="0"/>
              <w:rPr>
                <w:sz w:val="20"/>
                <w:szCs w:val="20"/>
                <w:color w:val="auto"/>
              </w:rPr>
            </w:pPr>
            <w:r>
              <w:rPr>
                <w:rFonts w:ascii="Arial" w:cs="Arial" w:eastAsia="Arial" w:hAnsi="Arial"/>
                <w:sz w:val="14"/>
                <w:szCs w:val="14"/>
                <w:color w:val="auto"/>
              </w:rPr>
              <w:t>Texas</w:t>
            </w:r>
          </w:p>
        </w:tc>
        <w:tc>
          <w:tcPr>
            <w:tcW w:w="660" w:type="dxa"/>
            <w:vAlign w:val="bottom"/>
          </w:tcPr>
          <w:p>
            <w:pPr>
              <w:ind w:left="60"/>
              <w:spacing w:after="0"/>
              <w:rPr>
                <w:sz w:val="20"/>
                <w:szCs w:val="20"/>
                <w:color w:val="auto"/>
              </w:rPr>
            </w:pPr>
            <w:r>
              <w:rPr>
                <w:rFonts w:ascii="Arial" w:cs="Arial" w:eastAsia="Arial" w:hAnsi="Arial"/>
                <w:sz w:val="14"/>
                <w:szCs w:val="14"/>
                <w:color w:val="auto"/>
              </w:rPr>
              <w:t>OTX002</w:t>
            </w:r>
          </w:p>
        </w:tc>
        <w:tc>
          <w:tcPr>
            <w:tcW w:w="36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1,233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15,160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1,233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15,306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16,539</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6,248</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1999</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Richardson,</w:t>
            </w: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Texas</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OTX004</w:t>
            </w:r>
          </w:p>
        </w:tc>
        <w:tc>
          <w:tcPr>
            <w:tcW w:w="3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1,230</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5,660</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1,046</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1,230</w:t>
            </w: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6,706</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7,936</w:t>
            </w:r>
          </w:p>
        </w:tc>
        <w:tc>
          <w:tcPr>
            <w:tcW w:w="2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2,622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1999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50"/>
        </w:trPr>
        <w:tc>
          <w:tcPr>
            <w:tcW w:w="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Subtotal</w:t>
            </w:r>
          </w:p>
        </w:tc>
        <w:tc>
          <w:tcPr>
            <w:tcW w:w="66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94,256</w:t>
            </w:r>
          </w:p>
        </w:tc>
        <w:tc>
          <w:tcPr>
            <w:tcW w:w="4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24,664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273,323</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18,896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25,671</w:t>
            </w: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291,212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4"/>
              </w:rPr>
              <w:t>316,883</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109,485</w:t>
            </w:r>
          </w:p>
        </w:tc>
        <w:tc>
          <w:tcPr>
            <w:tcW w:w="20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92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INDUSTRIAL FACILITIES:</w:t>
            </w:r>
          </w:p>
        </w:tc>
        <w:tc>
          <w:tcPr>
            <w:tcW w:w="6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900" w:type="dxa"/>
            <w:vAlign w:val="bottom"/>
          </w:tcPr>
          <w:p>
            <w:pPr>
              <w:ind w:left="20"/>
              <w:spacing w:after="0" w:line="157" w:lineRule="exact"/>
              <w:rPr>
                <w:sz w:val="20"/>
                <w:szCs w:val="20"/>
                <w:color w:val="auto"/>
              </w:rPr>
            </w:pPr>
            <w:r>
              <w:rPr>
                <w:rFonts w:ascii="Arial" w:cs="Arial" w:eastAsia="Arial" w:hAnsi="Arial"/>
                <w:sz w:val="14"/>
                <w:szCs w:val="14"/>
                <w:color w:val="auto"/>
              </w:rPr>
              <w:t>Avondale,</w:t>
            </w: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00" w:type="dxa"/>
            <w:vAlign w:val="bottom"/>
          </w:tcPr>
          <w:p>
            <w:pPr>
              <w:ind w:left="20"/>
              <w:spacing w:after="0"/>
              <w:rPr>
                <w:sz w:val="20"/>
                <w:szCs w:val="20"/>
                <w:color w:val="auto"/>
              </w:rPr>
            </w:pPr>
            <w:r>
              <w:rPr>
                <w:rFonts w:ascii="Arial" w:cs="Arial" w:eastAsia="Arial" w:hAnsi="Arial"/>
                <w:sz w:val="14"/>
                <w:szCs w:val="14"/>
                <w:color w:val="auto"/>
              </w:rPr>
              <w:t>Arizona</w:t>
            </w:r>
          </w:p>
        </w:tc>
        <w:tc>
          <w:tcPr>
            <w:tcW w:w="660" w:type="dxa"/>
            <w:vAlign w:val="bottom"/>
          </w:tcPr>
          <w:p>
            <w:pPr>
              <w:ind w:left="60"/>
              <w:spacing w:after="0"/>
              <w:rPr>
                <w:sz w:val="20"/>
                <w:szCs w:val="20"/>
                <w:color w:val="auto"/>
              </w:rPr>
            </w:pPr>
            <w:r>
              <w:rPr>
                <w:rFonts w:ascii="Arial" w:cs="Arial" w:eastAsia="Arial" w:hAnsi="Arial"/>
                <w:sz w:val="14"/>
                <w:szCs w:val="14"/>
                <w:color w:val="auto"/>
              </w:rPr>
              <w:t>IAZ001</w:t>
            </w:r>
          </w:p>
        </w:tc>
        <w:tc>
          <w:tcPr>
            <w:tcW w:w="36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2,519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7,481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1,686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2,519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9,167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11,686</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2,128</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Avondale,</w:t>
            </w: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Arizona</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IAZ002</w:t>
            </w:r>
          </w:p>
        </w:tc>
        <w:tc>
          <w:tcPr>
            <w:tcW w:w="3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3,279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5,221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4,576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9,797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13,076</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2,407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900" w:type="dxa"/>
            <w:vAlign w:val="bottom"/>
          </w:tcPr>
          <w:p>
            <w:pPr>
              <w:ind w:left="20"/>
              <w:spacing w:after="0" w:line="157" w:lineRule="exact"/>
              <w:rPr>
                <w:sz w:val="20"/>
                <w:szCs w:val="20"/>
                <w:color w:val="auto"/>
              </w:rPr>
            </w:pPr>
            <w:r>
              <w:rPr>
                <w:rFonts w:ascii="Arial" w:cs="Arial" w:eastAsia="Arial" w:hAnsi="Arial"/>
                <w:sz w:val="14"/>
                <w:szCs w:val="14"/>
                <w:color w:val="auto"/>
              </w:rPr>
              <w:t>Los Angeles,</w:t>
            </w: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00" w:type="dxa"/>
            <w:vAlign w:val="bottom"/>
          </w:tcPr>
          <w:p>
            <w:pPr>
              <w:ind w:left="20"/>
              <w:spacing w:after="0"/>
              <w:rPr>
                <w:sz w:val="20"/>
                <w:szCs w:val="20"/>
                <w:color w:val="auto"/>
              </w:rPr>
            </w:pPr>
            <w:r>
              <w:rPr>
                <w:rFonts w:ascii="Arial" w:cs="Arial" w:eastAsia="Arial" w:hAnsi="Arial"/>
                <w:sz w:val="14"/>
                <w:szCs w:val="14"/>
                <w:color w:val="auto"/>
              </w:rPr>
              <w:t>California</w:t>
            </w:r>
          </w:p>
        </w:tc>
        <w:tc>
          <w:tcPr>
            <w:tcW w:w="660" w:type="dxa"/>
            <w:vAlign w:val="bottom"/>
          </w:tcPr>
          <w:p>
            <w:pPr>
              <w:ind w:left="60"/>
              <w:spacing w:after="0"/>
              <w:rPr>
                <w:sz w:val="20"/>
                <w:szCs w:val="20"/>
                <w:color w:val="auto"/>
              </w:rPr>
            </w:pPr>
            <w:r>
              <w:rPr>
                <w:rFonts w:ascii="Arial" w:cs="Arial" w:eastAsia="Arial" w:hAnsi="Arial"/>
                <w:sz w:val="14"/>
                <w:szCs w:val="14"/>
                <w:color w:val="auto"/>
              </w:rPr>
              <w:t>ICA001</w:t>
            </w:r>
          </w:p>
        </w:tc>
        <w:tc>
          <w:tcPr>
            <w:tcW w:w="36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17,100</w:t>
            </w:r>
          </w:p>
        </w:tc>
        <w:tc>
          <w:tcPr>
            <w:tcW w:w="42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11,635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19,515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5,943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11,635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25,458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37,093</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5,768</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Fremont,</w:t>
            </w: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ICA006</w:t>
            </w:r>
          </w:p>
        </w:tc>
        <w:tc>
          <w:tcPr>
            <w:tcW w:w="3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7,964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2,968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10,932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12,018</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5,494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1999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900" w:type="dxa"/>
            <w:vAlign w:val="bottom"/>
          </w:tcPr>
          <w:p>
            <w:pPr>
              <w:ind w:left="20"/>
              <w:spacing w:after="0" w:line="157" w:lineRule="exact"/>
              <w:rPr>
                <w:sz w:val="20"/>
                <w:szCs w:val="20"/>
                <w:color w:val="auto"/>
              </w:rPr>
            </w:pPr>
            <w:r>
              <w:rPr>
                <w:rFonts w:ascii="Arial" w:cs="Arial" w:eastAsia="Arial" w:hAnsi="Arial"/>
                <w:sz w:val="14"/>
                <w:szCs w:val="14"/>
                <w:color w:val="auto"/>
              </w:rPr>
              <w:t>Sunnyvale,</w:t>
            </w: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00" w:type="dxa"/>
            <w:vAlign w:val="bottom"/>
          </w:tcPr>
          <w:p>
            <w:pPr>
              <w:ind w:left="20"/>
              <w:spacing w:after="0"/>
              <w:rPr>
                <w:sz w:val="20"/>
                <w:szCs w:val="20"/>
                <w:color w:val="auto"/>
              </w:rPr>
            </w:pPr>
            <w:r>
              <w:rPr>
                <w:rFonts w:ascii="Arial" w:cs="Arial" w:eastAsia="Arial" w:hAnsi="Arial"/>
                <w:sz w:val="14"/>
                <w:szCs w:val="14"/>
                <w:color w:val="auto"/>
              </w:rPr>
              <w:t>California</w:t>
            </w:r>
          </w:p>
        </w:tc>
        <w:tc>
          <w:tcPr>
            <w:tcW w:w="660" w:type="dxa"/>
            <w:vAlign w:val="bottom"/>
          </w:tcPr>
          <w:p>
            <w:pPr>
              <w:ind w:left="60"/>
              <w:spacing w:after="0"/>
              <w:rPr>
                <w:sz w:val="20"/>
                <w:szCs w:val="20"/>
                <w:color w:val="auto"/>
              </w:rPr>
            </w:pPr>
            <w:r>
              <w:rPr>
                <w:rFonts w:ascii="Arial" w:cs="Arial" w:eastAsia="Arial" w:hAnsi="Arial"/>
                <w:sz w:val="14"/>
                <w:szCs w:val="14"/>
                <w:color w:val="auto"/>
              </w:rPr>
              <w:t>ICA016</w:t>
            </w:r>
          </w:p>
        </w:tc>
        <w:tc>
          <w:tcPr>
            <w:tcW w:w="36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26,396</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15,708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27,987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8,398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15,708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36,385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52,093</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18,532</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Golden,</w:t>
            </w: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Colorado</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ICO001</w:t>
            </w:r>
          </w:p>
        </w:tc>
        <w:tc>
          <w:tcPr>
            <w:tcW w:w="3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2,211</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2006</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80"/>
          </w:cols>
          <w:pgMar w:left="260" w:top="742" w:right="25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iStar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III—Real Estate and Accumulated Depreciation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2016</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80" w:type="dxa"/>
            <w:vAlign w:val="bottom"/>
            <w:gridSpan w:val="6"/>
          </w:tcPr>
          <w:p>
            <w:pPr>
              <w:jc w:val="center"/>
              <w:spacing w:after="0"/>
              <w:rPr>
                <w:sz w:val="20"/>
                <w:szCs w:val="20"/>
                <w:color w:val="auto"/>
              </w:rPr>
            </w:pPr>
            <w:r>
              <w:rPr>
                <w:rFonts w:ascii="Arial" w:cs="Arial" w:eastAsia="Arial" w:hAnsi="Arial"/>
                <w:sz w:val="14"/>
                <w:szCs w:val="14"/>
                <w:b w:val="1"/>
                <w:bCs w:val="1"/>
                <w:color w:val="auto"/>
                <w:w w:val="94"/>
              </w:rPr>
              <w:t>Gross Amount Carried</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4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Initial Cost to Company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4"/>
          </w:tcPr>
          <w:p>
            <w:pPr>
              <w:jc w:val="center"/>
              <w:ind w:left="8"/>
              <w:spacing w:after="0"/>
              <w:rPr>
                <w:sz w:val="20"/>
                <w:szCs w:val="20"/>
                <w:color w:val="auto"/>
              </w:rPr>
            </w:pPr>
            <w:r>
              <w:rPr>
                <w:rFonts w:ascii="Arial" w:cs="Arial" w:eastAsia="Arial" w:hAnsi="Arial"/>
                <w:sz w:val="14"/>
                <w:szCs w:val="14"/>
                <w:b w:val="1"/>
                <w:bCs w:val="1"/>
                <w:color w:val="auto"/>
                <w:w w:val="92"/>
              </w:rPr>
              <w:t>at Close of Period</w:t>
            </w: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Building and</w:t>
            </w:r>
          </w:p>
        </w:tc>
        <w:tc>
          <w:tcPr>
            <w:tcW w:w="100" w:type="dxa"/>
            <w:vAlign w:val="bottom"/>
          </w:tcPr>
          <w:p>
            <w:pPr>
              <w:spacing w:after="0"/>
              <w:rPr>
                <w:sz w:val="11"/>
                <w:szCs w:val="11"/>
                <w:color w:val="auto"/>
              </w:rPr>
            </w:pPr>
          </w:p>
        </w:tc>
        <w:tc>
          <w:tcPr>
            <w:tcW w:w="90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4"/>
              </w:rPr>
              <w:t>Capitalized</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Building and</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Accumulated</w:t>
            </w:r>
          </w:p>
        </w:tc>
        <w:tc>
          <w:tcPr>
            <w:tcW w:w="200" w:type="dxa"/>
            <w:vAlign w:val="bottom"/>
          </w:tcPr>
          <w:p>
            <w:pPr>
              <w:spacing w:after="0"/>
              <w:rPr>
                <w:sz w:val="11"/>
                <w:szCs w:val="11"/>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Depreciable</w:t>
            </w:r>
          </w:p>
        </w:tc>
        <w:tc>
          <w:tcPr>
            <w:tcW w:w="0" w:type="dxa"/>
            <w:vAlign w:val="bottom"/>
          </w:tcPr>
          <w:p>
            <w:pPr>
              <w:spacing w:after="0"/>
              <w:rPr>
                <w:sz w:val="1"/>
                <w:szCs w:val="1"/>
                <w:color w:val="auto"/>
              </w:rPr>
            </w:pPr>
          </w:p>
        </w:tc>
      </w:tr>
      <w:tr>
        <w:trPr>
          <w:trHeight w:val="149"/>
        </w:trPr>
        <w:tc>
          <w:tcPr>
            <w:tcW w:w="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Location</w:t>
            </w:r>
          </w:p>
        </w:tc>
        <w:tc>
          <w:tcPr>
            <w:tcW w:w="62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Encumbrances</w:t>
            </w:r>
          </w:p>
        </w:tc>
        <w:tc>
          <w:tcPr>
            <w:tcW w:w="440" w:type="dxa"/>
            <w:vAlign w:val="bottom"/>
          </w:tcPr>
          <w:p>
            <w:pPr>
              <w:spacing w:after="0"/>
              <w:rPr>
                <w:sz w:val="12"/>
                <w:szCs w:val="12"/>
                <w:color w:val="auto"/>
              </w:rPr>
            </w:pPr>
          </w:p>
        </w:tc>
        <w:tc>
          <w:tcPr>
            <w:tcW w:w="8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Land</w:t>
            </w:r>
          </w:p>
        </w:tc>
        <w:tc>
          <w:tcPr>
            <w:tcW w:w="1040" w:type="dxa"/>
            <w:vAlign w:val="bottom"/>
            <w:gridSpan w:val="3"/>
            <w:vMerge w:val="continue"/>
          </w:tcPr>
          <w:p>
            <w:pPr>
              <w:spacing w:after="0"/>
              <w:rPr>
                <w:sz w:val="12"/>
                <w:szCs w:val="12"/>
                <w:color w:val="auto"/>
              </w:rPr>
            </w:pPr>
          </w:p>
        </w:tc>
        <w:tc>
          <w:tcPr>
            <w:tcW w:w="10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Subsequent to</w:t>
            </w:r>
          </w:p>
        </w:tc>
        <w:tc>
          <w:tcPr>
            <w:tcW w:w="6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Land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9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192"/>
        </w:trPr>
        <w:tc>
          <w:tcPr>
            <w:tcW w:w="90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Improvements</w:t>
            </w: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Acquisition</w:t>
            </w:r>
            <w:r>
              <w:rPr>
                <w:rFonts w:ascii="Arial" w:cs="Arial" w:eastAsia="Arial" w:hAnsi="Arial"/>
                <w:sz w:val="8"/>
                <w:szCs w:val="8"/>
                <w:b w:val="1"/>
                <w:bCs w:val="1"/>
                <w:color w:val="auto"/>
                <w:w w:val="95"/>
              </w:rPr>
              <w:t>(2)</w:t>
            </w: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Improvements</w:t>
            </w:r>
          </w:p>
        </w:tc>
        <w:tc>
          <w:tcPr>
            <w:tcW w:w="1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w w:val="96"/>
              </w:rPr>
              <w:t>Depreciation</w:t>
            </w:r>
          </w:p>
        </w:tc>
        <w:tc>
          <w:tcPr>
            <w:tcW w:w="200" w:type="dxa"/>
            <w:vAlign w:val="bottom"/>
          </w:tcPr>
          <w:p>
            <w:pPr>
              <w:spacing w:after="0"/>
              <w:rPr>
                <w:sz w:val="16"/>
                <w:szCs w:val="16"/>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Acquired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156"/>
        </w:trPr>
        <w:tc>
          <w:tcPr>
            <w:tcW w:w="900" w:type="dxa"/>
            <w:vAlign w:val="bottom"/>
            <w:tcBorders>
              <w:top w:val="single" w:sz="8" w:color="auto"/>
            </w:tcBorders>
          </w:tcPr>
          <w:p>
            <w:pPr>
              <w:ind w:left="20"/>
              <w:spacing w:after="0" w:line="157" w:lineRule="exact"/>
              <w:rPr>
                <w:sz w:val="20"/>
                <w:szCs w:val="20"/>
                <w:color w:val="auto"/>
              </w:rPr>
            </w:pPr>
            <w:r>
              <w:rPr>
                <w:rFonts w:ascii="Arial" w:cs="Arial" w:eastAsia="Arial" w:hAnsi="Arial"/>
                <w:sz w:val="14"/>
                <w:szCs w:val="14"/>
                <w:color w:val="auto"/>
              </w:rPr>
              <w:t>Jacksonville,</w:t>
            </w:r>
          </w:p>
        </w:tc>
        <w:tc>
          <w:tcPr>
            <w:tcW w:w="6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00" w:type="dxa"/>
            <w:vAlign w:val="bottom"/>
          </w:tcPr>
          <w:p>
            <w:pPr>
              <w:ind w:left="20"/>
              <w:spacing w:after="0"/>
              <w:rPr>
                <w:sz w:val="20"/>
                <w:szCs w:val="20"/>
                <w:color w:val="auto"/>
              </w:rPr>
            </w:pPr>
            <w:r>
              <w:rPr>
                <w:rFonts w:ascii="Arial" w:cs="Arial" w:eastAsia="Arial" w:hAnsi="Arial"/>
                <w:sz w:val="14"/>
                <w:szCs w:val="14"/>
                <w:color w:val="auto"/>
              </w:rPr>
              <w:t>Florida</w:t>
            </w:r>
          </w:p>
        </w:tc>
        <w:tc>
          <w:tcPr>
            <w:tcW w:w="620" w:type="dxa"/>
            <w:vAlign w:val="bottom"/>
          </w:tcPr>
          <w:p>
            <w:pPr>
              <w:ind w:left="60"/>
              <w:spacing w:after="0"/>
              <w:rPr>
                <w:sz w:val="20"/>
                <w:szCs w:val="20"/>
                <w:color w:val="auto"/>
              </w:rPr>
            </w:pPr>
            <w:r>
              <w:rPr>
                <w:rFonts w:ascii="Arial" w:cs="Arial" w:eastAsia="Arial" w:hAnsi="Arial"/>
                <w:sz w:val="14"/>
                <w:szCs w:val="14"/>
                <w:color w:val="auto"/>
              </w:rPr>
              <w:t>IFL002</w:t>
            </w:r>
          </w:p>
        </w:tc>
        <w:tc>
          <w:tcPr>
            <w:tcW w:w="24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14,814</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3,510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20,846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8,279</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3,510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29,125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32,635</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6,251</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Miami,</w:t>
            </w: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Florida</w:t>
            </w:r>
          </w:p>
        </w:tc>
        <w:tc>
          <w:tcPr>
            <w:tcW w:w="620" w:type="dxa"/>
            <w:vAlign w:val="bottom"/>
            <w:shd w:val="clear" w:color="auto" w:fill="CCEEFF"/>
          </w:tcPr>
          <w:p>
            <w:pPr>
              <w:ind w:left="60"/>
              <w:spacing w:after="0"/>
              <w:rPr>
                <w:sz w:val="20"/>
                <w:szCs w:val="20"/>
                <w:color w:val="auto"/>
              </w:rPr>
            </w:pPr>
            <w:r>
              <w:rPr>
                <w:rFonts w:ascii="Arial" w:cs="Arial" w:eastAsia="Arial" w:hAnsi="Arial"/>
                <w:sz w:val="14"/>
                <w:szCs w:val="14"/>
                <w:color w:val="auto"/>
              </w:rPr>
              <w:t>IFL004</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3,048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8,676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8,676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11,724</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3,723</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900" w:type="dxa"/>
            <w:vAlign w:val="bottom"/>
          </w:tcPr>
          <w:p>
            <w:pPr>
              <w:ind w:left="20"/>
              <w:spacing w:after="0" w:line="157" w:lineRule="exact"/>
              <w:rPr>
                <w:sz w:val="20"/>
                <w:szCs w:val="20"/>
                <w:color w:val="auto"/>
              </w:rPr>
            </w:pPr>
            <w:r>
              <w:rPr>
                <w:rFonts w:ascii="Arial" w:cs="Arial" w:eastAsia="Arial" w:hAnsi="Arial"/>
                <w:sz w:val="14"/>
                <w:szCs w:val="14"/>
                <w:color w:val="auto"/>
              </w:rPr>
              <w:t>Miami,</w:t>
            </w: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00" w:type="dxa"/>
            <w:vAlign w:val="bottom"/>
          </w:tcPr>
          <w:p>
            <w:pPr>
              <w:ind w:left="20"/>
              <w:spacing w:after="0"/>
              <w:rPr>
                <w:sz w:val="20"/>
                <w:szCs w:val="20"/>
                <w:color w:val="auto"/>
              </w:rPr>
            </w:pPr>
            <w:r>
              <w:rPr>
                <w:rFonts w:ascii="Arial" w:cs="Arial" w:eastAsia="Arial" w:hAnsi="Arial"/>
                <w:sz w:val="14"/>
                <w:szCs w:val="14"/>
                <w:color w:val="auto"/>
              </w:rPr>
              <w:t>Florida</w:t>
            </w:r>
          </w:p>
        </w:tc>
        <w:tc>
          <w:tcPr>
            <w:tcW w:w="620" w:type="dxa"/>
            <w:vAlign w:val="bottom"/>
          </w:tcPr>
          <w:p>
            <w:pPr>
              <w:ind w:left="60"/>
              <w:spacing w:after="0"/>
              <w:rPr>
                <w:sz w:val="20"/>
                <w:szCs w:val="20"/>
                <w:color w:val="auto"/>
              </w:rPr>
            </w:pPr>
            <w:r>
              <w:rPr>
                <w:rFonts w:ascii="Arial" w:cs="Arial" w:eastAsia="Arial" w:hAnsi="Arial"/>
                <w:sz w:val="14"/>
                <w:szCs w:val="14"/>
                <w:color w:val="auto"/>
              </w:rPr>
              <w:t>IFL005</w:t>
            </w:r>
          </w:p>
        </w:tc>
        <w:tc>
          <w:tcPr>
            <w:tcW w:w="24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1,612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4,586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(1,408)</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1,241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3,549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4,790</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998</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1999</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Atlanta,</w:t>
            </w: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Georgia</w:t>
            </w:r>
          </w:p>
        </w:tc>
        <w:tc>
          <w:tcPr>
            <w:tcW w:w="620" w:type="dxa"/>
            <w:vAlign w:val="bottom"/>
            <w:shd w:val="clear" w:color="auto" w:fill="CCEEFF"/>
          </w:tcPr>
          <w:p>
            <w:pPr>
              <w:ind w:left="60"/>
              <w:spacing w:after="0"/>
              <w:rPr>
                <w:sz w:val="20"/>
                <w:szCs w:val="20"/>
                <w:color w:val="auto"/>
              </w:rPr>
            </w:pPr>
            <w:r>
              <w:rPr>
                <w:rFonts w:ascii="Arial" w:cs="Arial" w:eastAsia="Arial" w:hAnsi="Arial"/>
                <w:sz w:val="14"/>
                <w:szCs w:val="14"/>
                <w:color w:val="auto"/>
              </w:rPr>
              <w:t>IGA001</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12,894</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2,791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24,637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349</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24,986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27,777</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5,737</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900" w:type="dxa"/>
            <w:vAlign w:val="bottom"/>
          </w:tcPr>
          <w:p>
            <w:pPr>
              <w:ind w:left="20"/>
              <w:spacing w:after="0" w:line="157" w:lineRule="exact"/>
              <w:rPr>
                <w:sz w:val="20"/>
                <w:szCs w:val="20"/>
                <w:color w:val="auto"/>
              </w:rPr>
            </w:pPr>
            <w:r>
              <w:rPr>
                <w:rFonts w:ascii="Arial" w:cs="Arial" w:eastAsia="Arial" w:hAnsi="Arial"/>
                <w:sz w:val="14"/>
                <w:szCs w:val="14"/>
                <w:color w:val="auto"/>
              </w:rPr>
              <w:t>Bristol,</w:t>
            </w: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00" w:type="dxa"/>
            <w:vAlign w:val="bottom"/>
          </w:tcPr>
          <w:p>
            <w:pPr>
              <w:ind w:left="20"/>
              <w:spacing w:after="0"/>
              <w:rPr>
                <w:sz w:val="20"/>
                <w:szCs w:val="20"/>
                <w:color w:val="auto"/>
              </w:rPr>
            </w:pPr>
            <w:r>
              <w:rPr>
                <w:rFonts w:ascii="Arial" w:cs="Arial" w:eastAsia="Arial" w:hAnsi="Arial"/>
                <w:sz w:val="14"/>
                <w:szCs w:val="14"/>
                <w:color w:val="auto"/>
              </w:rPr>
              <w:t>Indiana</w:t>
            </w:r>
          </w:p>
        </w:tc>
        <w:tc>
          <w:tcPr>
            <w:tcW w:w="620" w:type="dxa"/>
            <w:vAlign w:val="bottom"/>
          </w:tcPr>
          <w:p>
            <w:pPr>
              <w:ind w:left="60"/>
              <w:spacing w:after="0"/>
              <w:rPr>
                <w:sz w:val="20"/>
                <w:szCs w:val="20"/>
                <w:color w:val="auto"/>
              </w:rPr>
            </w:pPr>
            <w:r>
              <w:rPr>
                <w:rFonts w:ascii="Arial" w:cs="Arial" w:eastAsia="Arial" w:hAnsi="Arial"/>
                <w:sz w:val="14"/>
                <w:szCs w:val="14"/>
                <w:color w:val="auto"/>
              </w:rPr>
              <w:t>IIN001</w:t>
            </w:r>
          </w:p>
        </w:tc>
        <w:tc>
          <w:tcPr>
            <w:tcW w:w="24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462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9,224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462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9,224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9,686</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2,888</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Everett,</w:t>
            </w: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2"/>
              </w:rPr>
              <w:t>Massachusetts</w:t>
            </w:r>
          </w:p>
        </w:tc>
        <w:tc>
          <w:tcPr>
            <w:tcW w:w="620" w:type="dxa"/>
            <w:vAlign w:val="bottom"/>
            <w:shd w:val="clear" w:color="auto" w:fill="CCEEFF"/>
          </w:tcPr>
          <w:p>
            <w:pPr>
              <w:ind w:left="60"/>
              <w:spacing w:after="0"/>
              <w:rPr>
                <w:sz w:val="20"/>
                <w:szCs w:val="20"/>
                <w:color w:val="auto"/>
              </w:rPr>
            </w:pPr>
            <w:r>
              <w:rPr>
                <w:rFonts w:ascii="Arial" w:cs="Arial" w:eastAsia="Arial" w:hAnsi="Arial"/>
                <w:sz w:val="14"/>
                <w:szCs w:val="14"/>
                <w:color w:val="auto"/>
              </w:rPr>
              <w:t>IMA001</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17,741</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7,439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21,774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10,979</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32,753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40,192</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7,028</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900" w:type="dxa"/>
            <w:vAlign w:val="bottom"/>
          </w:tcPr>
          <w:p>
            <w:pPr>
              <w:ind w:left="20"/>
              <w:spacing w:after="0" w:line="157" w:lineRule="exact"/>
              <w:rPr>
                <w:sz w:val="20"/>
                <w:szCs w:val="20"/>
                <w:color w:val="auto"/>
              </w:rPr>
            </w:pPr>
            <w:r>
              <w:rPr>
                <w:rFonts w:ascii="Arial" w:cs="Arial" w:eastAsia="Arial" w:hAnsi="Arial"/>
                <w:sz w:val="14"/>
                <w:szCs w:val="14"/>
                <w:color w:val="auto"/>
              </w:rPr>
              <w:t>Montague,</w:t>
            </w: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00" w:type="dxa"/>
            <w:vAlign w:val="bottom"/>
          </w:tcPr>
          <w:p>
            <w:pPr>
              <w:ind w:left="20"/>
              <w:spacing w:after="0"/>
              <w:rPr>
                <w:sz w:val="20"/>
                <w:szCs w:val="20"/>
                <w:color w:val="auto"/>
              </w:rPr>
            </w:pPr>
            <w:r>
              <w:rPr>
                <w:rFonts w:ascii="Arial" w:cs="Arial" w:eastAsia="Arial" w:hAnsi="Arial"/>
                <w:sz w:val="14"/>
                <w:szCs w:val="14"/>
                <w:color w:val="auto"/>
              </w:rPr>
              <w:t>Michigan</w:t>
            </w:r>
          </w:p>
        </w:tc>
        <w:tc>
          <w:tcPr>
            <w:tcW w:w="620" w:type="dxa"/>
            <w:vAlign w:val="bottom"/>
          </w:tcPr>
          <w:p>
            <w:pPr>
              <w:ind w:left="60"/>
              <w:spacing w:after="0"/>
              <w:rPr>
                <w:sz w:val="20"/>
                <w:szCs w:val="20"/>
                <w:color w:val="auto"/>
              </w:rPr>
            </w:pPr>
            <w:r>
              <w:rPr>
                <w:rFonts w:ascii="Arial" w:cs="Arial" w:eastAsia="Arial" w:hAnsi="Arial"/>
                <w:sz w:val="14"/>
                <w:szCs w:val="14"/>
                <w:color w:val="auto"/>
              </w:rPr>
              <w:t>IMI001</w:t>
            </w:r>
          </w:p>
        </w:tc>
        <w:tc>
          <w:tcPr>
            <w:tcW w:w="24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598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9,814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598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9,815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10,413</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3,105</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Bloomington,</w:t>
            </w: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Minnesota</w:t>
            </w:r>
          </w:p>
        </w:tc>
        <w:tc>
          <w:tcPr>
            <w:tcW w:w="620" w:type="dxa"/>
            <w:vAlign w:val="bottom"/>
            <w:shd w:val="clear" w:color="auto" w:fill="CCEEFF"/>
          </w:tcPr>
          <w:p>
            <w:pPr>
              <w:ind w:left="60"/>
              <w:spacing w:after="0"/>
              <w:rPr>
                <w:sz w:val="20"/>
                <w:szCs w:val="20"/>
                <w:color w:val="auto"/>
              </w:rPr>
            </w:pPr>
            <w:r>
              <w:rPr>
                <w:rFonts w:ascii="Arial" w:cs="Arial" w:eastAsia="Arial" w:hAnsi="Arial"/>
                <w:sz w:val="14"/>
                <w:szCs w:val="14"/>
                <w:color w:val="auto"/>
              </w:rPr>
              <w:t>IMN001</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1,206</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900" w:type="dxa"/>
            <w:vAlign w:val="bottom"/>
          </w:tcPr>
          <w:p>
            <w:pPr>
              <w:ind w:left="20"/>
              <w:spacing w:after="0" w:line="157" w:lineRule="exact"/>
              <w:rPr>
                <w:sz w:val="20"/>
                <w:szCs w:val="20"/>
                <w:color w:val="auto"/>
              </w:rPr>
            </w:pPr>
            <w:r>
              <w:rPr>
                <w:rFonts w:ascii="Arial" w:cs="Arial" w:eastAsia="Arial" w:hAnsi="Arial"/>
                <w:sz w:val="14"/>
                <w:szCs w:val="14"/>
                <w:color w:val="auto"/>
              </w:rPr>
              <w:t>Little Falls,</w:t>
            </w: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00" w:type="dxa"/>
            <w:vAlign w:val="bottom"/>
          </w:tcPr>
          <w:p>
            <w:pPr>
              <w:ind w:left="20"/>
              <w:spacing w:after="0"/>
              <w:rPr>
                <w:sz w:val="20"/>
                <w:szCs w:val="20"/>
                <w:color w:val="auto"/>
              </w:rPr>
            </w:pPr>
            <w:r>
              <w:rPr>
                <w:rFonts w:ascii="Arial" w:cs="Arial" w:eastAsia="Arial" w:hAnsi="Arial"/>
                <w:sz w:val="14"/>
                <w:szCs w:val="14"/>
                <w:color w:val="auto"/>
              </w:rPr>
              <w:t>Minnesota</w:t>
            </w:r>
          </w:p>
        </w:tc>
        <w:tc>
          <w:tcPr>
            <w:tcW w:w="620" w:type="dxa"/>
            <w:vAlign w:val="bottom"/>
          </w:tcPr>
          <w:p>
            <w:pPr>
              <w:ind w:left="60"/>
              <w:spacing w:after="0"/>
              <w:rPr>
                <w:sz w:val="20"/>
                <w:szCs w:val="20"/>
                <w:color w:val="auto"/>
              </w:rPr>
            </w:pPr>
            <w:r>
              <w:rPr>
                <w:rFonts w:ascii="Arial" w:cs="Arial" w:eastAsia="Arial" w:hAnsi="Arial"/>
                <w:sz w:val="14"/>
                <w:szCs w:val="14"/>
                <w:color w:val="auto"/>
              </w:rPr>
              <w:t>IMN002</w:t>
            </w:r>
          </w:p>
        </w:tc>
        <w:tc>
          <w:tcPr>
            <w:tcW w:w="24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6,705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17,690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6,225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18,170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24,395</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5,411</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Elizabeth,</w:t>
            </w: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Jersey</w:t>
            </w:r>
          </w:p>
        </w:tc>
        <w:tc>
          <w:tcPr>
            <w:tcW w:w="620" w:type="dxa"/>
            <w:vAlign w:val="bottom"/>
            <w:shd w:val="clear" w:color="auto" w:fill="CCEEFF"/>
          </w:tcPr>
          <w:p>
            <w:pPr>
              <w:ind w:left="60"/>
              <w:spacing w:after="0"/>
              <w:rPr>
                <w:sz w:val="20"/>
                <w:szCs w:val="20"/>
                <w:color w:val="auto"/>
              </w:rPr>
            </w:pPr>
            <w:r>
              <w:rPr>
                <w:rFonts w:ascii="Arial" w:cs="Arial" w:eastAsia="Arial" w:hAnsi="Arial"/>
                <w:sz w:val="14"/>
                <w:szCs w:val="14"/>
                <w:color w:val="auto"/>
              </w:rPr>
              <w:t>INJ001</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20,575</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8,368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15,376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21,141</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36,517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44,885</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7,912</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900" w:type="dxa"/>
            <w:vAlign w:val="bottom"/>
          </w:tcPr>
          <w:p>
            <w:pPr>
              <w:ind w:left="20"/>
              <w:spacing w:after="0" w:line="157" w:lineRule="exact"/>
              <w:rPr>
                <w:sz w:val="20"/>
                <w:szCs w:val="20"/>
                <w:color w:val="auto"/>
              </w:rPr>
            </w:pPr>
            <w:r>
              <w:rPr>
                <w:rFonts w:ascii="Arial" w:cs="Arial" w:eastAsia="Arial" w:hAnsi="Arial"/>
                <w:sz w:val="14"/>
                <w:szCs w:val="14"/>
                <w:color w:val="auto"/>
              </w:rPr>
              <w:t>El Reno,</w:t>
            </w: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00" w:type="dxa"/>
            <w:vAlign w:val="bottom"/>
          </w:tcPr>
          <w:p>
            <w:pPr>
              <w:ind w:left="20"/>
              <w:spacing w:after="0"/>
              <w:rPr>
                <w:sz w:val="20"/>
                <w:szCs w:val="20"/>
                <w:color w:val="auto"/>
              </w:rPr>
            </w:pPr>
            <w:r>
              <w:rPr>
                <w:rFonts w:ascii="Arial" w:cs="Arial" w:eastAsia="Arial" w:hAnsi="Arial"/>
                <w:sz w:val="14"/>
                <w:szCs w:val="14"/>
                <w:color w:val="auto"/>
              </w:rPr>
              <w:t>Oklahoma</w:t>
            </w:r>
          </w:p>
        </w:tc>
        <w:tc>
          <w:tcPr>
            <w:tcW w:w="620" w:type="dxa"/>
            <w:vAlign w:val="bottom"/>
          </w:tcPr>
          <w:p>
            <w:pPr>
              <w:ind w:left="60"/>
              <w:spacing w:after="0"/>
              <w:rPr>
                <w:sz w:val="20"/>
                <w:szCs w:val="20"/>
                <w:color w:val="auto"/>
              </w:rPr>
            </w:pPr>
            <w:r>
              <w:rPr>
                <w:rFonts w:ascii="Arial" w:cs="Arial" w:eastAsia="Arial" w:hAnsi="Arial"/>
                <w:sz w:val="14"/>
                <w:szCs w:val="14"/>
                <w:color w:val="auto"/>
              </w:rPr>
              <w:t>IOK001</w:t>
            </w:r>
          </w:p>
        </w:tc>
        <w:tc>
          <w:tcPr>
            <w:tcW w:w="24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5,858</w:t>
            </w:r>
          </w:p>
        </w:tc>
        <w:tc>
          <w:tcPr>
            <w:tcW w:w="4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411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7,037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411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7,037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7,448</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200" w:type="dxa"/>
            <w:vAlign w:val="bottom"/>
          </w:tcPr>
          <w:p>
            <w:pPr>
              <w:jc w:val="right"/>
              <w:spacing w:after="0"/>
              <w:rPr>
                <w:sz w:val="20"/>
                <w:szCs w:val="20"/>
                <w:color w:val="auto"/>
              </w:rPr>
            </w:pPr>
            <w:r>
              <w:rPr>
                <w:rFonts w:ascii="Arial" w:cs="Arial" w:eastAsia="Arial" w:hAnsi="Arial"/>
                <w:sz w:val="11"/>
                <w:szCs w:val="11"/>
                <w:color w:val="auto"/>
              </w:rPr>
              <w:t>(3)</w:t>
            </w:r>
          </w:p>
        </w:tc>
        <w:tc>
          <w:tcPr>
            <w:tcW w:w="680" w:type="dxa"/>
            <w:vAlign w:val="bottom"/>
          </w:tcPr>
          <w:p>
            <w:pPr>
              <w:jc w:val="right"/>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 Porte,</w:t>
            </w: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Texas</w:t>
            </w:r>
          </w:p>
        </w:tc>
        <w:tc>
          <w:tcPr>
            <w:tcW w:w="620" w:type="dxa"/>
            <w:vAlign w:val="bottom"/>
            <w:shd w:val="clear" w:color="auto" w:fill="CCEEFF"/>
          </w:tcPr>
          <w:p>
            <w:pPr>
              <w:ind w:left="60"/>
              <w:spacing w:after="0"/>
              <w:rPr>
                <w:sz w:val="20"/>
                <w:szCs w:val="20"/>
                <w:color w:val="auto"/>
              </w:rPr>
            </w:pPr>
            <w:r>
              <w:rPr>
                <w:rFonts w:ascii="Arial" w:cs="Arial" w:eastAsia="Arial" w:hAnsi="Arial"/>
                <w:sz w:val="14"/>
                <w:szCs w:val="14"/>
                <w:color w:val="auto"/>
              </w:rPr>
              <w:t>ITX004</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12,803</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1,631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27,858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27,442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29,073</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6,243</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900" w:type="dxa"/>
            <w:vAlign w:val="bottom"/>
          </w:tcPr>
          <w:p>
            <w:pPr>
              <w:ind w:left="20"/>
              <w:spacing w:after="0" w:line="157" w:lineRule="exact"/>
              <w:rPr>
                <w:sz w:val="20"/>
                <w:szCs w:val="20"/>
                <w:color w:val="auto"/>
              </w:rPr>
            </w:pPr>
            <w:r>
              <w:rPr>
                <w:rFonts w:ascii="Arial" w:cs="Arial" w:eastAsia="Arial" w:hAnsi="Arial"/>
                <w:sz w:val="14"/>
                <w:szCs w:val="14"/>
                <w:color w:val="auto"/>
              </w:rPr>
              <w:t>Fort Worth,</w:t>
            </w: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00" w:type="dxa"/>
            <w:vAlign w:val="bottom"/>
          </w:tcPr>
          <w:p>
            <w:pPr>
              <w:ind w:left="20"/>
              <w:spacing w:after="0"/>
              <w:rPr>
                <w:sz w:val="20"/>
                <w:szCs w:val="20"/>
                <w:color w:val="auto"/>
              </w:rPr>
            </w:pPr>
            <w:r>
              <w:rPr>
                <w:rFonts w:ascii="Arial" w:cs="Arial" w:eastAsia="Arial" w:hAnsi="Arial"/>
                <w:sz w:val="14"/>
                <w:szCs w:val="14"/>
                <w:color w:val="auto"/>
              </w:rPr>
              <w:t>Texas</w:t>
            </w:r>
          </w:p>
        </w:tc>
        <w:tc>
          <w:tcPr>
            <w:tcW w:w="620" w:type="dxa"/>
            <w:vAlign w:val="bottom"/>
          </w:tcPr>
          <w:p>
            <w:pPr>
              <w:ind w:left="60"/>
              <w:spacing w:after="0"/>
              <w:rPr>
                <w:sz w:val="20"/>
                <w:szCs w:val="20"/>
                <w:color w:val="auto"/>
              </w:rPr>
            </w:pPr>
            <w:r>
              <w:rPr>
                <w:rFonts w:ascii="Arial" w:cs="Arial" w:eastAsia="Arial" w:hAnsi="Arial"/>
                <w:sz w:val="14"/>
                <w:szCs w:val="14"/>
                <w:color w:val="auto"/>
              </w:rPr>
              <w:t>ITX005</w:t>
            </w:r>
          </w:p>
        </w:tc>
        <w:tc>
          <w:tcPr>
            <w:tcW w:w="24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13,742</w:t>
            </w:r>
          </w:p>
        </w:tc>
        <w:tc>
          <w:tcPr>
            <w:tcW w:w="4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2,189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15,284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2,189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15,279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17,468</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134</w:t>
            </w:r>
          </w:p>
        </w:tc>
        <w:tc>
          <w:tcPr>
            <w:tcW w:w="200" w:type="dxa"/>
            <w:vAlign w:val="bottom"/>
          </w:tcPr>
          <w:p>
            <w:pPr>
              <w:jc w:val="right"/>
              <w:spacing w:after="0"/>
              <w:rPr>
                <w:sz w:val="20"/>
                <w:szCs w:val="20"/>
                <w:color w:val="auto"/>
              </w:rPr>
            </w:pPr>
            <w:r>
              <w:rPr>
                <w:rFonts w:ascii="Arial" w:cs="Arial" w:eastAsia="Arial" w:hAnsi="Arial"/>
                <w:sz w:val="11"/>
                <w:szCs w:val="11"/>
                <w:color w:val="auto"/>
              </w:rPr>
              <w:t>(3)</w:t>
            </w:r>
          </w:p>
        </w:tc>
        <w:tc>
          <w:tcPr>
            <w:tcW w:w="680" w:type="dxa"/>
            <w:vAlign w:val="bottom"/>
          </w:tcPr>
          <w:p>
            <w:pPr>
              <w:jc w:val="right"/>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Chesapeake,</w:t>
            </w: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Virginia</w:t>
            </w:r>
          </w:p>
        </w:tc>
        <w:tc>
          <w:tcPr>
            <w:tcW w:w="620" w:type="dxa"/>
            <w:vAlign w:val="bottom"/>
            <w:shd w:val="clear" w:color="auto" w:fill="CCEEFF"/>
          </w:tcPr>
          <w:p>
            <w:pPr>
              <w:ind w:left="60"/>
              <w:spacing w:after="0"/>
              <w:rPr>
                <w:sz w:val="20"/>
                <w:szCs w:val="20"/>
                <w:color w:val="auto"/>
              </w:rPr>
            </w:pPr>
            <w:r>
              <w:rPr>
                <w:rFonts w:ascii="Arial" w:cs="Arial" w:eastAsia="Arial" w:hAnsi="Arial"/>
                <w:sz w:val="14"/>
                <w:szCs w:val="14"/>
                <w:color w:val="auto"/>
              </w:rPr>
              <w:t>IVA001</w:t>
            </w:r>
          </w:p>
        </w:tc>
        <w:tc>
          <w:tcPr>
            <w:tcW w:w="2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13,808</w:t>
            </w: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2,619</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28,481</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2,619</w:t>
            </w: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28,623</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31,242</w:t>
            </w:r>
          </w:p>
        </w:tc>
        <w:tc>
          <w:tcPr>
            <w:tcW w:w="2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6,570</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50"/>
        </w:trPr>
        <w:tc>
          <w:tcPr>
            <w:tcW w:w="900" w:type="dxa"/>
            <w:vAlign w:val="bottom"/>
          </w:tcPr>
          <w:p>
            <w:pPr>
              <w:ind w:left="20"/>
              <w:spacing w:after="0"/>
              <w:rPr>
                <w:sz w:val="20"/>
                <w:szCs w:val="20"/>
                <w:color w:val="auto"/>
              </w:rPr>
            </w:pPr>
            <w:r>
              <w:rPr>
                <w:rFonts w:ascii="Arial" w:cs="Arial" w:eastAsia="Arial" w:hAnsi="Arial"/>
                <w:sz w:val="14"/>
                <w:szCs w:val="14"/>
                <w:color w:val="auto"/>
              </w:rPr>
              <w:t>Subtotal</w:t>
            </w:r>
          </w:p>
        </w:tc>
        <w:tc>
          <w:tcPr>
            <w:tcW w:w="62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155,731</w:t>
            </w:r>
          </w:p>
        </w:tc>
        <w:tc>
          <w:tcPr>
            <w:tcW w:w="440" w:type="dxa"/>
            <w:vAlign w:val="bottom"/>
          </w:tcPr>
          <w:p>
            <w:pPr>
              <w:spacing w:after="0"/>
              <w:rPr>
                <w:sz w:val="21"/>
                <w:szCs w:val="21"/>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  76,845</w:t>
            </w:r>
          </w:p>
        </w:tc>
        <w:tc>
          <w:tcPr>
            <w:tcW w:w="12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281,977</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62,289</w:t>
            </w: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  76,797</w:t>
            </w:r>
          </w:p>
        </w:tc>
        <w:tc>
          <w:tcPr>
            <w:tcW w:w="3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344,314</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w w:val="90"/>
              </w:rPr>
              <w:t>421,111</w:t>
            </w:r>
          </w:p>
        </w:tc>
        <w:tc>
          <w:tcPr>
            <w:tcW w:w="20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90,698</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LAND:</w:t>
            </w:r>
          </w:p>
        </w:tc>
        <w:tc>
          <w:tcPr>
            <w:tcW w:w="6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spacing w:after="0"/>
              <w:rPr>
                <w:sz w:val="22"/>
                <w:szCs w:val="22"/>
                <w:color w:val="auto"/>
              </w:rPr>
            </w:pPr>
          </w:p>
        </w:tc>
        <w:tc>
          <w:tcPr>
            <w:tcW w:w="44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900" w:type="dxa"/>
            <w:vAlign w:val="bottom"/>
          </w:tcPr>
          <w:p>
            <w:pPr>
              <w:ind w:left="20"/>
              <w:spacing w:after="0" w:line="157" w:lineRule="exact"/>
              <w:rPr>
                <w:sz w:val="20"/>
                <w:szCs w:val="20"/>
                <w:color w:val="auto"/>
              </w:rPr>
            </w:pPr>
            <w:r>
              <w:rPr>
                <w:rFonts w:ascii="Arial" w:cs="Arial" w:eastAsia="Arial" w:hAnsi="Arial"/>
                <w:sz w:val="14"/>
                <w:szCs w:val="14"/>
                <w:color w:val="auto"/>
              </w:rPr>
              <w:t>Scottsdale,</w:t>
            </w: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00" w:type="dxa"/>
            <w:vAlign w:val="bottom"/>
          </w:tcPr>
          <w:p>
            <w:pPr>
              <w:ind w:left="20"/>
              <w:spacing w:after="0"/>
              <w:rPr>
                <w:sz w:val="20"/>
                <w:szCs w:val="20"/>
                <w:color w:val="auto"/>
              </w:rPr>
            </w:pPr>
            <w:r>
              <w:rPr>
                <w:rFonts w:ascii="Arial" w:cs="Arial" w:eastAsia="Arial" w:hAnsi="Arial"/>
                <w:sz w:val="14"/>
                <w:szCs w:val="14"/>
                <w:color w:val="auto"/>
              </w:rPr>
              <w:t>Arizona</w:t>
            </w:r>
          </w:p>
        </w:tc>
        <w:tc>
          <w:tcPr>
            <w:tcW w:w="620" w:type="dxa"/>
            <w:vAlign w:val="bottom"/>
          </w:tcPr>
          <w:p>
            <w:pPr>
              <w:ind w:left="60"/>
              <w:spacing w:after="0"/>
              <w:rPr>
                <w:sz w:val="20"/>
                <w:szCs w:val="20"/>
                <w:color w:val="auto"/>
              </w:rPr>
            </w:pPr>
            <w:r>
              <w:rPr>
                <w:rFonts w:ascii="Arial" w:cs="Arial" w:eastAsia="Arial" w:hAnsi="Arial"/>
                <w:sz w:val="14"/>
                <w:szCs w:val="14"/>
                <w:color w:val="auto"/>
              </w:rPr>
              <w:t>LAZ003</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1,400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1,400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1,400</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63"/>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Whittmann,</w:t>
            </w: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Arizona</w:t>
            </w:r>
          </w:p>
        </w:tc>
        <w:tc>
          <w:tcPr>
            <w:tcW w:w="620" w:type="dxa"/>
            <w:vAlign w:val="bottom"/>
            <w:shd w:val="clear" w:color="auto" w:fill="CCEEFF"/>
          </w:tcPr>
          <w:p>
            <w:pPr>
              <w:ind w:left="60"/>
              <w:spacing w:after="0"/>
              <w:rPr>
                <w:sz w:val="20"/>
                <w:szCs w:val="20"/>
                <w:color w:val="auto"/>
              </w:rPr>
            </w:pPr>
            <w:r>
              <w:rPr>
                <w:rFonts w:ascii="Arial" w:cs="Arial" w:eastAsia="Arial" w:hAnsi="Arial"/>
                <w:sz w:val="14"/>
                <w:szCs w:val="14"/>
                <w:color w:val="auto"/>
              </w:rPr>
              <w:t>LAZ001</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96,700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96,700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96,700</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2010</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57"/>
        </w:trPr>
        <w:tc>
          <w:tcPr>
            <w:tcW w:w="900" w:type="dxa"/>
            <w:vAlign w:val="bottom"/>
          </w:tcPr>
          <w:p>
            <w:pPr>
              <w:ind w:left="20"/>
              <w:spacing w:after="0" w:line="157" w:lineRule="exact"/>
              <w:rPr>
                <w:sz w:val="20"/>
                <w:szCs w:val="20"/>
                <w:color w:val="auto"/>
              </w:rPr>
            </w:pPr>
            <w:r>
              <w:rPr>
                <w:rFonts w:ascii="Arial" w:cs="Arial" w:eastAsia="Arial" w:hAnsi="Arial"/>
                <w:sz w:val="14"/>
                <w:szCs w:val="14"/>
                <w:color w:val="auto"/>
              </w:rPr>
              <w:t>Mammoth</w:t>
            </w: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00" w:type="dxa"/>
            <w:vAlign w:val="bottom"/>
          </w:tcPr>
          <w:p>
            <w:pPr>
              <w:ind w:left="20"/>
              <w:spacing w:after="0" w:line="149" w:lineRule="exact"/>
              <w:rPr>
                <w:sz w:val="20"/>
                <w:szCs w:val="20"/>
                <w:color w:val="auto"/>
              </w:rPr>
            </w:pPr>
            <w:r>
              <w:rPr>
                <w:rFonts w:ascii="Arial" w:cs="Arial" w:eastAsia="Arial" w:hAnsi="Arial"/>
                <w:sz w:val="14"/>
                <w:szCs w:val="14"/>
                <w:color w:val="auto"/>
              </w:rPr>
              <w:t>Lakes,</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900" w:type="dxa"/>
            <w:vAlign w:val="bottom"/>
          </w:tcPr>
          <w:p>
            <w:pPr>
              <w:ind w:left="20"/>
              <w:spacing w:after="0"/>
              <w:rPr>
                <w:sz w:val="20"/>
                <w:szCs w:val="20"/>
                <w:color w:val="auto"/>
              </w:rPr>
            </w:pPr>
            <w:r>
              <w:rPr>
                <w:rFonts w:ascii="Arial" w:cs="Arial" w:eastAsia="Arial" w:hAnsi="Arial"/>
                <w:sz w:val="14"/>
                <w:szCs w:val="14"/>
                <w:color w:val="auto"/>
              </w:rPr>
              <w:t>California</w:t>
            </w:r>
          </w:p>
        </w:tc>
        <w:tc>
          <w:tcPr>
            <w:tcW w:w="620" w:type="dxa"/>
            <w:vAlign w:val="bottom"/>
          </w:tcPr>
          <w:p>
            <w:pPr>
              <w:ind w:left="60"/>
              <w:spacing w:after="0"/>
              <w:rPr>
                <w:sz w:val="20"/>
                <w:szCs w:val="20"/>
                <w:color w:val="auto"/>
              </w:rPr>
            </w:pPr>
            <w:r>
              <w:rPr>
                <w:rFonts w:ascii="Arial" w:cs="Arial" w:eastAsia="Arial" w:hAnsi="Arial"/>
                <w:sz w:val="14"/>
                <w:szCs w:val="14"/>
                <w:color w:val="auto"/>
              </w:rPr>
              <w:t>LCA002</w:t>
            </w:r>
          </w:p>
        </w:tc>
        <w:tc>
          <w:tcPr>
            <w:tcW w:w="24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28,464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2,836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(11,000)</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17,464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2,836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20,300</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2,836</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63"/>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Mammoth,</w:t>
            </w: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620" w:type="dxa"/>
            <w:vAlign w:val="bottom"/>
            <w:shd w:val="clear" w:color="auto" w:fill="CCEEFF"/>
          </w:tcPr>
          <w:p>
            <w:pPr>
              <w:ind w:left="60"/>
              <w:spacing w:after="0"/>
              <w:rPr>
                <w:sz w:val="20"/>
                <w:szCs w:val="20"/>
                <w:color w:val="auto"/>
              </w:rPr>
            </w:pPr>
            <w:r>
              <w:rPr>
                <w:rFonts w:ascii="Arial" w:cs="Arial" w:eastAsia="Arial" w:hAnsi="Arial"/>
                <w:sz w:val="14"/>
                <w:szCs w:val="14"/>
                <w:color w:val="auto"/>
              </w:rPr>
              <w:t>LCA007</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2,382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2,382</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57"/>
        </w:trPr>
        <w:tc>
          <w:tcPr>
            <w:tcW w:w="900" w:type="dxa"/>
            <w:vAlign w:val="bottom"/>
          </w:tcPr>
          <w:p>
            <w:pPr>
              <w:ind w:left="20"/>
              <w:spacing w:after="0" w:line="157" w:lineRule="exact"/>
              <w:rPr>
                <w:sz w:val="20"/>
                <w:szCs w:val="20"/>
                <w:color w:val="auto"/>
              </w:rPr>
            </w:pPr>
            <w:r>
              <w:rPr>
                <w:rFonts w:ascii="Arial" w:cs="Arial" w:eastAsia="Arial" w:hAnsi="Arial"/>
                <w:sz w:val="14"/>
                <w:szCs w:val="14"/>
                <w:color w:val="auto"/>
              </w:rPr>
              <w:t>Riverside,</w:t>
            </w: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00" w:type="dxa"/>
            <w:vAlign w:val="bottom"/>
          </w:tcPr>
          <w:p>
            <w:pPr>
              <w:ind w:left="20"/>
              <w:spacing w:after="0"/>
              <w:rPr>
                <w:sz w:val="20"/>
                <w:szCs w:val="20"/>
                <w:color w:val="auto"/>
              </w:rPr>
            </w:pPr>
            <w:r>
              <w:rPr>
                <w:rFonts w:ascii="Arial" w:cs="Arial" w:eastAsia="Arial" w:hAnsi="Arial"/>
                <w:sz w:val="14"/>
                <w:szCs w:val="14"/>
                <w:color w:val="auto"/>
              </w:rPr>
              <w:t>California</w:t>
            </w:r>
          </w:p>
        </w:tc>
        <w:tc>
          <w:tcPr>
            <w:tcW w:w="620" w:type="dxa"/>
            <w:vAlign w:val="bottom"/>
          </w:tcPr>
          <w:p>
            <w:pPr>
              <w:ind w:left="60"/>
              <w:spacing w:after="0"/>
              <w:rPr>
                <w:sz w:val="20"/>
                <w:szCs w:val="20"/>
                <w:color w:val="auto"/>
              </w:rPr>
            </w:pPr>
            <w:r>
              <w:rPr>
                <w:rFonts w:ascii="Arial" w:cs="Arial" w:eastAsia="Arial" w:hAnsi="Arial"/>
                <w:sz w:val="14"/>
                <w:szCs w:val="14"/>
                <w:color w:val="auto"/>
              </w:rPr>
              <w:t>LCA003</w:t>
            </w:r>
          </w:p>
        </w:tc>
        <w:tc>
          <w:tcPr>
            <w:tcW w:w="24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87,300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(2,649)</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84,651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84,651</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63"/>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San Jose,</w:t>
            </w: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620" w:type="dxa"/>
            <w:vAlign w:val="bottom"/>
            <w:shd w:val="clear" w:color="auto" w:fill="CCEEFF"/>
          </w:tcPr>
          <w:p>
            <w:pPr>
              <w:ind w:left="60"/>
              <w:spacing w:after="0"/>
              <w:rPr>
                <w:sz w:val="20"/>
                <w:szCs w:val="20"/>
                <w:color w:val="auto"/>
              </w:rPr>
            </w:pPr>
            <w:r>
              <w:rPr>
                <w:rFonts w:ascii="Arial" w:cs="Arial" w:eastAsia="Arial" w:hAnsi="Arial"/>
                <w:sz w:val="14"/>
                <w:szCs w:val="14"/>
                <w:color w:val="auto"/>
              </w:rPr>
              <w:t>LCA004</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68,155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(22,099)</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46,056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46,056</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80"/>
          </w:cols>
          <w:pgMar w:left="260" w:top="742" w:right="25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iStar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III—Real Estate and Accumulated Depreciation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2016</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4"/>
              </w:rPr>
              <w:t>Gross Amount Carried</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6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Initial Cost to Company</w:t>
            </w:r>
          </w:p>
        </w:tc>
        <w:tc>
          <w:tcPr>
            <w:tcW w:w="12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Cost</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2"/>
              </w:rPr>
              <w:t>at Close of Period</w:t>
            </w:r>
          </w:p>
        </w:tc>
        <w:tc>
          <w:tcPr>
            <w:tcW w:w="6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9"/>
              </w:rPr>
              <w:t>Building and</w:t>
            </w:r>
          </w:p>
        </w:tc>
        <w:tc>
          <w:tcPr>
            <w:tcW w:w="120" w:type="dxa"/>
            <w:vAlign w:val="bottom"/>
          </w:tcPr>
          <w:p>
            <w:pPr>
              <w:spacing w:after="0"/>
              <w:rPr>
                <w:sz w:val="11"/>
                <w:szCs w:val="11"/>
                <w:color w:val="auto"/>
              </w:rPr>
            </w:pPr>
          </w:p>
        </w:tc>
        <w:tc>
          <w:tcPr>
            <w:tcW w:w="10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4"/>
              </w:rPr>
              <w:t>Capitalized</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4"/>
              </w:rPr>
              <w:t>Building and</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Accumulated</w:t>
            </w:r>
          </w:p>
        </w:tc>
        <w:tc>
          <w:tcPr>
            <w:tcW w:w="200" w:type="dxa"/>
            <w:vAlign w:val="bottom"/>
          </w:tcPr>
          <w:p>
            <w:pPr>
              <w:spacing w:after="0"/>
              <w:rPr>
                <w:sz w:val="11"/>
                <w:szCs w:val="11"/>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Depreciable</w:t>
            </w:r>
          </w:p>
        </w:tc>
        <w:tc>
          <w:tcPr>
            <w:tcW w:w="0" w:type="dxa"/>
            <w:vAlign w:val="bottom"/>
          </w:tcPr>
          <w:p>
            <w:pPr>
              <w:spacing w:after="0"/>
              <w:rPr>
                <w:sz w:val="1"/>
                <w:szCs w:val="1"/>
                <w:color w:val="auto"/>
              </w:rPr>
            </w:pPr>
          </w:p>
        </w:tc>
      </w:tr>
      <w:tr>
        <w:trPr>
          <w:trHeight w:val="149"/>
        </w:trPr>
        <w:tc>
          <w:tcPr>
            <w:tcW w:w="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Location</w:t>
            </w:r>
          </w:p>
        </w:tc>
        <w:tc>
          <w:tcPr>
            <w:tcW w:w="660" w:type="dxa"/>
            <w:vAlign w:val="bottom"/>
          </w:tcPr>
          <w:p>
            <w:pPr>
              <w:spacing w:after="0"/>
              <w:rPr>
                <w:sz w:val="12"/>
                <w:szCs w:val="12"/>
                <w:color w:val="auto"/>
              </w:rPr>
            </w:pPr>
          </w:p>
        </w:tc>
        <w:tc>
          <w:tcPr>
            <w:tcW w:w="9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1"/>
              </w:rPr>
              <w:t>Encumbrances</w:t>
            </w:r>
          </w:p>
        </w:tc>
        <w:tc>
          <w:tcPr>
            <w:tcW w:w="440" w:type="dxa"/>
            <w:vAlign w:val="bottom"/>
          </w:tcPr>
          <w:p>
            <w:pPr>
              <w:spacing w:after="0"/>
              <w:rPr>
                <w:sz w:val="12"/>
                <w:szCs w:val="12"/>
                <w:color w:val="auto"/>
              </w:rPr>
            </w:pPr>
          </w:p>
        </w:tc>
        <w:tc>
          <w:tcPr>
            <w:tcW w:w="8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Land</w:t>
            </w: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Subsequent to</w:t>
            </w: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Land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192"/>
        </w:trPr>
        <w:tc>
          <w:tcPr>
            <w:tcW w:w="82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920" w:type="dxa"/>
            <w:vAlign w:val="bottom"/>
          </w:tcPr>
          <w:p>
            <w:pPr>
              <w:ind w:left="20"/>
              <w:spacing w:after="0"/>
              <w:rPr>
                <w:sz w:val="20"/>
                <w:szCs w:val="20"/>
                <w:color w:val="auto"/>
              </w:rPr>
            </w:pPr>
            <w:r>
              <w:rPr>
                <w:rFonts w:ascii="Arial" w:cs="Arial" w:eastAsia="Arial" w:hAnsi="Arial"/>
                <w:sz w:val="14"/>
                <w:szCs w:val="14"/>
                <w:b w:val="1"/>
                <w:bCs w:val="1"/>
                <w:color w:val="auto"/>
                <w:w w:val="91"/>
              </w:rPr>
              <w:t>Improvements</w:t>
            </w:r>
          </w:p>
        </w:tc>
        <w:tc>
          <w:tcPr>
            <w:tcW w:w="12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Acquisition</w:t>
            </w:r>
            <w:r>
              <w:rPr>
                <w:rFonts w:ascii="Arial" w:cs="Arial" w:eastAsia="Arial" w:hAnsi="Arial"/>
                <w:sz w:val="8"/>
                <w:szCs w:val="8"/>
                <w:b w:val="1"/>
                <w:bCs w:val="1"/>
                <w:color w:val="auto"/>
                <w:w w:val="95"/>
              </w:rPr>
              <w:t>(2)</w:t>
            </w: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Improvements</w:t>
            </w:r>
          </w:p>
        </w:tc>
        <w:tc>
          <w:tcPr>
            <w:tcW w:w="800" w:type="dxa"/>
            <w:vAlign w:val="bottom"/>
            <w:gridSpan w:val="2"/>
            <w:vMerge w:val="continue"/>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96"/>
              </w:rPr>
              <w:t>Depreciation</w:t>
            </w:r>
          </w:p>
        </w:tc>
        <w:tc>
          <w:tcPr>
            <w:tcW w:w="200" w:type="dxa"/>
            <w:vAlign w:val="bottom"/>
          </w:tcPr>
          <w:p>
            <w:pPr>
              <w:spacing w:after="0"/>
              <w:rPr>
                <w:sz w:val="16"/>
                <w:szCs w:val="16"/>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Acquired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156"/>
        </w:trPr>
        <w:tc>
          <w:tcPr>
            <w:tcW w:w="820" w:type="dxa"/>
            <w:vAlign w:val="bottom"/>
            <w:tcBorders>
              <w:top w:val="single" w:sz="8" w:color="auto"/>
            </w:tcBorders>
          </w:tcPr>
          <w:p>
            <w:pPr>
              <w:ind w:left="20"/>
              <w:spacing w:after="0" w:line="157" w:lineRule="exact"/>
              <w:rPr>
                <w:sz w:val="20"/>
                <w:szCs w:val="20"/>
                <w:color w:val="auto"/>
              </w:rPr>
            </w:pPr>
            <w:r>
              <w:rPr>
                <w:rFonts w:ascii="Arial" w:cs="Arial" w:eastAsia="Arial" w:hAnsi="Arial"/>
                <w:sz w:val="14"/>
                <w:szCs w:val="14"/>
                <w:color w:val="auto"/>
              </w:rPr>
              <w:t>San Pedro,</w:t>
            </w:r>
          </w:p>
        </w:tc>
        <w:tc>
          <w:tcPr>
            <w:tcW w:w="66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20" w:type="dxa"/>
            <w:vAlign w:val="bottom"/>
          </w:tcPr>
          <w:p>
            <w:pPr>
              <w:ind w:left="20"/>
              <w:spacing w:after="0"/>
              <w:rPr>
                <w:sz w:val="20"/>
                <w:szCs w:val="20"/>
                <w:color w:val="auto"/>
              </w:rPr>
            </w:pPr>
            <w:r>
              <w:rPr>
                <w:rFonts w:ascii="Arial" w:cs="Arial" w:eastAsia="Arial" w:hAnsi="Arial"/>
                <w:sz w:val="14"/>
                <w:szCs w:val="14"/>
                <w:color w:val="auto"/>
              </w:rPr>
              <w:t>California</w:t>
            </w:r>
          </w:p>
        </w:tc>
        <w:tc>
          <w:tcPr>
            <w:tcW w:w="660" w:type="dxa"/>
            <w:vAlign w:val="bottom"/>
          </w:tcPr>
          <w:p>
            <w:pPr>
              <w:ind w:left="60"/>
              <w:spacing w:after="0"/>
              <w:rPr>
                <w:sz w:val="20"/>
                <w:szCs w:val="20"/>
                <w:color w:val="auto"/>
              </w:rPr>
            </w:pPr>
            <w:r>
              <w:rPr>
                <w:rFonts w:ascii="Arial" w:cs="Arial" w:eastAsia="Arial" w:hAnsi="Arial"/>
                <w:sz w:val="14"/>
                <w:szCs w:val="14"/>
                <w:color w:val="auto"/>
              </w:rPr>
              <w:t>LCA005</w:t>
            </w:r>
          </w:p>
        </w:tc>
        <w:tc>
          <w:tcPr>
            <w:tcW w:w="960" w:type="dxa"/>
            <w:vAlign w:val="bottom"/>
          </w:tcPr>
          <w:p>
            <w:pPr>
              <w:ind w:left="7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84,100</w:t>
            </w:r>
          </w:p>
        </w:tc>
        <w:tc>
          <w:tcPr>
            <w:tcW w:w="120" w:type="dxa"/>
            <w:vAlign w:val="bottom"/>
          </w:tcPr>
          <w:p>
            <w:pPr>
              <w:spacing w:after="0"/>
              <w:rPr>
                <w:sz w:val="16"/>
                <w:szCs w:val="16"/>
                <w:color w:val="auto"/>
              </w:rPr>
            </w:pPr>
          </w:p>
        </w:tc>
        <w:tc>
          <w:tcPr>
            <w:tcW w:w="920" w:type="dxa"/>
            <w:vAlign w:val="bottom"/>
          </w:tcPr>
          <w:p>
            <w:pPr>
              <w:ind w:left="68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8"/>
              <w:spacing w:after="0"/>
              <w:rPr>
                <w:sz w:val="20"/>
                <w:szCs w:val="20"/>
                <w:color w:val="auto"/>
              </w:rPr>
            </w:pPr>
            <w:r>
              <w:rPr>
                <w:rFonts w:ascii="Arial" w:cs="Arial" w:eastAsia="Arial" w:hAnsi="Arial"/>
                <w:sz w:val="14"/>
                <w:szCs w:val="14"/>
                <w:color w:val="auto"/>
              </w:rPr>
              <w:t>29,314</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113,414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w w:val="94"/>
              </w:rPr>
              <w:t>113,414</w:t>
            </w:r>
          </w:p>
        </w:tc>
        <w:tc>
          <w:tcPr>
            <w:tcW w:w="20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63"/>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Santa Clarita</w:t>
            </w:r>
          </w:p>
        </w:tc>
        <w:tc>
          <w:tcPr>
            <w:tcW w:w="6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Valley,</w:t>
            </w:r>
          </w:p>
        </w:tc>
        <w:tc>
          <w:tcPr>
            <w:tcW w:w="6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LCA006</w:t>
            </w:r>
          </w:p>
        </w:tc>
        <w:tc>
          <w:tcPr>
            <w:tcW w:w="960" w:type="dxa"/>
            <w:vAlign w:val="bottom"/>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59,100</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59,100</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2010</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57"/>
        </w:trPr>
        <w:tc>
          <w:tcPr>
            <w:tcW w:w="820" w:type="dxa"/>
            <w:vAlign w:val="bottom"/>
          </w:tcPr>
          <w:p>
            <w:pPr>
              <w:ind w:left="20"/>
              <w:spacing w:after="0" w:line="157" w:lineRule="exact"/>
              <w:rPr>
                <w:sz w:val="20"/>
                <w:szCs w:val="20"/>
                <w:color w:val="auto"/>
              </w:rPr>
            </w:pPr>
            <w:r>
              <w:rPr>
                <w:rFonts w:ascii="Arial" w:cs="Arial" w:eastAsia="Arial" w:hAnsi="Arial"/>
                <w:sz w:val="14"/>
                <w:szCs w:val="14"/>
                <w:color w:val="auto"/>
              </w:rPr>
              <w:t>Fort Myers,</w:t>
            </w: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20" w:type="dxa"/>
            <w:vAlign w:val="bottom"/>
          </w:tcPr>
          <w:p>
            <w:pPr>
              <w:ind w:left="20"/>
              <w:spacing w:after="0"/>
              <w:rPr>
                <w:sz w:val="20"/>
                <w:szCs w:val="20"/>
                <w:color w:val="auto"/>
              </w:rPr>
            </w:pPr>
            <w:r>
              <w:rPr>
                <w:rFonts w:ascii="Arial" w:cs="Arial" w:eastAsia="Arial" w:hAnsi="Arial"/>
                <w:sz w:val="14"/>
                <w:szCs w:val="14"/>
                <w:color w:val="auto"/>
              </w:rPr>
              <w:t>Florida</w:t>
            </w:r>
          </w:p>
        </w:tc>
        <w:tc>
          <w:tcPr>
            <w:tcW w:w="660" w:type="dxa"/>
            <w:vAlign w:val="bottom"/>
          </w:tcPr>
          <w:p>
            <w:pPr>
              <w:ind w:left="60"/>
              <w:spacing w:after="0"/>
              <w:rPr>
                <w:sz w:val="20"/>
                <w:szCs w:val="20"/>
                <w:color w:val="auto"/>
              </w:rPr>
            </w:pPr>
            <w:r>
              <w:rPr>
                <w:rFonts w:ascii="Arial" w:cs="Arial" w:eastAsia="Arial" w:hAnsi="Arial"/>
                <w:sz w:val="14"/>
                <w:szCs w:val="14"/>
                <w:color w:val="auto"/>
              </w:rPr>
              <w:t>LFA001</w:t>
            </w:r>
          </w:p>
        </w:tc>
        <w:tc>
          <w:tcPr>
            <w:tcW w:w="960" w:type="dxa"/>
            <w:vAlign w:val="bottom"/>
          </w:tcPr>
          <w:p>
            <w:pPr>
              <w:ind w:left="70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7,600</w:t>
            </w:r>
          </w:p>
        </w:tc>
        <w:tc>
          <w:tcPr>
            <w:tcW w:w="120" w:type="dxa"/>
            <w:vAlign w:val="bottom"/>
          </w:tcPr>
          <w:p>
            <w:pPr>
              <w:spacing w:after="0"/>
              <w:rPr>
                <w:sz w:val="16"/>
                <w:szCs w:val="16"/>
                <w:color w:val="auto"/>
              </w:rPr>
            </w:pPr>
          </w:p>
        </w:tc>
        <w:tc>
          <w:tcPr>
            <w:tcW w:w="920" w:type="dxa"/>
            <w:vAlign w:val="bottom"/>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7,600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7,600</w:t>
            </w:r>
          </w:p>
        </w:tc>
        <w:tc>
          <w:tcPr>
            <w:tcW w:w="20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63"/>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Indiantown,</w:t>
            </w:r>
          </w:p>
        </w:tc>
        <w:tc>
          <w:tcPr>
            <w:tcW w:w="6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Florida</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LFA002</w:t>
            </w:r>
          </w:p>
        </w:tc>
        <w:tc>
          <w:tcPr>
            <w:tcW w:w="960" w:type="dxa"/>
            <w:vAlign w:val="bottom"/>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8,100</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8,100</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57"/>
        </w:trPr>
        <w:tc>
          <w:tcPr>
            <w:tcW w:w="820" w:type="dxa"/>
            <w:vAlign w:val="bottom"/>
          </w:tcPr>
          <w:p>
            <w:pPr>
              <w:ind w:left="20"/>
              <w:spacing w:after="0" w:line="157" w:lineRule="exact"/>
              <w:rPr>
                <w:sz w:val="20"/>
                <w:szCs w:val="20"/>
                <w:color w:val="auto"/>
              </w:rPr>
            </w:pPr>
            <w:r>
              <w:rPr>
                <w:rFonts w:ascii="Arial" w:cs="Arial" w:eastAsia="Arial" w:hAnsi="Arial"/>
                <w:sz w:val="14"/>
                <w:szCs w:val="14"/>
                <w:color w:val="auto"/>
              </w:rPr>
              <w:t>Key West,</w:t>
            </w: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20" w:type="dxa"/>
            <w:vAlign w:val="bottom"/>
          </w:tcPr>
          <w:p>
            <w:pPr>
              <w:ind w:left="20"/>
              <w:spacing w:after="0"/>
              <w:rPr>
                <w:sz w:val="20"/>
                <w:szCs w:val="20"/>
                <w:color w:val="auto"/>
              </w:rPr>
            </w:pPr>
            <w:r>
              <w:rPr>
                <w:rFonts w:ascii="Arial" w:cs="Arial" w:eastAsia="Arial" w:hAnsi="Arial"/>
                <w:sz w:val="14"/>
                <w:szCs w:val="14"/>
                <w:color w:val="auto"/>
              </w:rPr>
              <w:t>Florida</w:t>
            </w:r>
          </w:p>
        </w:tc>
        <w:tc>
          <w:tcPr>
            <w:tcW w:w="660" w:type="dxa"/>
            <w:vAlign w:val="bottom"/>
          </w:tcPr>
          <w:p>
            <w:pPr>
              <w:ind w:left="60"/>
              <w:spacing w:after="0"/>
              <w:rPr>
                <w:sz w:val="20"/>
                <w:szCs w:val="20"/>
                <w:color w:val="auto"/>
              </w:rPr>
            </w:pPr>
            <w:r>
              <w:rPr>
                <w:rFonts w:ascii="Arial" w:cs="Arial" w:eastAsia="Arial" w:hAnsi="Arial"/>
                <w:sz w:val="14"/>
                <w:szCs w:val="14"/>
                <w:color w:val="auto"/>
              </w:rPr>
              <w:t>LFA007</w:t>
            </w: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5,883</w:t>
            </w:r>
          </w:p>
        </w:tc>
        <w:tc>
          <w:tcPr>
            <w:tcW w:w="120" w:type="dxa"/>
            <w:vAlign w:val="bottom"/>
          </w:tcPr>
          <w:p>
            <w:pPr>
              <w:spacing w:after="0"/>
              <w:rPr>
                <w:sz w:val="16"/>
                <w:szCs w:val="16"/>
                <w:color w:val="auto"/>
              </w:rPr>
            </w:pPr>
          </w:p>
        </w:tc>
        <w:tc>
          <w:tcPr>
            <w:tcW w:w="920" w:type="dxa"/>
            <w:vAlign w:val="bottom"/>
          </w:tcPr>
          <w:p>
            <w:pPr>
              <w:ind w:left="68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8"/>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5,883</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6,118</w:t>
            </w:r>
          </w:p>
        </w:tc>
        <w:tc>
          <w:tcPr>
            <w:tcW w:w="20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63"/>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Miami,</w:t>
            </w:r>
          </w:p>
        </w:tc>
        <w:tc>
          <w:tcPr>
            <w:tcW w:w="6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Florida</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LFA006</w:t>
            </w:r>
          </w:p>
        </w:tc>
        <w:tc>
          <w:tcPr>
            <w:tcW w:w="960" w:type="dxa"/>
            <w:vAlign w:val="bottom"/>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9,300</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9,080</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2012</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57"/>
        </w:trPr>
        <w:tc>
          <w:tcPr>
            <w:tcW w:w="820" w:type="dxa"/>
            <w:vAlign w:val="bottom"/>
          </w:tcPr>
          <w:p>
            <w:pPr>
              <w:ind w:left="20"/>
              <w:spacing w:after="0" w:line="157" w:lineRule="exact"/>
              <w:rPr>
                <w:sz w:val="20"/>
                <w:szCs w:val="20"/>
                <w:color w:val="auto"/>
              </w:rPr>
            </w:pPr>
            <w:r>
              <w:rPr>
                <w:rFonts w:ascii="Arial" w:cs="Arial" w:eastAsia="Arial" w:hAnsi="Arial"/>
                <w:sz w:val="14"/>
                <w:szCs w:val="14"/>
                <w:color w:val="auto"/>
              </w:rPr>
              <w:t>Naples,</w:t>
            </w: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20" w:type="dxa"/>
            <w:vAlign w:val="bottom"/>
          </w:tcPr>
          <w:p>
            <w:pPr>
              <w:ind w:left="20"/>
              <w:spacing w:after="0"/>
              <w:rPr>
                <w:sz w:val="20"/>
                <w:szCs w:val="20"/>
                <w:color w:val="auto"/>
              </w:rPr>
            </w:pPr>
            <w:r>
              <w:rPr>
                <w:rFonts w:ascii="Arial" w:cs="Arial" w:eastAsia="Arial" w:hAnsi="Arial"/>
                <w:sz w:val="14"/>
                <w:szCs w:val="14"/>
                <w:color w:val="auto"/>
              </w:rPr>
              <w:t>Florida</w:t>
            </w:r>
          </w:p>
        </w:tc>
        <w:tc>
          <w:tcPr>
            <w:tcW w:w="660" w:type="dxa"/>
            <w:vAlign w:val="bottom"/>
          </w:tcPr>
          <w:p>
            <w:pPr>
              <w:ind w:left="60"/>
              <w:spacing w:after="0"/>
              <w:rPr>
                <w:sz w:val="20"/>
                <w:szCs w:val="20"/>
                <w:color w:val="auto"/>
              </w:rPr>
            </w:pPr>
            <w:r>
              <w:rPr>
                <w:rFonts w:ascii="Arial" w:cs="Arial" w:eastAsia="Arial" w:hAnsi="Arial"/>
                <w:sz w:val="14"/>
                <w:szCs w:val="14"/>
                <w:color w:val="auto"/>
              </w:rPr>
              <w:t>LFA003</w:t>
            </w:r>
          </w:p>
        </w:tc>
        <w:tc>
          <w:tcPr>
            <w:tcW w:w="960" w:type="dxa"/>
            <w:vAlign w:val="bottom"/>
          </w:tcPr>
          <w:p>
            <w:pPr>
              <w:ind w:left="7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26,600</w:t>
            </w:r>
          </w:p>
        </w:tc>
        <w:tc>
          <w:tcPr>
            <w:tcW w:w="120" w:type="dxa"/>
            <w:vAlign w:val="bottom"/>
          </w:tcPr>
          <w:p>
            <w:pPr>
              <w:spacing w:after="0"/>
              <w:rPr>
                <w:sz w:val="16"/>
                <w:szCs w:val="16"/>
                <w:color w:val="auto"/>
              </w:rPr>
            </w:pPr>
          </w:p>
        </w:tc>
        <w:tc>
          <w:tcPr>
            <w:tcW w:w="920" w:type="dxa"/>
            <w:vAlign w:val="bottom"/>
          </w:tcPr>
          <w:p>
            <w:pPr>
              <w:ind w:left="68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8"/>
              <w:spacing w:after="0"/>
              <w:rPr>
                <w:sz w:val="20"/>
                <w:szCs w:val="20"/>
                <w:color w:val="auto"/>
              </w:rPr>
            </w:pPr>
            <w:r>
              <w:rPr>
                <w:rFonts w:ascii="Arial" w:cs="Arial" w:eastAsia="Arial" w:hAnsi="Arial"/>
                <w:sz w:val="14"/>
                <w:szCs w:val="14"/>
                <w:color w:val="auto"/>
              </w:rPr>
              <w:t>42,503</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26,600</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42,503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69,103</w:t>
            </w:r>
          </w:p>
        </w:tc>
        <w:tc>
          <w:tcPr>
            <w:tcW w:w="20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63"/>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 Lucie,</w:t>
            </w:r>
          </w:p>
        </w:tc>
        <w:tc>
          <w:tcPr>
            <w:tcW w:w="6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Florida</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LFA004</w:t>
            </w:r>
          </w:p>
        </w:tc>
        <w:tc>
          <w:tcPr>
            <w:tcW w:w="9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10,440</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10,440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10,440</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2013</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57"/>
        </w:trPr>
        <w:tc>
          <w:tcPr>
            <w:tcW w:w="820" w:type="dxa"/>
            <w:vAlign w:val="bottom"/>
          </w:tcPr>
          <w:p>
            <w:pPr>
              <w:ind w:left="20"/>
              <w:spacing w:after="0" w:line="157" w:lineRule="exact"/>
              <w:rPr>
                <w:sz w:val="20"/>
                <w:szCs w:val="20"/>
                <w:color w:val="auto"/>
              </w:rPr>
            </w:pPr>
            <w:r>
              <w:rPr>
                <w:rFonts w:ascii="Arial" w:cs="Arial" w:eastAsia="Arial" w:hAnsi="Arial"/>
                <w:sz w:val="14"/>
                <w:szCs w:val="14"/>
                <w:color w:val="auto"/>
              </w:rPr>
              <w:t>Stuart,</w:t>
            </w: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20" w:type="dxa"/>
            <w:vAlign w:val="bottom"/>
          </w:tcPr>
          <w:p>
            <w:pPr>
              <w:ind w:left="20"/>
              <w:spacing w:after="0"/>
              <w:rPr>
                <w:sz w:val="20"/>
                <w:szCs w:val="20"/>
                <w:color w:val="auto"/>
              </w:rPr>
            </w:pPr>
            <w:r>
              <w:rPr>
                <w:rFonts w:ascii="Arial" w:cs="Arial" w:eastAsia="Arial" w:hAnsi="Arial"/>
                <w:sz w:val="14"/>
                <w:szCs w:val="14"/>
                <w:color w:val="auto"/>
              </w:rPr>
              <w:t>Florida</w:t>
            </w:r>
          </w:p>
        </w:tc>
        <w:tc>
          <w:tcPr>
            <w:tcW w:w="660" w:type="dxa"/>
            <w:vAlign w:val="bottom"/>
          </w:tcPr>
          <w:p>
            <w:pPr>
              <w:ind w:left="60"/>
              <w:spacing w:after="0"/>
              <w:rPr>
                <w:sz w:val="20"/>
                <w:szCs w:val="20"/>
                <w:color w:val="auto"/>
              </w:rPr>
            </w:pPr>
            <w:r>
              <w:rPr>
                <w:rFonts w:ascii="Arial" w:cs="Arial" w:eastAsia="Arial" w:hAnsi="Arial"/>
                <w:sz w:val="14"/>
                <w:szCs w:val="14"/>
                <w:color w:val="auto"/>
              </w:rPr>
              <w:t>LFA005</w:t>
            </w:r>
          </w:p>
        </w:tc>
        <w:tc>
          <w:tcPr>
            <w:tcW w:w="960" w:type="dxa"/>
            <w:vAlign w:val="bottom"/>
          </w:tcPr>
          <w:p>
            <w:pPr>
              <w:ind w:left="7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9,300</w:t>
            </w:r>
          </w:p>
        </w:tc>
        <w:tc>
          <w:tcPr>
            <w:tcW w:w="120" w:type="dxa"/>
            <w:vAlign w:val="bottom"/>
          </w:tcPr>
          <w:p>
            <w:pPr>
              <w:spacing w:after="0"/>
              <w:rPr>
                <w:sz w:val="16"/>
                <w:szCs w:val="16"/>
                <w:color w:val="auto"/>
              </w:rPr>
            </w:pPr>
          </w:p>
        </w:tc>
        <w:tc>
          <w:tcPr>
            <w:tcW w:w="920" w:type="dxa"/>
            <w:vAlign w:val="bottom"/>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9,300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9,300</w:t>
            </w:r>
          </w:p>
        </w:tc>
        <w:tc>
          <w:tcPr>
            <w:tcW w:w="20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63"/>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Savannah,</w:t>
            </w:r>
          </w:p>
        </w:tc>
        <w:tc>
          <w:tcPr>
            <w:tcW w:w="6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Georgia</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LGA001</w:t>
            </w:r>
          </w:p>
        </w:tc>
        <w:tc>
          <w:tcPr>
            <w:tcW w:w="9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3,800</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(3,800)</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2013</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57"/>
        </w:trPr>
        <w:tc>
          <w:tcPr>
            <w:tcW w:w="820" w:type="dxa"/>
            <w:vAlign w:val="bottom"/>
          </w:tcPr>
          <w:p>
            <w:pPr>
              <w:ind w:left="20"/>
              <w:spacing w:after="0" w:line="157" w:lineRule="exact"/>
              <w:rPr>
                <w:sz w:val="20"/>
                <w:szCs w:val="20"/>
                <w:color w:val="auto"/>
              </w:rPr>
            </w:pPr>
            <w:r>
              <w:rPr>
                <w:rFonts w:ascii="Arial" w:cs="Arial" w:eastAsia="Arial" w:hAnsi="Arial"/>
                <w:sz w:val="14"/>
                <w:szCs w:val="14"/>
                <w:color w:val="auto"/>
              </w:rPr>
              <w:t>Savannah,</w:t>
            </w: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20" w:type="dxa"/>
            <w:vAlign w:val="bottom"/>
          </w:tcPr>
          <w:p>
            <w:pPr>
              <w:ind w:left="20"/>
              <w:spacing w:after="0"/>
              <w:rPr>
                <w:sz w:val="20"/>
                <w:szCs w:val="20"/>
                <w:color w:val="auto"/>
              </w:rPr>
            </w:pPr>
            <w:r>
              <w:rPr>
                <w:rFonts w:ascii="Arial" w:cs="Arial" w:eastAsia="Arial" w:hAnsi="Arial"/>
                <w:sz w:val="14"/>
                <w:szCs w:val="14"/>
                <w:color w:val="auto"/>
              </w:rPr>
              <w:t>Georgia</w:t>
            </w:r>
          </w:p>
        </w:tc>
        <w:tc>
          <w:tcPr>
            <w:tcW w:w="660" w:type="dxa"/>
            <w:vAlign w:val="bottom"/>
          </w:tcPr>
          <w:p>
            <w:pPr>
              <w:ind w:left="60"/>
              <w:spacing w:after="0"/>
              <w:rPr>
                <w:sz w:val="20"/>
                <w:szCs w:val="20"/>
                <w:color w:val="auto"/>
              </w:rPr>
            </w:pPr>
            <w:r>
              <w:rPr>
                <w:rFonts w:ascii="Arial" w:cs="Arial" w:eastAsia="Arial" w:hAnsi="Arial"/>
                <w:sz w:val="14"/>
                <w:szCs w:val="14"/>
                <w:color w:val="auto"/>
              </w:rPr>
              <w:t>LGA002</w:t>
            </w: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1,400</w:t>
            </w:r>
          </w:p>
        </w:tc>
        <w:tc>
          <w:tcPr>
            <w:tcW w:w="120" w:type="dxa"/>
            <w:vAlign w:val="bottom"/>
          </w:tcPr>
          <w:p>
            <w:pPr>
              <w:spacing w:after="0"/>
              <w:rPr>
                <w:sz w:val="16"/>
                <w:szCs w:val="16"/>
                <w:color w:val="auto"/>
              </w:rPr>
            </w:pPr>
          </w:p>
        </w:tc>
        <w:tc>
          <w:tcPr>
            <w:tcW w:w="920" w:type="dxa"/>
            <w:vAlign w:val="bottom"/>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1,400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1,400</w:t>
            </w:r>
          </w:p>
        </w:tc>
        <w:tc>
          <w:tcPr>
            <w:tcW w:w="20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63"/>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Cumming,</w:t>
            </w:r>
          </w:p>
        </w:tc>
        <w:tc>
          <w:tcPr>
            <w:tcW w:w="6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Georgia</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LGA003</w:t>
            </w:r>
          </w:p>
        </w:tc>
        <w:tc>
          <w:tcPr>
            <w:tcW w:w="9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3,915</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3,915</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2016</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57"/>
        </w:trPr>
        <w:tc>
          <w:tcPr>
            <w:tcW w:w="820" w:type="dxa"/>
            <w:vAlign w:val="bottom"/>
          </w:tcPr>
          <w:p>
            <w:pPr>
              <w:ind w:left="20"/>
              <w:spacing w:after="0" w:line="157" w:lineRule="exact"/>
              <w:rPr>
                <w:sz w:val="20"/>
                <w:szCs w:val="20"/>
                <w:color w:val="auto"/>
              </w:rPr>
            </w:pPr>
            <w:r>
              <w:rPr>
                <w:rFonts w:ascii="Arial" w:cs="Arial" w:eastAsia="Arial" w:hAnsi="Arial"/>
                <w:sz w:val="14"/>
                <w:szCs w:val="14"/>
                <w:color w:val="auto"/>
              </w:rPr>
              <w:t>Chicago,</w:t>
            </w: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20" w:type="dxa"/>
            <w:vAlign w:val="bottom"/>
          </w:tcPr>
          <w:p>
            <w:pPr>
              <w:ind w:left="20"/>
              <w:spacing w:after="0"/>
              <w:rPr>
                <w:sz w:val="20"/>
                <w:szCs w:val="20"/>
                <w:color w:val="auto"/>
              </w:rPr>
            </w:pPr>
            <w:r>
              <w:rPr>
                <w:rFonts w:ascii="Arial" w:cs="Arial" w:eastAsia="Arial" w:hAnsi="Arial"/>
                <w:sz w:val="14"/>
                <w:szCs w:val="14"/>
                <w:color w:val="auto"/>
              </w:rPr>
              <w:t>Illinois</w:t>
            </w:r>
          </w:p>
        </w:tc>
        <w:tc>
          <w:tcPr>
            <w:tcW w:w="660" w:type="dxa"/>
            <w:vAlign w:val="bottom"/>
          </w:tcPr>
          <w:p>
            <w:pPr>
              <w:ind w:left="60"/>
              <w:spacing w:after="0"/>
              <w:rPr>
                <w:sz w:val="20"/>
                <w:szCs w:val="20"/>
                <w:color w:val="auto"/>
              </w:rPr>
            </w:pPr>
            <w:r>
              <w:rPr>
                <w:rFonts w:ascii="Arial" w:cs="Arial" w:eastAsia="Arial" w:hAnsi="Arial"/>
                <w:sz w:val="14"/>
                <w:szCs w:val="14"/>
                <w:color w:val="auto"/>
              </w:rPr>
              <w:t>LIL001</w:t>
            </w: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31,500</w:t>
            </w:r>
          </w:p>
        </w:tc>
        <w:tc>
          <w:tcPr>
            <w:tcW w:w="120" w:type="dxa"/>
            <w:vAlign w:val="bottom"/>
          </w:tcPr>
          <w:p>
            <w:pPr>
              <w:spacing w:after="0"/>
              <w:rPr>
                <w:sz w:val="16"/>
                <w:szCs w:val="16"/>
                <w:color w:val="auto"/>
              </w:rPr>
            </w:pPr>
          </w:p>
        </w:tc>
        <w:tc>
          <w:tcPr>
            <w:tcW w:w="920" w:type="dxa"/>
            <w:vAlign w:val="bottom"/>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31,500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31,500</w:t>
            </w:r>
          </w:p>
        </w:tc>
        <w:tc>
          <w:tcPr>
            <w:tcW w:w="20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63"/>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Clinton,</w:t>
            </w:r>
          </w:p>
        </w:tc>
        <w:tc>
          <w:tcPr>
            <w:tcW w:w="6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Maryland</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LMD001</w:t>
            </w:r>
          </w:p>
        </w:tc>
        <w:tc>
          <w:tcPr>
            <w:tcW w:w="960" w:type="dxa"/>
            <w:vAlign w:val="bottom"/>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102,938</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102,938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4"/>
              </w:rPr>
              <w:t>102,938</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57"/>
        </w:trPr>
        <w:tc>
          <w:tcPr>
            <w:tcW w:w="820" w:type="dxa"/>
            <w:vAlign w:val="bottom"/>
          </w:tcPr>
          <w:p>
            <w:pPr>
              <w:ind w:left="20"/>
              <w:spacing w:after="0" w:line="157" w:lineRule="exact"/>
              <w:rPr>
                <w:sz w:val="20"/>
                <w:szCs w:val="20"/>
                <w:color w:val="auto"/>
              </w:rPr>
            </w:pPr>
            <w:r>
              <w:rPr>
                <w:rFonts w:ascii="Arial" w:cs="Arial" w:eastAsia="Arial" w:hAnsi="Arial"/>
                <w:sz w:val="14"/>
                <w:szCs w:val="14"/>
                <w:color w:val="auto"/>
              </w:rPr>
              <w:t>Lanham,</w:t>
            </w: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20" w:type="dxa"/>
            <w:vAlign w:val="bottom"/>
          </w:tcPr>
          <w:p>
            <w:pPr>
              <w:ind w:left="20"/>
              <w:spacing w:after="0"/>
              <w:rPr>
                <w:sz w:val="20"/>
                <w:szCs w:val="20"/>
                <w:color w:val="auto"/>
              </w:rPr>
            </w:pPr>
            <w:r>
              <w:rPr>
                <w:rFonts w:ascii="Arial" w:cs="Arial" w:eastAsia="Arial" w:hAnsi="Arial"/>
                <w:sz w:val="14"/>
                <w:szCs w:val="14"/>
                <w:color w:val="auto"/>
              </w:rPr>
              <w:t>Maryland</w:t>
            </w:r>
          </w:p>
        </w:tc>
        <w:tc>
          <w:tcPr>
            <w:tcW w:w="660" w:type="dxa"/>
            <w:vAlign w:val="bottom"/>
          </w:tcPr>
          <w:p>
            <w:pPr>
              <w:ind w:left="60"/>
              <w:spacing w:after="0"/>
              <w:rPr>
                <w:sz w:val="20"/>
                <w:szCs w:val="20"/>
                <w:color w:val="auto"/>
              </w:rPr>
            </w:pPr>
            <w:r>
              <w:rPr>
                <w:rFonts w:ascii="Arial" w:cs="Arial" w:eastAsia="Arial" w:hAnsi="Arial"/>
                <w:sz w:val="14"/>
                <w:szCs w:val="14"/>
                <w:color w:val="auto"/>
              </w:rPr>
              <w:t>LMD002</w:t>
            </w:r>
          </w:p>
        </w:tc>
        <w:tc>
          <w:tcPr>
            <w:tcW w:w="960" w:type="dxa"/>
            <w:vAlign w:val="bottom"/>
          </w:tcPr>
          <w:p>
            <w:pPr>
              <w:ind w:left="7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2,486</w:t>
            </w:r>
          </w:p>
        </w:tc>
        <w:tc>
          <w:tcPr>
            <w:tcW w:w="120" w:type="dxa"/>
            <w:vAlign w:val="bottom"/>
          </w:tcPr>
          <w:p>
            <w:pPr>
              <w:spacing w:after="0"/>
              <w:rPr>
                <w:sz w:val="16"/>
                <w:szCs w:val="16"/>
                <w:color w:val="auto"/>
              </w:rPr>
            </w:pPr>
          </w:p>
        </w:tc>
        <w:tc>
          <w:tcPr>
            <w:tcW w:w="920" w:type="dxa"/>
            <w:vAlign w:val="bottom"/>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2,486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2,486</w:t>
            </w:r>
          </w:p>
        </w:tc>
        <w:tc>
          <w:tcPr>
            <w:tcW w:w="20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1999</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63"/>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Detroit,</w:t>
            </w:r>
          </w:p>
        </w:tc>
        <w:tc>
          <w:tcPr>
            <w:tcW w:w="6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Michigan</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LMI001</w:t>
            </w:r>
          </w:p>
        </w:tc>
        <w:tc>
          <w:tcPr>
            <w:tcW w:w="960" w:type="dxa"/>
            <w:vAlign w:val="bottom"/>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5,374</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5,374</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57"/>
        </w:trPr>
        <w:tc>
          <w:tcPr>
            <w:tcW w:w="820" w:type="dxa"/>
            <w:vAlign w:val="bottom"/>
          </w:tcPr>
          <w:p>
            <w:pPr>
              <w:ind w:left="20"/>
              <w:spacing w:after="0" w:line="157" w:lineRule="exact"/>
              <w:rPr>
                <w:sz w:val="20"/>
                <w:szCs w:val="20"/>
                <w:color w:val="auto"/>
              </w:rPr>
            </w:pPr>
            <w:r>
              <w:rPr>
                <w:rFonts w:ascii="Arial" w:cs="Arial" w:eastAsia="Arial" w:hAnsi="Arial"/>
                <w:sz w:val="14"/>
                <w:szCs w:val="14"/>
                <w:color w:val="auto"/>
                <w:w w:val="97"/>
              </w:rPr>
              <w:t>Asbury Park,</w:t>
            </w: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20" w:type="dxa"/>
            <w:vAlign w:val="bottom"/>
          </w:tcPr>
          <w:p>
            <w:pPr>
              <w:ind w:left="20"/>
              <w:spacing w:after="0"/>
              <w:rPr>
                <w:sz w:val="20"/>
                <w:szCs w:val="20"/>
                <w:color w:val="auto"/>
              </w:rPr>
            </w:pPr>
            <w:r>
              <w:rPr>
                <w:rFonts w:ascii="Arial" w:cs="Arial" w:eastAsia="Arial" w:hAnsi="Arial"/>
                <w:sz w:val="14"/>
                <w:szCs w:val="14"/>
                <w:color w:val="auto"/>
              </w:rPr>
              <w:t>New Jersey</w:t>
            </w:r>
          </w:p>
        </w:tc>
        <w:tc>
          <w:tcPr>
            <w:tcW w:w="660" w:type="dxa"/>
            <w:vAlign w:val="bottom"/>
          </w:tcPr>
          <w:p>
            <w:pPr>
              <w:ind w:left="60"/>
              <w:spacing w:after="0"/>
              <w:rPr>
                <w:sz w:val="20"/>
                <w:szCs w:val="20"/>
                <w:color w:val="auto"/>
              </w:rPr>
            </w:pPr>
            <w:r>
              <w:rPr>
                <w:rFonts w:ascii="Arial" w:cs="Arial" w:eastAsia="Arial" w:hAnsi="Arial"/>
                <w:sz w:val="14"/>
                <w:szCs w:val="14"/>
                <w:color w:val="auto"/>
              </w:rPr>
              <w:t>LNJ001</w:t>
            </w:r>
          </w:p>
        </w:tc>
        <w:tc>
          <w:tcPr>
            <w:tcW w:w="960" w:type="dxa"/>
            <w:vAlign w:val="bottom"/>
          </w:tcPr>
          <w:p>
            <w:pPr>
              <w:ind w:left="7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43,300</w:t>
            </w:r>
          </w:p>
        </w:tc>
        <w:tc>
          <w:tcPr>
            <w:tcW w:w="120" w:type="dxa"/>
            <w:vAlign w:val="bottom"/>
          </w:tcPr>
          <w:p>
            <w:pPr>
              <w:spacing w:after="0"/>
              <w:rPr>
                <w:sz w:val="16"/>
                <w:szCs w:val="16"/>
                <w:color w:val="auto"/>
              </w:rPr>
            </w:pPr>
          </w:p>
        </w:tc>
        <w:tc>
          <w:tcPr>
            <w:tcW w:w="920" w:type="dxa"/>
            <w:vAlign w:val="bottom"/>
          </w:tcPr>
          <w:p>
            <w:pPr>
              <w:ind w:left="68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8"/>
              <w:spacing w:after="0"/>
              <w:rPr>
                <w:sz w:val="20"/>
                <w:szCs w:val="20"/>
                <w:color w:val="auto"/>
              </w:rPr>
            </w:pPr>
            <w:r>
              <w:rPr>
                <w:rFonts w:ascii="Arial" w:cs="Arial" w:eastAsia="Arial" w:hAnsi="Arial"/>
                <w:sz w:val="14"/>
                <w:szCs w:val="14"/>
                <w:color w:val="auto"/>
              </w:rPr>
              <w:t>61,178</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104,478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w w:val="94"/>
              </w:rPr>
              <w:t>104,478</w:t>
            </w:r>
          </w:p>
        </w:tc>
        <w:tc>
          <w:tcPr>
            <w:tcW w:w="20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528</w:t>
            </w:r>
          </w:p>
        </w:tc>
        <w:tc>
          <w:tcPr>
            <w:tcW w:w="200" w:type="dxa"/>
            <w:vAlign w:val="bottom"/>
          </w:tcPr>
          <w:p>
            <w:pPr>
              <w:jc w:val="right"/>
              <w:spacing w:after="0"/>
              <w:rPr>
                <w:sz w:val="20"/>
                <w:szCs w:val="20"/>
                <w:color w:val="auto"/>
              </w:rPr>
            </w:pPr>
            <w:r>
              <w:rPr>
                <w:rFonts w:ascii="Arial" w:cs="Arial" w:eastAsia="Arial" w:hAnsi="Arial"/>
                <w:sz w:val="11"/>
                <w:szCs w:val="11"/>
                <w:color w:val="auto"/>
              </w:rPr>
              <w:t>(3)</w:t>
            </w:r>
          </w:p>
        </w:tc>
        <w:tc>
          <w:tcPr>
            <w:tcW w:w="680" w:type="dxa"/>
            <w:vAlign w:val="bottom"/>
          </w:tcPr>
          <w:p>
            <w:pPr>
              <w:jc w:val="right"/>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63"/>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Brooklyn,</w:t>
            </w:r>
          </w:p>
        </w:tc>
        <w:tc>
          <w:tcPr>
            <w:tcW w:w="6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York</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LNY002</w:t>
            </w:r>
          </w:p>
        </w:tc>
        <w:tc>
          <w:tcPr>
            <w:tcW w:w="960" w:type="dxa"/>
            <w:vAlign w:val="bottom"/>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58,900</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(13,460)</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45,440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45,440</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2011</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57"/>
        </w:trPr>
        <w:tc>
          <w:tcPr>
            <w:tcW w:w="820" w:type="dxa"/>
            <w:vAlign w:val="bottom"/>
          </w:tcPr>
          <w:p>
            <w:pPr>
              <w:ind w:left="20"/>
              <w:spacing w:after="0" w:line="157" w:lineRule="exact"/>
              <w:rPr>
                <w:sz w:val="20"/>
                <w:szCs w:val="20"/>
                <w:color w:val="auto"/>
              </w:rPr>
            </w:pPr>
            <w:r>
              <w:rPr>
                <w:rFonts w:ascii="Arial" w:cs="Arial" w:eastAsia="Arial" w:hAnsi="Arial"/>
                <w:sz w:val="14"/>
                <w:szCs w:val="14"/>
                <w:color w:val="auto"/>
              </w:rPr>
              <w:t>Brooklyn,</w:t>
            </w: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20" w:type="dxa"/>
            <w:vAlign w:val="bottom"/>
          </w:tcPr>
          <w:p>
            <w:pPr>
              <w:ind w:left="20"/>
              <w:spacing w:after="0"/>
              <w:rPr>
                <w:sz w:val="20"/>
                <w:szCs w:val="20"/>
                <w:color w:val="auto"/>
              </w:rPr>
            </w:pPr>
            <w:r>
              <w:rPr>
                <w:rFonts w:ascii="Arial" w:cs="Arial" w:eastAsia="Arial" w:hAnsi="Arial"/>
                <w:sz w:val="14"/>
                <w:szCs w:val="14"/>
                <w:color w:val="auto"/>
              </w:rPr>
              <w:t>New York</w:t>
            </w:r>
          </w:p>
        </w:tc>
        <w:tc>
          <w:tcPr>
            <w:tcW w:w="660" w:type="dxa"/>
            <w:vAlign w:val="bottom"/>
          </w:tcPr>
          <w:p>
            <w:pPr>
              <w:ind w:left="60"/>
              <w:spacing w:after="0"/>
              <w:rPr>
                <w:sz w:val="20"/>
                <w:szCs w:val="20"/>
                <w:color w:val="auto"/>
              </w:rPr>
            </w:pPr>
            <w:r>
              <w:rPr>
                <w:rFonts w:ascii="Arial" w:cs="Arial" w:eastAsia="Arial" w:hAnsi="Arial"/>
                <w:sz w:val="14"/>
                <w:szCs w:val="14"/>
                <w:color w:val="auto"/>
              </w:rPr>
              <w:t>LNY003</w:t>
            </w:r>
          </w:p>
        </w:tc>
        <w:tc>
          <w:tcPr>
            <w:tcW w:w="960" w:type="dxa"/>
            <w:vAlign w:val="bottom"/>
          </w:tcPr>
          <w:p>
            <w:pPr>
              <w:ind w:left="7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3,277</w:t>
            </w:r>
          </w:p>
        </w:tc>
        <w:tc>
          <w:tcPr>
            <w:tcW w:w="120" w:type="dxa"/>
            <w:vAlign w:val="bottom"/>
          </w:tcPr>
          <w:p>
            <w:pPr>
              <w:spacing w:after="0"/>
              <w:rPr>
                <w:sz w:val="16"/>
                <w:szCs w:val="16"/>
                <w:color w:val="auto"/>
              </w:rPr>
            </w:pPr>
          </w:p>
        </w:tc>
        <w:tc>
          <w:tcPr>
            <w:tcW w:w="920" w:type="dxa"/>
            <w:vAlign w:val="bottom"/>
          </w:tcPr>
          <w:p>
            <w:pPr>
              <w:ind w:left="68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8"/>
              <w:spacing w:after="0"/>
              <w:rPr>
                <w:sz w:val="20"/>
                <w:szCs w:val="20"/>
                <w:color w:val="auto"/>
              </w:rPr>
            </w:pPr>
            <w:r>
              <w:rPr>
                <w:rFonts w:ascii="Arial" w:cs="Arial" w:eastAsia="Arial" w:hAnsi="Arial"/>
                <w:sz w:val="14"/>
                <w:szCs w:val="14"/>
                <w:color w:val="auto"/>
              </w:rPr>
              <w:t>25,491</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3,277</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25,491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28,768</w:t>
            </w:r>
          </w:p>
        </w:tc>
        <w:tc>
          <w:tcPr>
            <w:tcW w:w="20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63"/>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9"/>
              </w:rPr>
              <w:t>Long Beach,</w:t>
            </w:r>
          </w:p>
        </w:tc>
        <w:tc>
          <w:tcPr>
            <w:tcW w:w="6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York</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LNY001</w:t>
            </w:r>
          </w:p>
        </w:tc>
        <w:tc>
          <w:tcPr>
            <w:tcW w:w="960" w:type="dxa"/>
            <w:vAlign w:val="bottom"/>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52,461</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2,525</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52,461</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2,525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54,986</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57"/>
        </w:trPr>
        <w:tc>
          <w:tcPr>
            <w:tcW w:w="820" w:type="dxa"/>
            <w:vAlign w:val="bottom"/>
          </w:tcPr>
          <w:p>
            <w:pPr>
              <w:ind w:left="20"/>
              <w:spacing w:after="0" w:line="157" w:lineRule="exact"/>
              <w:rPr>
                <w:sz w:val="20"/>
                <w:szCs w:val="20"/>
                <w:color w:val="auto"/>
              </w:rPr>
            </w:pPr>
            <w:r>
              <w:rPr>
                <w:rFonts w:ascii="Arial" w:cs="Arial" w:eastAsia="Arial" w:hAnsi="Arial"/>
                <w:sz w:val="14"/>
                <w:szCs w:val="14"/>
                <w:color w:val="auto"/>
              </w:rPr>
              <w:t>Bend,</w:t>
            </w: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20" w:type="dxa"/>
            <w:vAlign w:val="bottom"/>
          </w:tcPr>
          <w:p>
            <w:pPr>
              <w:ind w:left="20"/>
              <w:spacing w:after="0"/>
              <w:rPr>
                <w:sz w:val="20"/>
                <w:szCs w:val="20"/>
                <w:color w:val="auto"/>
              </w:rPr>
            </w:pPr>
            <w:r>
              <w:rPr>
                <w:rFonts w:ascii="Arial" w:cs="Arial" w:eastAsia="Arial" w:hAnsi="Arial"/>
                <w:sz w:val="14"/>
                <w:szCs w:val="14"/>
                <w:color w:val="auto"/>
              </w:rPr>
              <w:t>Oregon</w:t>
            </w:r>
          </w:p>
        </w:tc>
        <w:tc>
          <w:tcPr>
            <w:tcW w:w="660" w:type="dxa"/>
            <w:vAlign w:val="bottom"/>
          </w:tcPr>
          <w:p>
            <w:pPr>
              <w:ind w:left="60"/>
              <w:spacing w:after="0"/>
              <w:rPr>
                <w:sz w:val="20"/>
                <w:szCs w:val="20"/>
                <w:color w:val="auto"/>
              </w:rPr>
            </w:pPr>
            <w:r>
              <w:rPr>
                <w:rFonts w:ascii="Arial" w:cs="Arial" w:eastAsia="Arial" w:hAnsi="Arial"/>
                <w:sz w:val="14"/>
                <w:szCs w:val="14"/>
                <w:color w:val="auto"/>
              </w:rPr>
              <w:t>LOR002</w:t>
            </w:r>
          </w:p>
        </w:tc>
        <w:tc>
          <w:tcPr>
            <w:tcW w:w="960" w:type="dxa"/>
            <w:vAlign w:val="bottom"/>
          </w:tcPr>
          <w:p>
            <w:pPr>
              <w:ind w:left="7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20,326</w:t>
            </w:r>
          </w:p>
        </w:tc>
        <w:tc>
          <w:tcPr>
            <w:tcW w:w="120" w:type="dxa"/>
            <w:vAlign w:val="bottom"/>
          </w:tcPr>
          <w:p>
            <w:pPr>
              <w:spacing w:after="0"/>
              <w:rPr>
                <w:sz w:val="16"/>
                <w:szCs w:val="16"/>
                <w:color w:val="auto"/>
              </w:rPr>
            </w:pPr>
          </w:p>
        </w:tc>
        <w:tc>
          <w:tcPr>
            <w:tcW w:w="920" w:type="dxa"/>
            <w:vAlign w:val="bottom"/>
          </w:tcPr>
          <w:p>
            <w:pPr>
              <w:ind w:left="68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(14,922)</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5,404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5,404</w:t>
            </w:r>
          </w:p>
        </w:tc>
        <w:tc>
          <w:tcPr>
            <w:tcW w:w="20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63"/>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Warrington,</w:t>
            </w:r>
          </w:p>
        </w:tc>
        <w:tc>
          <w:tcPr>
            <w:tcW w:w="6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3"/>
              </w:rPr>
              <w:t>Pennsylvania</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LPA001</w:t>
            </w:r>
          </w:p>
        </w:tc>
        <w:tc>
          <w:tcPr>
            <w:tcW w:w="9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1,460</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485</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1,460</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485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1,945</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2011</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57"/>
        </w:trPr>
        <w:tc>
          <w:tcPr>
            <w:tcW w:w="820" w:type="dxa"/>
            <w:vAlign w:val="bottom"/>
          </w:tcPr>
          <w:p>
            <w:pPr>
              <w:ind w:left="20"/>
              <w:spacing w:after="0" w:line="157" w:lineRule="exact"/>
              <w:rPr>
                <w:sz w:val="20"/>
                <w:szCs w:val="20"/>
                <w:color w:val="auto"/>
              </w:rPr>
            </w:pPr>
            <w:r>
              <w:rPr>
                <w:rFonts w:ascii="Arial" w:cs="Arial" w:eastAsia="Arial" w:hAnsi="Arial"/>
                <w:sz w:val="14"/>
                <w:szCs w:val="14"/>
                <w:color w:val="auto"/>
              </w:rPr>
              <w:t>Dallas,</w:t>
            </w: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20" w:type="dxa"/>
            <w:vAlign w:val="bottom"/>
          </w:tcPr>
          <w:p>
            <w:pPr>
              <w:ind w:left="20"/>
              <w:spacing w:after="0"/>
              <w:rPr>
                <w:sz w:val="20"/>
                <w:szCs w:val="20"/>
                <w:color w:val="auto"/>
              </w:rPr>
            </w:pPr>
            <w:r>
              <w:rPr>
                <w:rFonts w:ascii="Arial" w:cs="Arial" w:eastAsia="Arial" w:hAnsi="Arial"/>
                <w:sz w:val="14"/>
                <w:szCs w:val="14"/>
                <w:color w:val="auto"/>
              </w:rPr>
              <w:t>Texas</w:t>
            </w:r>
          </w:p>
        </w:tc>
        <w:tc>
          <w:tcPr>
            <w:tcW w:w="660" w:type="dxa"/>
            <w:vAlign w:val="bottom"/>
          </w:tcPr>
          <w:p>
            <w:pPr>
              <w:ind w:left="60"/>
              <w:spacing w:after="0"/>
              <w:rPr>
                <w:sz w:val="20"/>
                <w:szCs w:val="20"/>
                <w:color w:val="auto"/>
              </w:rPr>
            </w:pPr>
            <w:r>
              <w:rPr>
                <w:rFonts w:ascii="Arial" w:cs="Arial" w:eastAsia="Arial" w:hAnsi="Arial"/>
                <w:sz w:val="14"/>
                <w:szCs w:val="14"/>
                <w:color w:val="auto"/>
              </w:rPr>
              <w:t>LTX001</w:t>
            </w:r>
          </w:p>
        </w:tc>
        <w:tc>
          <w:tcPr>
            <w:tcW w:w="960" w:type="dxa"/>
            <w:vAlign w:val="bottom"/>
          </w:tcPr>
          <w:p>
            <w:pPr>
              <w:ind w:left="7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3,375</w:t>
            </w:r>
          </w:p>
        </w:tc>
        <w:tc>
          <w:tcPr>
            <w:tcW w:w="120" w:type="dxa"/>
            <w:vAlign w:val="bottom"/>
          </w:tcPr>
          <w:p>
            <w:pPr>
              <w:spacing w:after="0"/>
              <w:rPr>
                <w:sz w:val="16"/>
                <w:szCs w:val="16"/>
                <w:color w:val="auto"/>
              </w:rPr>
            </w:pPr>
          </w:p>
        </w:tc>
        <w:tc>
          <w:tcPr>
            <w:tcW w:w="920" w:type="dxa"/>
            <w:vAlign w:val="bottom"/>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3,375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3,375</w:t>
            </w:r>
          </w:p>
        </w:tc>
        <w:tc>
          <w:tcPr>
            <w:tcW w:w="20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63"/>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Dallas,</w:t>
            </w:r>
          </w:p>
        </w:tc>
        <w:tc>
          <w:tcPr>
            <w:tcW w:w="6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Texas</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LTX002</w:t>
            </w:r>
          </w:p>
        </w:tc>
        <w:tc>
          <w:tcPr>
            <w:tcW w:w="960" w:type="dxa"/>
            <w:vAlign w:val="bottom"/>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3,621</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3,621</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2005</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80"/>
          </w:cols>
          <w:pgMar w:left="260" w:top="742" w:right="25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iStar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III—Real Estate and Accumulated Depreciation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2016</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gridSpan w:val="7"/>
          </w:tcPr>
          <w:p>
            <w:pPr>
              <w:jc w:val="center"/>
              <w:ind w:right="840"/>
              <w:spacing w:after="0"/>
              <w:rPr>
                <w:sz w:val="20"/>
                <w:szCs w:val="20"/>
                <w:color w:val="auto"/>
              </w:rPr>
            </w:pPr>
            <w:r>
              <w:rPr>
                <w:rFonts w:ascii="Arial" w:cs="Arial" w:eastAsia="Arial" w:hAnsi="Arial"/>
                <w:sz w:val="14"/>
                <w:szCs w:val="14"/>
                <w:b w:val="1"/>
                <w:bCs w:val="1"/>
                <w:color w:val="auto"/>
                <w:w w:val="94"/>
              </w:rPr>
              <w:t>Gross Amount Carried</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8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Initial Cost to Company</w:t>
            </w:r>
          </w:p>
        </w:tc>
        <w:tc>
          <w:tcPr>
            <w:tcW w:w="12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Cost</w:t>
            </w: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at Close of Period</w:t>
            </w:r>
          </w:p>
        </w:tc>
        <w:tc>
          <w:tcPr>
            <w:tcW w:w="7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Building and</w:t>
            </w:r>
          </w:p>
        </w:tc>
        <w:tc>
          <w:tcPr>
            <w:tcW w:w="10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4"/>
              </w:rPr>
              <w:t>Capitalized</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Building and</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Accumulated</w:t>
            </w:r>
          </w:p>
        </w:tc>
        <w:tc>
          <w:tcPr>
            <w:tcW w:w="200" w:type="dxa"/>
            <w:vAlign w:val="bottom"/>
          </w:tcPr>
          <w:p>
            <w:pPr>
              <w:spacing w:after="0"/>
              <w:rPr>
                <w:sz w:val="11"/>
                <w:szCs w:val="11"/>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Depreciable</w:t>
            </w:r>
          </w:p>
        </w:tc>
        <w:tc>
          <w:tcPr>
            <w:tcW w:w="0" w:type="dxa"/>
            <w:vAlign w:val="bottom"/>
          </w:tcPr>
          <w:p>
            <w:pPr>
              <w:spacing w:after="0"/>
              <w:rPr>
                <w:sz w:val="1"/>
                <w:szCs w:val="1"/>
                <w:color w:val="auto"/>
              </w:rPr>
            </w:pPr>
          </w:p>
        </w:tc>
      </w:tr>
      <w:tr>
        <w:trPr>
          <w:trHeight w:val="149"/>
        </w:trPr>
        <w:tc>
          <w:tcPr>
            <w:tcW w:w="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Location</w:t>
            </w:r>
          </w:p>
        </w:tc>
        <w:tc>
          <w:tcPr>
            <w:tcW w:w="640" w:type="dxa"/>
            <w:vAlign w:val="bottom"/>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Encumbrances</w:t>
            </w:r>
          </w:p>
        </w:tc>
        <w:tc>
          <w:tcPr>
            <w:tcW w:w="420" w:type="dxa"/>
            <w:vAlign w:val="bottom"/>
          </w:tcPr>
          <w:p>
            <w:pPr>
              <w:spacing w:after="0"/>
              <w:rPr>
                <w:sz w:val="12"/>
                <w:szCs w:val="12"/>
                <w:color w:val="auto"/>
              </w:rPr>
            </w:pPr>
          </w:p>
        </w:tc>
        <w:tc>
          <w:tcPr>
            <w:tcW w:w="8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Land</w:t>
            </w:r>
          </w:p>
        </w:tc>
        <w:tc>
          <w:tcPr>
            <w:tcW w:w="1040" w:type="dxa"/>
            <w:vAlign w:val="bottom"/>
            <w:gridSpan w:val="3"/>
            <w:vMerge w:val="continue"/>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Subsequent to</w:t>
            </w: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Land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9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9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192"/>
        </w:trPr>
        <w:tc>
          <w:tcPr>
            <w:tcW w:w="78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Improvements</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Acquisition</w:t>
            </w:r>
            <w:r>
              <w:rPr>
                <w:rFonts w:ascii="Arial" w:cs="Arial" w:eastAsia="Arial" w:hAnsi="Arial"/>
                <w:sz w:val="8"/>
                <w:szCs w:val="8"/>
                <w:b w:val="1"/>
                <w:bCs w:val="1"/>
                <w:color w:val="auto"/>
                <w:w w:val="95"/>
              </w:rPr>
              <w:t>(2)</w:t>
            </w: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Improvements</w:t>
            </w:r>
          </w:p>
        </w:tc>
        <w:tc>
          <w:tcPr>
            <w:tcW w:w="980" w:type="dxa"/>
            <w:vAlign w:val="bottom"/>
            <w:gridSpan w:val="2"/>
            <w:vMerge w:val="continue"/>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w w:val="96"/>
              </w:rPr>
              <w:t>Depreciation</w:t>
            </w:r>
          </w:p>
        </w:tc>
        <w:tc>
          <w:tcPr>
            <w:tcW w:w="200" w:type="dxa"/>
            <w:vAlign w:val="bottom"/>
          </w:tcPr>
          <w:p>
            <w:pPr>
              <w:spacing w:after="0"/>
              <w:rPr>
                <w:sz w:val="16"/>
                <w:szCs w:val="16"/>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Acquired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156"/>
        </w:trPr>
        <w:tc>
          <w:tcPr>
            <w:tcW w:w="780" w:type="dxa"/>
            <w:vAlign w:val="bottom"/>
            <w:tcBorders>
              <w:top w:val="single" w:sz="8" w:color="auto"/>
            </w:tcBorders>
          </w:tcPr>
          <w:p>
            <w:pPr>
              <w:ind w:left="20"/>
              <w:spacing w:after="0" w:line="157" w:lineRule="exact"/>
              <w:rPr>
                <w:sz w:val="20"/>
                <w:szCs w:val="20"/>
                <w:color w:val="auto"/>
              </w:rPr>
            </w:pPr>
            <w:r>
              <w:rPr>
                <w:rFonts w:ascii="Arial" w:cs="Arial" w:eastAsia="Arial" w:hAnsi="Arial"/>
                <w:sz w:val="14"/>
                <w:szCs w:val="14"/>
                <w:color w:val="auto"/>
                <w:w w:val="99"/>
              </w:rPr>
              <w:t>Chesterfield</w:t>
            </w:r>
          </w:p>
        </w:tc>
        <w:tc>
          <w:tcPr>
            <w:tcW w:w="64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80" w:type="dxa"/>
            <w:vAlign w:val="bottom"/>
          </w:tcPr>
          <w:p>
            <w:pPr>
              <w:ind w:left="20"/>
              <w:spacing w:after="0" w:line="149" w:lineRule="exact"/>
              <w:rPr>
                <w:sz w:val="20"/>
                <w:szCs w:val="20"/>
                <w:color w:val="auto"/>
              </w:rPr>
            </w:pPr>
            <w:r>
              <w:rPr>
                <w:rFonts w:ascii="Arial" w:cs="Arial" w:eastAsia="Arial" w:hAnsi="Arial"/>
                <w:sz w:val="14"/>
                <w:szCs w:val="14"/>
                <w:color w:val="auto"/>
              </w:rPr>
              <w:t>County,</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780" w:type="dxa"/>
            <w:vAlign w:val="bottom"/>
          </w:tcPr>
          <w:p>
            <w:pPr>
              <w:ind w:left="20"/>
              <w:spacing w:after="0"/>
              <w:rPr>
                <w:sz w:val="20"/>
                <w:szCs w:val="20"/>
                <w:color w:val="auto"/>
              </w:rPr>
            </w:pPr>
            <w:r>
              <w:rPr>
                <w:rFonts w:ascii="Arial" w:cs="Arial" w:eastAsia="Arial" w:hAnsi="Arial"/>
                <w:sz w:val="14"/>
                <w:szCs w:val="14"/>
                <w:color w:val="auto"/>
              </w:rPr>
              <w:t>Virginia</w:t>
            </w:r>
          </w:p>
        </w:tc>
        <w:tc>
          <w:tcPr>
            <w:tcW w:w="640" w:type="dxa"/>
            <w:vAlign w:val="bottom"/>
          </w:tcPr>
          <w:p>
            <w:pPr>
              <w:ind w:left="60"/>
              <w:spacing w:after="0"/>
              <w:rPr>
                <w:sz w:val="20"/>
                <w:szCs w:val="20"/>
                <w:color w:val="auto"/>
              </w:rPr>
            </w:pPr>
            <w:r>
              <w:rPr>
                <w:rFonts w:ascii="Arial" w:cs="Arial" w:eastAsia="Arial" w:hAnsi="Arial"/>
                <w:sz w:val="14"/>
                <w:szCs w:val="14"/>
                <w:color w:val="auto"/>
              </w:rPr>
              <w:t>LVA001</w:t>
            </w:r>
          </w:p>
        </w:tc>
        <w:tc>
          <w:tcPr>
            <w:tcW w:w="400" w:type="dxa"/>
            <w:vAlign w:val="bottom"/>
          </w:tcPr>
          <w:p>
            <w:pPr>
              <w:spacing w:after="0"/>
              <w:rPr>
                <w:sz w:val="16"/>
                <w:szCs w:val="16"/>
                <w:color w:val="auto"/>
              </w:rPr>
            </w:pPr>
          </w:p>
        </w:tc>
        <w:tc>
          <w:tcPr>
            <w:tcW w:w="580" w:type="dxa"/>
            <w:vAlign w:val="bottom"/>
          </w:tcPr>
          <w:p>
            <w:pPr>
              <w:ind w:left="3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72,138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32,877</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105,015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105,015</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2,735</w:t>
            </w:r>
          </w:p>
        </w:tc>
        <w:tc>
          <w:tcPr>
            <w:tcW w:w="200" w:type="dxa"/>
            <w:vAlign w:val="bottom"/>
          </w:tcPr>
          <w:p>
            <w:pPr>
              <w:jc w:val="right"/>
              <w:spacing w:after="0"/>
              <w:rPr>
                <w:sz w:val="20"/>
                <w:szCs w:val="20"/>
                <w:color w:val="auto"/>
              </w:rPr>
            </w:pPr>
            <w:r>
              <w:rPr>
                <w:rFonts w:ascii="Arial" w:cs="Arial" w:eastAsia="Arial" w:hAnsi="Arial"/>
                <w:sz w:val="11"/>
                <w:szCs w:val="11"/>
                <w:color w:val="auto"/>
              </w:rPr>
              <w:t>(3)</w:t>
            </w:r>
          </w:p>
        </w:tc>
        <w:tc>
          <w:tcPr>
            <w:tcW w:w="680" w:type="dxa"/>
            <w:vAlign w:val="bottom"/>
          </w:tcPr>
          <w:p>
            <w:pPr>
              <w:jc w:val="right"/>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63"/>
        </w:trPr>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Ranson,</w:t>
            </w: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West</w:t>
            </w: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Virginia</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LWV001</w:t>
            </w:r>
          </w:p>
        </w:tc>
        <w:tc>
          <w:tcPr>
            <w:tcW w:w="4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9,083</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9,083</w:t>
            </w: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9,083</w:t>
            </w:r>
          </w:p>
        </w:tc>
        <w:tc>
          <w:tcPr>
            <w:tcW w:w="2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2016</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250"/>
        </w:trPr>
        <w:tc>
          <w:tcPr>
            <w:tcW w:w="780" w:type="dxa"/>
            <w:vAlign w:val="bottom"/>
          </w:tcPr>
          <w:p>
            <w:pPr>
              <w:ind w:left="20"/>
              <w:spacing w:after="0"/>
              <w:rPr>
                <w:sz w:val="20"/>
                <w:szCs w:val="20"/>
                <w:color w:val="auto"/>
              </w:rPr>
            </w:pPr>
            <w:r>
              <w:rPr>
                <w:rFonts w:ascii="Arial" w:cs="Arial" w:eastAsia="Arial" w:hAnsi="Arial"/>
                <w:sz w:val="14"/>
                <w:szCs w:val="14"/>
                <w:color w:val="auto"/>
              </w:rPr>
              <w:t>Subtotal</w:t>
            </w:r>
          </w:p>
        </w:tc>
        <w:tc>
          <w:tcPr>
            <w:tcW w:w="64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Arial" w:cs="Arial" w:eastAsia="Arial" w:hAnsi="Arial"/>
                <w:sz w:val="14"/>
                <w:szCs w:val="14"/>
                <w:color w:val="auto"/>
              </w:rPr>
              <w:t>$</w:t>
            </w:r>
          </w:p>
        </w:tc>
        <w:tc>
          <w:tcPr>
            <w:tcW w:w="580" w:type="dxa"/>
            <w:vAlign w:val="bottom"/>
          </w:tcPr>
          <w:p>
            <w:pPr>
              <w:ind w:left="3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1"/>
                <w:szCs w:val="21"/>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w w:val="96"/>
              </w:rPr>
              <w:t>$  924,178</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2,836</w:t>
            </w:r>
          </w:p>
        </w:tc>
        <w:tc>
          <w:tcPr>
            <w:tcW w:w="12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   126,458</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6"/>
              </w:rPr>
              <w:t>$  979,397</w:t>
            </w:r>
          </w:p>
        </w:tc>
        <w:tc>
          <w:tcPr>
            <w:tcW w:w="3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74,075</w:t>
            </w:r>
          </w:p>
        </w:tc>
        <w:tc>
          <w:tcPr>
            <w:tcW w:w="12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w w:val="94"/>
              </w:rPr>
              <w:t>$1,053,472</w:t>
            </w:r>
          </w:p>
        </w:tc>
        <w:tc>
          <w:tcPr>
            <w:tcW w:w="2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6,099</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4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ENTERTAINMENT:</w:t>
            </w:r>
          </w:p>
        </w:tc>
        <w:tc>
          <w:tcPr>
            <w:tcW w:w="400" w:type="dxa"/>
            <w:vAlign w:val="bottom"/>
            <w:tcBorders>
              <w:top w:val="single" w:sz="8" w:color="auto"/>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spacing w:after="0"/>
              <w:rPr>
                <w:sz w:val="22"/>
                <w:szCs w:val="22"/>
                <w:color w:val="auto"/>
              </w:rPr>
            </w:pPr>
          </w:p>
        </w:tc>
        <w:tc>
          <w:tcPr>
            <w:tcW w:w="42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780" w:type="dxa"/>
            <w:vAlign w:val="bottom"/>
          </w:tcPr>
          <w:p>
            <w:pPr>
              <w:ind w:left="20"/>
              <w:spacing w:after="0" w:line="157" w:lineRule="exact"/>
              <w:rPr>
                <w:sz w:val="20"/>
                <w:szCs w:val="20"/>
                <w:color w:val="auto"/>
              </w:rPr>
            </w:pPr>
            <w:r>
              <w:rPr>
                <w:rFonts w:ascii="Arial" w:cs="Arial" w:eastAsia="Arial" w:hAnsi="Arial"/>
                <w:sz w:val="14"/>
                <w:szCs w:val="14"/>
                <w:color w:val="auto"/>
              </w:rPr>
              <w:t>Decatur,</w:t>
            </w: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80" w:type="dxa"/>
            <w:vAlign w:val="bottom"/>
          </w:tcPr>
          <w:p>
            <w:pPr>
              <w:ind w:left="20"/>
              <w:spacing w:after="0"/>
              <w:rPr>
                <w:sz w:val="20"/>
                <w:szCs w:val="20"/>
                <w:color w:val="auto"/>
              </w:rPr>
            </w:pPr>
            <w:r>
              <w:rPr>
                <w:rFonts w:ascii="Arial" w:cs="Arial" w:eastAsia="Arial" w:hAnsi="Arial"/>
                <w:sz w:val="14"/>
                <w:szCs w:val="14"/>
                <w:color w:val="auto"/>
              </w:rPr>
              <w:t>Alabama</w:t>
            </w:r>
          </w:p>
        </w:tc>
        <w:tc>
          <w:tcPr>
            <w:tcW w:w="640" w:type="dxa"/>
            <w:vAlign w:val="bottom"/>
          </w:tcPr>
          <w:p>
            <w:pPr>
              <w:ind w:left="60"/>
              <w:spacing w:after="0"/>
              <w:rPr>
                <w:sz w:val="20"/>
                <w:szCs w:val="20"/>
                <w:color w:val="auto"/>
              </w:rPr>
            </w:pPr>
            <w:r>
              <w:rPr>
                <w:rFonts w:ascii="Arial" w:cs="Arial" w:eastAsia="Arial" w:hAnsi="Arial"/>
                <w:sz w:val="14"/>
                <w:szCs w:val="14"/>
                <w:color w:val="auto"/>
              </w:rPr>
              <w:t>EAL001</w:t>
            </w:r>
          </w:p>
        </w:tc>
        <w:tc>
          <w:tcPr>
            <w:tcW w:w="400" w:type="dxa"/>
            <w:vAlign w:val="bottom"/>
          </w:tcPr>
          <w:p>
            <w:pPr>
              <w:spacing w:after="0"/>
              <w:rPr>
                <w:sz w:val="16"/>
                <w:szCs w:val="16"/>
                <w:color w:val="auto"/>
              </w:rPr>
            </w:pPr>
          </w:p>
        </w:tc>
        <w:tc>
          <w:tcPr>
            <w:tcW w:w="580" w:type="dxa"/>
            <w:vAlign w:val="bottom"/>
          </w:tcPr>
          <w:p>
            <w:pPr>
              <w:ind w:left="3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277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359</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357</w:t>
            </w:r>
          </w:p>
        </w:tc>
        <w:tc>
          <w:tcPr>
            <w:tcW w:w="12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634</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115</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Huntsville,</w:t>
            </w: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Alabama</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EAL002</w:t>
            </w:r>
          </w:p>
        </w:tc>
        <w:tc>
          <w:tcPr>
            <w:tcW w:w="400" w:type="dxa"/>
            <w:vAlign w:val="bottom"/>
            <w:shd w:val="clear" w:color="auto" w:fill="CCEEFF"/>
          </w:tcPr>
          <w:p>
            <w:pPr>
              <w:spacing w:after="0"/>
              <w:rPr>
                <w:sz w:val="16"/>
                <w:szCs w:val="16"/>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414</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414</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733</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780" w:type="dxa"/>
            <w:vAlign w:val="bottom"/>
          </w:tcPr>
          <w:p>
            <w:pPr>
              <w:ind w:left="20"/>
              <w:spacing w:after="0" w:line="157" w:lineRule="exact"/>
              <w:rPr>
                <w:sz w:val="20"/>
                <w:szCs w:val="20"/>
                <w:color w:val="auto"/>
              </w:rPr>
            </w:pPr>
            <w:r>
              <w:rPr>
                <w:rFonts w:ascii="Arial" w:cs="Arial" w:eastAsia="Arial" w:hAnsi="Arial"/>
                <w:sz w:val="14"/>
                <w:szCs w:val="14"/>
                <w:color w:val="auto"/>
              </w:rPr>
              <w:t>Chandler,</w:t>
            </w: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80" w:type="dxa"/>
            <w:vAlign w:val="bottom"/>
          </w:tcPr>
          <w:p>
            <w:pPr>
              <w:ind w:left="20"/>
              <w:spacing w:after="0"/>
              <w:rPr>
                <w:sz w:val="20"/>
                <w:szCs w:val="20"/>
                <w:color w:val="auto"/>
              </w:rPr>
            </w:pPr>
            <w:r>
              <w:rPr>
                <w:rFonts w:ascii="Arial" w:cs="Arial" w:eastAsia="Arial" w:hAnsi="Arial"/>
                <w:sz w:val="14"/>
                <w:szCs w:val="14"/>
                <w:color w:val="auto"/>
              </w:rPr>
              <w:t>Arizona</w:t>
            </w:r>
          </w:p>
        </w:tc>
        <w:tc>
          <w:tcPr>
            <w:tcW w:w="640" w:type="dxa"/>
            <w:vAlign w:val="bottom"/>
          </w:tcPr>
          <w:p>
            <w:pPr>
              <w:ind w:left="60"/>
              <w:spacing w:after="0"/>
              <w:rPr>
                <w:sz w:val="20"/>
                <w:szCs w:val="20"/>
                <w:color w:val="auto"/>
              </w:rPr>
            </w:pPr>
            <w:r>
              <w:rPr>
                <w:rFonts w:ascii="Arial" w:cs="Arial" w:eastAsia="Arial" w:hAnsi="Arial"/>
                <w:sz w:val="14"/>
                <w:szCs w:val="14"/>
                <w:color w:val="auto"/>
              </w:rPr>
              <w:t>EAZ001</w:t>
            </w:r>
          </w:p>
        </w:tc>
        <w:tc>
          <w:tcPr>
            <w:tcW w:w="400" w:type="dxa"/>
            <w:vAlign w:val="bottom"/>
          </w:tcPr>
          <w:p>
            <w:pPr>
              <w:spacing w:after="0"/>
              <w:rPr>
                <w:sz w:val="16"/>
                <w:szCs w:val="16"/>
                <w:color w:val="auto"/>
              </w:rPr>
            </w:pPr>
          </w:p>
        </w:tc>
        <w:tc>
          <w:tcPr>
            <w:tcW w:w="580" w:type="dxa"/>
            <w:vAlign w:val="bottom"/>
          </w:tcPr>
          <w:p>
            <w:pPr>
              <w:ind w:left="3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793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1,027</w:t>
            </w: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793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1,027</w:t>
            </w:r>
          </w:p>
        </w:tc>
        <w:tc>
          <w:tcPr>
            <w:tcW w:w="12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1,820</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328</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Chandler,</w:t>
            </w: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Arizona</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EAZ002</w:t>
            </w:r>
          </w:p>
        </w:tc>
        <w:tc>
          <w:tcPr>
            <w:tcW w:w="400" w:type="dxa"/>
            <w:vAlign w:val="bottom"/>
            <w:shd w:val="clear" w:color="auto" w:fill="CCEEFF"/>
          </w:tcPr>
          <w:p>
            <w:pPr>
              <w:spacing w:after="0"/>
              <w:rPr>
                <w:sz w:val="16"/>
                <w:szCs w:val="16"/>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673</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670</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1,191</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216</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780" w:type="dxa"/>
            <w:vAlign w:val="bottom"/>
          </w:tcPr>
          <w:p>
            <w:pPr>
              <w:ind w:left="20"/>
              <w:spacing w:after="0" w:line="157" w:lineRule="exact"/>
              <w:rPr>
                <w:sz w:val="20"/>
                <w:szCs w:val="20"/>
                <w:color w:val="auto"/>
              </w:rPr>
            </w:pPr>
            <w:r>
              <w:rPr>
                <w:rFonts w:ascii="Arial" w:cs="Arial" w:eastAsia="Arial" w:hAnsi="Arial"/>
                <w:sz w:val="14"/>
                <w:szCs w:val="14"/>
                <w:color w:val="auto"/>
              </w:rPr>
              <w:t>Mesa,</w:t>
            </w: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80" w:type="dxa"/>
            <w:vAlign w:val="bottom"/>
          </w:tcPr>
          <w:p>
            <w:pPr>
              <w:ind w:left="20"/>
              <w:spacing w:after="0"/>
              <w:rPr>
                <w:sz w:val="20"/>
                <w:szCs w:val="20"/>
                <w:color w:val="auto"/>
              </w:rPr>
            </w:pPr>
            <w:r>
              <w:rPr>
                <w:rFonts w:ascii="Arial" w:cs="Arial" w:eastAsia="Arial" w:hAnsi="Arial"/>
                <w:sz w:val="14"/>
                <w:szCs w:val="14"/>
                <w:color w:val="auto"/>
              </w:rPr>
              <w:t>Arizona</w:t>
            </w:r>
          </w:p>
        </w:tc>
        <w:tc>
          <w:tcPr>
            <w:tcW w:w="640" w:type="dxa"/>
            <w:vAlign w:val="bottom"/>
          </w:tcPr>
          <w:p>
            <w:pPr>
              <w:ind w:left="60"/>
              <w:spacing w:after="0"/>
              <w:rPr>
                <w:sz w:val="20"/>
                <w:szCs w:val="20"/>
                <w:color w:val="auto"/>
              </w:rPr>
            </w:pPr>
            <w:r>
              <w:rPr>
                <w:rFonts w:ascii="Arial" w:cs="Arial" w:eastAsia="Arial" w:hAnsi="Arial"/>
                <w:sz w:val="14"/>
                <w:szCs w:val="14"/>
                <w:color w:val="auto"/>
              </w:rPr>
              <w:t>EAZ004</w:t>
            </w:r>
          </w:p>
        </w:tc>
        <w:tc>
          <w:tcPr>
            <w:tcW w:w="400" w:type="dxa"/>
            <w:vAlign w:val="bottom"/>
          </w:tcPr>
          <w:p>
            <w:pPr>
              <w:spacing w:after="0"/>
              <w:rPr>
                <w:sz w:val="16"/>
                <w:szCs w:val="16"/>
                <w:color w:val="auto"/>
              </w:rPr>
            </w:pPr>
          </w:p>
        </w:tc>
        <w:tc>
          <w:tcPr>
            <w:tcW w:w="580" w:type="dxa"/>
            <w:vAlign w:val="bottom"/>
          </w:tcPr>
          <w:p>
            <w:pPr>
              <w:ind w:left="3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630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815</w:t>
            </w: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630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815</w:t>
            </w:r>
          </w:p>
        </w:tc>
        <w:tc>
          <w:tcPr>
            <w:tcW w:w="12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1,445</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261</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Peoria,</w:t>
            </w: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Arizona</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EAZ005</w:t>
            </w:r>
          </w:p>
        </w:tc>
        <w:tc>
          <w:tcPr>
            <w:tcW w:w="400" w:type="dxa"/>
            <w:vAlign w:val="bottom"/>
            <w:shd w:val="clear" w:color="auto" w:fill="CCEEFF"/>
          </w:tcPr>
          <w:p>
            <w:pPr>
              <w:spacing w:after="0"/>
              <w:rPr>
                <w:sz w:val="16"/>
                <w:szCs w:val="16"/>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764</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764</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1,354</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244</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780" w:type="dxa"/>
            <w:vAlign w:val="bottom"/>
          </w:tcPr>
          <w:p>
            <w:pPr>
              <w:ind w:left="20"/>
              <w:spacing w:after="0" w:line="157" w:lineRule="exact"/>
              <w:rPr>
                <w:sz w:val="20"/>
                <w:szCs w:val="20"/>
                <w:color w:val="auto"/>
              </w:rPr>
            </w:pPr>
            <w:r>
              <w:rPr>
                <w:rFonts w:ascii="Arial" w:cs="Arial" w:eastAsia="Arial" w:hAnsi="Arial"/>
                <w:sz w:val="14"/>
                <w:szCs w:val="14"/>
                <w:color w:val="auto"/>
              </w:rPr>
              <w:t>Phoenix,</w:t>
            </w: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80" w:type="dxa"/>
            <w:vAlign w:val="bottom"/>
          </w:tcPr>
          <w:p>
            <w:pPr>
              <w:ind w:left="20"/>
              <w:spacing w:after="0"/>
              <w:rPr>
                <w:sz w:val="20"/>
                <w:szCs w:val="20"/>
                <w:color w:val="auto"/>
              </w:rPr>
            </w:pPr>
            <w:r>
              <w:rPr>
                <w:rFonts w:ascii="Arial" w:cs="Arial" w:eastAsia="Arial" w:hAnsi="Arial"/>
                <w:sz w:val="14"/>
                <w:szCs w:val="14"/>
                <w:color w:val="auto"/>
              </w:rPr>
              <w:t>Arizona</w:t>
            </w:r>
          </w:p>
        </w:tc>
        <w:tc>
          <w:tcPr>
            <w:tcW w:w="640" w:type="dxa"/>
            <w:vAlign w:val="bottom"/>
          </w:tcPr>
          <w:p>
            <w:pPr>
              <w:ind w:left="60"/>
              <w:spacing w:after="0"/>
              <w:rPr>
                <w:sz w:val="20"/>
                <w:szCs w:val="20"/>
                <w:color w:val="auto"/>
              </w:rPr>
            </w:pPr>
            <w:r>
              <w:rPr>
                <w:rFonts w:ascii="Arial" w:cs="Arial" w:eastAsia="Arial" w:hAnsi="Arial"/>
                <w:sz w:val="14"/>
                <w:szCs w:val="14"/>
                <w:color w:val="auto"/>
              </w:rPr>
              <w:t>EAZ006</w:t>
            </w:r>
          </w:p>
        </w:tc>
        <w:tc>
          <w:tcPr>
            <w:tcW w:w="400" w:type="dxa"/>
            <w:vAlign w:val="bottom"/>
          </w:tcPr>
          <w:p>
            <w:pPr>
              <w:spacing w:after="0"/>
              <w:rPr>
                <w:sz w:val="16"/>
                <w:szCs w:val="16"/>
                <w:color w:val="auto"/>
              </w:rPr>
            </w:pPr>
          </w:p>
        </w:tc>
        <w:tc>
          <w:tcPr>
            <w:tcW w:w="580" w:type="dxa"/>
            <w:vAlign w:val="bottom"/>
          </w:tcPr>
          <w:p>
            <w:pPr>
              <w:ind w:left="3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476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616</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476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613</w:t>
            </w:r>
          </w:p>
        </w:tc>
        <w:tc>
          <w:tcPr>
            <w:tcW w:w="12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1,089</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197</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Phoenix,</w:t>
            </w: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Arizona</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EAZ007</w:t>
            </w:r>
          </w:p>
        </w:tc>
        <w:tc>
          <w:tcPr>
            <w:tcW w:w="400" w:type="dxa"/>
            <w:vAlign w:val="bottom"/>
            <w:shd w:val="clear" w:color="auto" w:fill="CCEEFF"/>
          </w:tcPr>
          <w:p>
            <w:pPr>
              <w:spacing w:after="0"/>
              <w:rPr>
                <w:sz w:val="16"/>
                <w:szCs w:val="16"/>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845</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841</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1,495</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271</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780" w:type="dxa"/>
            <w:vAlign w:val="bottom"/>
          </w:tcPr>
          <w:p>
            <w:pPr>
              <w:ind w:left="20"/>
              <w:spacing w:after="0" w:line="157" w:lineRule="exact"/>
              <w:rPr>
                <w:sz w:val="20"/>
                <w:szCs w:val="20"/>
                <w:color w:val="auto"/>
              </w:rPr>
            </w:pPr>
            <w:r>
              <w:rPr>
                <w:rFonts w:ascii="Arial" w:cs="Arial" w:eastAsia="Arial" w:hAnsi="Arial"/>
                <w:sz w:val="14"/>
                <w:szCs w:val="14"/>
                <w:color w:val="auto"/>
              </w:rPr>
              <w:t>Phoenix,</w:t>
            </w: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80" w:type="dxa"/>
            <w:vAlign w:val="bottom"/>
          </w:tcPr>
          <w:p>
            <w:pPr>
              <w:ind w:left="20"/>
              <w:spacing w:after="0"/>
              <w:rPr>
                <w:sz w:val="20"/>
                <w:szCs w:val="20"/>
                <w:color w:val="auto"/>
              </w:rPr>
            </w:pPr>
            <w:r>
              <w:rPr>
                <w:rFonts w:ascii="Arial" w:cs="Arial" w:eastAsia="Arial" w:hAnsi="Arial"/>
                <w:sz w:val="14"/>
                <w:szCs w:val="14"/>
                <w:color w:val="auto"/>
              </w:rPr>
              <w:t>Arizona</w:t>
            </w:r>
          </w:p>
        </w:tc>
        <w:tc>
          <w:tcPr>
            <w:tcW w:w="640" w:type="dxa"/>
            <w:vAlign w:val="bottom"/>
          </w:tcPr>
          <w:p>
            <w:pPr>
              <w:ind w:left="60"/>
              <w:spacing w:after="0"/>
              <w:rPr>
                <w:sz w:val="20"/>
                <w:szCs w:val="20"/>
                <w:color w:val="auto"/>
              </w:rPr>
            </w:pPr>
            <w:r>
              <w:rPr>
                <w:rFonts w:ascii="Arial" w:cs="Arial" w:eastAsia="Arial" w:hAnsi="Arial"/>
                <w:sz w:val="14"/>
                <w:szCs w:val="14"/>
                <w:color w:val="auto"/>
              </w:rPr>
              <w:t>EAZ008</w:t>
            </w:r>
          </w:p>
        </w:tc>
        <w:tc>
          <w:tcPr>
            <w:tcW w:w="400" w:type="dxa"/>
            <w:vAlign w:val="bottom"/>
          </w:tcPr>
          <w:p>
            <w:pPr>
              <w:spacing w:after="0"/>
              <w:rPr>
                <w:sz w:val="16"/>
                <w:szCs w:val="16"/>
                <w:color w:val="auto"/>
              </w:rPr>
            </w:pPr>
          </w:p>
        </w:tc>
        <w:tc>
          <w:tcPr>
            <w:tcW w:w="580" w:type="dxa"/>
            <w:vAlign w:val="bottom"/>
          </w:tcPr>
          <w:p>
            <w:pPr>
              <w:ind w:left="3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666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862</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666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857</w:t>
            </w:r>
          </w:p>
        </w:tc>
        <w:tc>
          <w:tcPr>
            <w:tcW w:w="12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1,523</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276</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Tempe,</w:t>
            </w: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Arizona</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EAZ009</w:t>
            </w:r>
          </w:p>
        </w:tc>
        <w:tc>
          <w:tcPr>
            <w:tcW w:w="400" w:type="dxa"/>
            <w:vAlign w:val="bottom"/>
            <w:shd w:val="clear" w:color="auto" w:fill="CCEEFF"/>
          </w:tcPr>
          <w:p>
            <w:pPr>
              <w:spacing w:after="0"/>
              <w:rPr>
                <w:sz w:val="16"/>
                <w:szCs w:val="16"/>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596</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596</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1,056</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190</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780" w:type="dxa"/>
            <w:vAlign w:val="bottom"/>
          </w:tcPr>
          <w:p>
            <w:pPr>
              <w:ind w:left="20"/>
              <w:spacing w:after="0" w:line="157" w:lineRule="exact"/>
              <w:rPr>
                <w:sz w:val="20"/>
                <w:szCs w:val="20"/>
                <w:color w:val="auto"/>
              </w:rPr>
            </w:pPr>
            <w:r>
              <w:rPr>
                <w:rFonts w:ascii="Arial" w:cs="Arial" w:eastAsia="Arial" w:hAnsi="Arial"/>
                <w:sz w:val="14"/>
                <w:szCs w:val="14"/>
                <w:color w:val="auto"/>
              </w:rPr>
              <w:t>Alameda,</w:t>
            </w: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80" w:type="dxa"/>
            <w:vAlign w:val="bottom"/>
          </w:tcPr>
          <w:p>
            <w:pPr>
              <w:ind w:left="20"/>
              <w:spacing w:after="0"/>
              <w:rPr>
                <w:sz w:val="20"/>
                <w:szCs w:val="20"/>
                <w:color w:val="auto"/>
              </w:rPr>
            </w:pPr>
            <w:r>
              <w:rPr>
                <w:rFonts w:ascii="Arial" w:cs="Arial" w:eastAsia="Arial" w:hAnsi="Arial"/>
                <w:sz w:val="14"/>
                <w:szCs w:val="14"/>
                <w:color w:val="auto"/>
              </w:rPr>
              <w:t>California</w:t>
            </w:r>
          </w:p>
        </w:tc>
        <w:tc>
          <w:tcPr>
            <w:tcW w:w="640" w:type="dxa"/>
            <w:vAlign w:val="bottom"/>
          </w:tcPr>
          <w:p>
            <w:pPr>
              <w:ind w:left="60"/>
              <w:spacing w:after="0"/>
              <w:rPr>
                <w:sz w:val="20"/>
                <w:szCs w:val="20"/>
                <w:color w:val="auto"/>
              </w:rPr>
            </w:pPr>
            <w:r>
              <w:rPr>
                <w:rFonts w:ascii="Arial" w:cs="Arial" w:eastAsia="Arial" w:hAnsi="Arial"/>
                <w:sz w:val="14"/>
                <w:szCs w:val="14"/>
                <w:color w:val="auto"/>
              </w:rPr>
              <w:t>ECA001</w:t>
            </w:r>
          </w:p>
        </w:tc>
        <w:tc>
          <w:tcPr>
            <w:tcW w:w="400" w:type="dxa"/>
            <w:vAlign w:val="bottom"/>
          </w:tcPr>
          <w:p>
            <w:pPr>
              <w:spacing w:after="0"/>
              <w:rPr>
                <w:sz w:val="16"/>
                <w:szCs w:val="16"/>
                <w:color w:val="auto"/>
              </w:rPr>
            </w:pPr>
          </w:p>
        </w:tc>
        <w:tc>
          <w:tcPr>
            <w:tcW w:w="580" w:type="dxa"/>
            <w:vAlign w:val="bottom"/>
          </w:tcPr>
          <w:p>
            <w:pPr>
              <w:ind w:left="3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1,097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1,421</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1,097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1,420</w:t>
            </w:r>
          </w:p>
        </w:tc>
        <w:tc>
          <w:tcPr>
            <w:tcW w:w="12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2,517</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454</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Bakersfield,</w:t>
            </w: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ECA002</w:t>
            </w:r>
          </w:p>
        </w:tc>
        <w:tc>
          <w:tcPr>
            <w:tcW w:w="400" w:type="dxa"/>
            <w:vAlign w:val="bottom"/>
            <w:shd w:val="clear" w:color="auto" w:fill="CCEEFF"/>
          </w:tcPr>
          <w:p>
            <w:pPr>
              <w:spacing w:after="0"/>
              <w:rPr>
                <w:sz w:val="16"/>
                <w:szCs w:val="16"/>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560</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561</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995</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179</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780" w:type="dxa"/>
            <w:vAlign w:val="bottom"/>
          </w:tcPr>
          <w:p>
            <w:pPr>
              <w:ind w:left="20"/>
              <w:spacing w:after="0" w:line="157" w:lineRule="exact"/>
              <w:rPr>
                <w:sz w:val="20"/>
                <w:szCs w:val="20"/>
                <w:color w:val="auto"/>
              </w:rPr>
            </w:pPr>
            <w:r>
              <w:rPr>
                <w:rFonts w:ascii="Arial" w:cs="Arial" w:eastAsia="Arial" w:hAnsi="Arial"/>
                <w:sz w:val="14"/>
                <w:szCs w:val="14"/>
                <w:color w:val="auto"/>
              </w:rPr>
              <w:t>Bakersfield,</w:t>
            </w: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80" w:type="dxa"/>
            <w:vAlign w:val="bottom"/>
          </w:tcPr>
          <w:p>
            <w:pPr>
              <w:ind w:left="20"/>
              <w:spacing w:after="0"/>
              <w:rPr>
                <w:sz w:val="20"/>
                <w:szCs w:val="20"/>
                <w:color w:val="auto"/>
              </w:rPr>
            </w:pPr>
            <w:r>
              <w:rPr>
                <w:rFonts w:ascii="Arial" w:cs="Arial" w:eastAsia="Arial" w:hAnsi="Arial"/>
                <w:sz w:val="14"/>
                <w:szCs w:val="14"/>
                <w:color w:val="auto"/>
              </w:rPr>
              <w:t>California</w:t>
            </w:r>
          </w:p>
        </w:tc>
        <w:tc>
          <w:tcPr>
            <w:tcW w:w="640" w:type="dxa"/>
            <w:vAlign w:val="bottom"/>
          </w:tcPr>
          <w:p>
            <w:pPr>
              <w:ind w:left="60"/>
              <w:spacing w:after="0"/>
              <w:rPr>
                <w:sz w:val="20"/>
                <w:szCs w:val="20"/>
                <w:color w:val="auto"/>
              </w:rPr>
            </w:pPr>
            <w:r>
              <w:rPr>
                <w:rFonts w:ascii="Arial" w:cs="Arial" w:eastAsia="Arial" w:hAnsi="Arial"/>
                <w:sz w:val="14"/>
                <w:szCs w:val="14"/>
                <w:color w:val="auto"/>
              </w:rPr>
              <w:t>ECA003</w:t>
            </w:r>
          </w:p>
        </w:tc>
        <w:tc>
          <w:tcPr>
            <w:tcW w:w="400" w:type="dxa"/>
            <w:vAlign w:val="bottom"/>
          </w:tcPr>
          <w:p>
            <w:pPr>
              <w:spacing w:after="0"/>
              <w:rPr>
                <w:sz w:val="16"/>
                <w:szCs w:val="16"/>
                <w:color w:val="auto"/>
              </w:rPr>
            </w:pPr>
          </w:p>
        </w:tc>
        <w:tc>
          <w:tcPr>
            <w:tcW w:w="580" w:type="dxa"/>
            <w:vAlign w:val="bottom"/>
          </w:tcPr>
          <w:p>
            <w:pPr>
              <w:ind w:left="3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332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429</w:t>
            </w: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332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429</w:t>
            </w:r>
          </w:p>
        </w:tc>
        <w:tc>
          <w:tcPr>
            <w:tcW w:w="12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761</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137</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Milpitas,</w:t>
            </w: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ECA005</w:t>
            </w:r>
          </w:p>
        </w:tc>
        <w:tc>
          <w:tcPr>
            <w:tcW w:w="400" w:type="dxa"/>
            <w:vAlign w:val="bottom"/>
            <w:shd w:val="clear" w:color="auto" w:fill="CCEEFF"/>
          </w:tcPr>
          <w:p>
            <w:pPr>
              <w:spacing w:after="0"/>
              <w:rPr>
                <w:sz w:val="16"/>
                <w:szCs w:val="16"/>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876</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876</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1,552</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280</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780" w:type="dxa"/>
            <w:vAlign w:val="bottom"/>
          </w:tcPr>
          <w:p>
            <w:pPr>
              <w:ind w:left="20"/>
              <w:spacing w:after="0" w:line="157" w:lineRule="exact"/>
              <w:rPr>
                <w:sz w:val="20"/>
                <w:szCs w:val="20"/>
                <w:color w:val="auto"/>
              </w:rPr>
            </w:pPr>
            <w:r>
              <w:rPr>
                <w:rFonts w:ascii="Arial" w:cs="Arial" w:eastAsia="Arial" w:hAnsi="Arial"/>
                <w:sz w:val="14"/>
                <w:szCs w:val="14"/>
                <w:color w:val="auto"/>
              </w:rPr>
              <w:t>Riverside,</w:t>
            </w: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80" w:type="dxa"/>
            <w:vAlign w:val="bottom"/>
          </w:tcPr>
          <w:p>
            <w:pPr>
              <w:ind w:left="20"/>
              <w:spacing w:after="0"/>
              <w:rPr>
                <w:sz w:val="20"/>
                <w:szCs w:val="20"/>
                <w:color w:val="auto"/>
              </w:rPr>
            </w:pPr>
            <w:r>
              <w:rPr>
                <w:rFonts w:ascii="Arial" w:cs="Arial" w:eastAsia="Arial" w:hAnsi="Arial"/>
                <w:sz w:val="14"/>
                <w:szCs w:val="14"/>
                <w:color w:val="auto"/>
              </w:rPr>
              <w:t>California</w:t>
            </w:r>
          </w:p>
        </w:tc>
        <w:tc>
          <w:tcPr>
            <w:tcW w:w="640" w:type="dxa"/>
            <w:vAlign w:val="bottom"/>
          </w:tcPr>
          <w:p>
            <w:pPr>
              <w:ind w:left="60"/>
              <w:spacing w:after="0"/>
              <w:rPr>
                <w:sz w:val="20"/>
                <w:szCs w:val="20"/>
                <w:color w:val="auto"/>
              </w:rPr>
            </w:pPr>
            <w:r>
              <w:rPr>
                <w:rFonts w:ascii="Arial" w:cs="Arial" w:eastAsia="Arial" w:hAnsi="Arial"/>
                <w:sz w:val="14"/>
                <w:szCs w:val="14"/>
                <w:color w:val="auto"/>
              </w:rPr>
              <w:t>ECA006</w:t>
            </w:r>
          </w:p>
        </w:tc>
        <w:tc>
          <w:tcPr>
            <w:tcW w:w="400" w:type="dxa"/>
            <w:vAlign w:val="bottom"/>
          </w:tcPr>
          <w:p>
            <w:pPr>
              <w:spacing w:after="0"/>
              <w:rPr>
                <w:sz w:val="16"/>
                <w:szCs w:val="16"/>
                <w:color w:val="auto"/>
              </w:rPr>
            </w:pPr>
          </w:p>
        </w:tc>
        <w:tc>
          <w:tcPr>
            <w:tcW w:w="580" w:type="dxa"/>
            <w:vAlign w:val="bottom"/>
          </w:tcPr>
          <w:p>
            <w:pPr>
              <w:ind w:left="3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720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932</w:t>
            </w: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932</w:t>
            </w:r>
          </w:p>
        </w:tc>
        <w:tc>
          <w:tcPr>
            <w:tcW w:w="12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1,652</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298</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Rocklin,</w:t>
            </w: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ECA007</w:t>
            </w:r>
          </w:p>
        </w:tc>
        <w:tc>
          <w:tcPr>
            <w:tcW w:w="400" w:type="dxa"/>
            <w:vAlign w:val="bottom"/>
            <w:shd w:val="clear" w:color="auto" w:fill="CCEEFF"/>
          </w:tcPr>
          <w:p>
            <w:pPr>
              <w:spacing w:after="0"/>
              <w:rPr>
                <w:sz w:val="16"/>
                <w:szCs w:val="16"/>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743</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739</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1,313</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238</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780" w:type="dxa"/>
            <w:vAlign w:val="bottom"/>
          </w:tcPr>
          <w:p>
            <w:pPr>
              <w:ind w:left="20"/>
              <w:spacing w:after="0" w:line="157" w:lineRule="exact"/>
              <w:rPr>
                <w:sz w:val="20"/>
                <w:szCs w:val="20"/>
                <w:color w:val="auto"/>
              </w:rPr>
            </w:pPr>
            <w:r>
              <w:rPr>
                <w:rFonts w:ascii="Arial" w:cs="Arial" w:eastAsia="Arial" w:hAnsi="Arial"/>
                <w:sz w:val="14"/>
                <w:szCs w:val="14"/>
                <w:color w:val="auto"/>
                <w:w w:val="93"/>
              </w:rPr>
              <w:t>Sacramento,</w:t>
            </w: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80" w:type="dxa"/>
            <w:vAlign w:val="bottom"/>
          </w:tcPr>
          <w:p>
            <w:pPr>
              <w:ind w:left="20"/>
              <w:spacing w:after="0"/>
              <w:rPr>
                <w:sz w:val="20"/>
                <w:szCs w:val="20"/>
                <w:color w:val="auto"/>
              </w:rPr>
            </w:pPr>
            <w:r>
              <w:rPr>
                <w:rFonts w:ascii="Arial" w:cs="Arial" w:eastAsia="Arial" w:hAnsi="Arial"/>
                <w:sz w:val="14"/>
                <w:szCs w:val="14"/>
                <w:color w:val="auto"/>
              </w:rPr>
              <w:t>California</w:t>
            </w:r>
          </w:p>
        </w:tc>
        <w:tc>
          <w:tcPr>
            <w:tcW w:w="640" w:type="dxa"/>
            <w:vAlign w:val="bottom"/>
          </w:tcPr>
          <w:p>
            <w:pPr>
              <w:ind w:left="60"/>
              <w:spacing w:after="0"/>
              <w:rPr>
                <w:sz w:val="20"/>
                <w:szCs w:val="20"/>
                <w:color w:val="auto"/>
              </w:rPr>
            </w:pPr>
            <w:r>
              <w:rPr>
                <w:rFonts w:ascii="Arial" w:cs="Arial" w:eastAsia="Arial" w:hAnsi="Arial"/>
                <w:sz w:val="14"/>
                <w:szCs w:val="14"/>
                <w:color w:val="auto"/>
              </w:rPr>
              <w:t>ECA008</w:t>
            </w:r>
          </w:p>
        </w:tc>
        <w:tc>
          <w:tcPr>
            <w:tcW w:w="400" w:type="dxa"/>
            <w:vAlign w:val="bottom"/>
          </w:tcPr>
          <w:p>
            <w:pPr>
              <w:spacing w:after="0"/>
              <w:rPr>
                <w:sz w:val="16"/>
                <w:szCs w:val="16"/>
                <w:color w:val="auto"/>
              </w:rPr>
            </w:pPr>
          </w:p>
        </w:tc>
        <w:tc>
          <w:tcPr>
            <w:tcW w:w="580" w:type="dxa"/>
            <w:vAlign w:val="bottom"/>
          </w:tcPr>
          <w:p>
            <w:pPr>
              <w:ind w:left="3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392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508</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392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505</w:t>
            </w:r>
          </w:p>
        </w:tc>
        <w:tc>
          <w:tcPr>
            <w:tcW w:w="12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897</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163</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San</w:t>
            </w: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Bernardino,</w:t>
            </w: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ECA009</w:t>
            </w:r>
          </w:p>
        </w:tc>
        <w:tc>
          <w:tcPr>
            <w:tcW w:w="400" w:type="dxa"/>
            <w:vAlign w:val="bottom"/>
            <w:shd w:val="clear" w:color="auto" w:fill="CCEEFF"/>
          </w:tcPr>
          <w:p>
            <w:pPr>
              <w:spacing w:after="0"/>
              <w:rPr>
                <w:sz w:val="16"/>
                <w:szCs w:val="16"/>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464</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462</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820</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780" w:type="dxa"/>
            <w:vAlign w:val="bottom"/>
          </w:tcPr>
          <w:p>
            <w:pPr>
              <w:ind w:left="20"/>
              <w:spacing w:after="0" w:line="157" w:lineRule="exact"/>
              <w:rPr>
                <w:sz w:val="20"/>
                <w:szCs w:val="20"/>
                <w:color w:val="auto"/>
              </w:rPr>
            </w:pPr>
            <w:r>
              <w:rPr>
                <w:rFonts w:ascii="Arial" w:cs="Arial" w:eastAsia="Arial" w:hAnsi="Arial"/>
                <w:sz w:val="14"/>
                <w:szCs w:val="14"/>
                <w:color w:val="auto"/>
              </w:rPr>
              <w:t>San Diego,</w:t>
            </w: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780" w:type="dxa"/>
            <w:vAlign w:val="bottom"/>
          </w:tcPr>
          <w:p>
            <w:pPr>
              <w:ind w:left="20"/>
              <w:spacing w:after="0"/>
              <w:rPr>
                <w:sz w:val="20"/>
                <w:szCs w:val="20"/>
                <w:color w:val="auto"/>
              </w:rPr>
            </w:pPr>
            <w:r>
              <w:rPr>
                <w:rFonts w:ascii="Arial" w:cs="Arial" w:eastAsia="Arial" w:hAnsi="Arial"/>
                <w:sz w:val="14"/>
                <w:szCs w:val="14"/>
                <w:color w:val="auto"/>
              </w:rPr>
              <w:t>California</w:t>
            </w:r>
          </w:p>
        </w:tc>
        <w:tc>
          <w:tcPr>
            <w:tcW w:w="640" w:type="dxa"/>
            <w:vAlign w:val="bottom"/>
          </w:tcPr>
          <w:p>
            <w:pPr>
              <w:ind w:left="60"/>
              <w:spacing w:after="0"/>
              <w:rPr>
                <w:sz w:val="20"/>
                <w:szCs w:val="20"/>
                <w:color w:val="auto"/>
              </w:rPr>
            </w:pPr>
            <w:r>
              <w:rPr>
                <w:rFonts w:ascii="Arial" w:cs="Arial" w:eastAsia="Arial" w:hAnsi="Arial"/>
                <w:sz w:val="14"/>
                <w:szCs w:val="14"/>
                <w:color w:val="auto"/>
              </w:rPr>
              <w:t>ECA010</w:t>
            </w:r>
          </w:p>
        </w:tc>
        <w:tc>
          <w:tcPr>
            <w:tcW w:w="400" w:type="dxa"/>
            <w:vAlign w:val="bottom"/>
          </w:tcPr>
          <w:p>
            <w:pPr>
              <w:spacing w:after="0"/>
              <w:rPr>
                <w:sz w:val="15"/>
                <w:szCs w:val="15"/>
                <w:color w:val="auto"/>
              </w:rPr>
            </w:pPr>
          </w:p>
        </w:tc>
        <w:tc>
          <w:tcPr>
            <w:tcW w:w="580" w:type="dxa"/>
            <w:vAlign w:val="bottom"/>
          </w:tcPr>
          <w:p>
            <w:pPr>
              <w:ind w:left="30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18,000</w:t>
            </w:r>
          </w:p>
        </w:tc>
        <w:tc>
          <w:tcPr>
            <w:tcW w:w="12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18,000</w:t>
            </w:r>
          </w:p>
        </w:tc>
        <w:tc>
          <w:tcPr>
            <w:tcW w:w="12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18,000</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5,608</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2003</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80"/>
          </w:cols>
          <w:pgMar w:left="260" w:top="742" w:right="25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iStar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III—Real Estate and Accumulated Depreciation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2016</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4"/>
              </w:rPr>
              <w:t>Gross Amount Carried</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Initial Cost to Company</w:t>
            </w:r>
          </w:p>
        </w:tc>
        <w:tc>
          <w:tcPr>
            <w:tcW w:w="12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Cost</w:t>
            </w: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0"/>
              </w:rPr>
              <w:t>at Close of Period</w:t>
            </w:r>
          </w:p>
        </w:tc>
        <w:tc>
          <w:tcPr>
            <w:tcW w:w="6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Building and</w:t>
            </w:r>
          </w:p>
        </w:tc>
        <w:tc>
          <w:tcPr>
            <w:tcW w:w="120" w:type="dxa"/>
            <w:vAlign w:val="bottom"/>
          </w:tcPr>
          <w:p>
            <w:pPr>
              <w:spacing w:after="0"/>
              <w:rPr>
                <w:sz w:val="11"/>
                <w:szCs w:val="11"/>
                <w:color w:val="auto"/>
              </w:rPr>
            </w:pPr>
          </w:p>
        </w:tc>
        <w:tc>
          <w:tcPr>
            <w:tcW w:w="10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4"/>
              </w:rPr>
              <w:t>Capitalized</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4"/>
              </w:rPr>
              <w:t>Building and</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Depreciable</w:t>
            </w:r>
          </w:p>
        </w:tc>
        <w:tc>
          <w:tcPr>
            <w:tcW w:w="0" w:type="dxa"/>
            <w:vAlign w:val="bottom"/>
          </w:tcPr>
          <w:p>
            <w:pPr>
              <w:spacing w:after="0"/>
              <w:rPr>
                <w:sz w:val="1"/>
                <w:szCs w:val="1"/>
                <w:color w:val="auto"/>
              </w:rPr>
            </w:pPr>
          </w:p>
        </w:tc>
      </w:tr>
      <w:tr>
        <w:trPr>
          <w:trHeight w:val="149"/>
        </w:trPr>
        <w:tc>
          <w:tcPr>
            <w:tcW w:w="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Location</w:t>
            </w:r>
          </w:p>
        </w:tc>
        <w:tc>
          <w:tcPr>
            <w:tcW w:w="660" w:type="dxa"/>
            <w:vAlign w:val="bottom"/>
          </w:tcPr>
          <w:p>
            <w:pPr>
              <w:spacing w:after="0"/>
              <w:rPr>
                <w:sz w:val="12"/>
                <w:szCs w:val="12"/>
                <w:color w:val="auto"/>
              </w:rPr>
            </w:pPr>
          </w:p>
        </w:tc>
        <w:tc>
          <w:tcPr>
            <w:tcW w:w="9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1"/>
              </w:rPr>
              <w:t>Encumbrances</w:t>
            </w:r>
          </w:p>
        </w:tc>
        <w:tc>
          <w:tcPr>
            <w:tcW w:w="440" w:type="dxa"/>
            <w:vAlign w:val="bottom"/>
          </w:tcPr>
          <w:p>
            <w:pPr>
              <w:spacing w:after="0"/>
              <w:rPr>
                <w:sz w:val="12"/>
                <w:szCs w:val="12"/>
                <w:color w:val="auto"/>
              </w:rPr>
            </w:pPr>
          </w:p>
        </w:tc>
        <w:tc>
          <w:tcPr>
            <w:tcW w:w="8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Land</w:t>
            </w: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Subsequent to</w:t>
            </w: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Land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110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192"/>
        </w:trPr>
        <w:tc>
          <w:tcPr>
            <w:tcW w:w="78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94"/>
              </w:rPr>
              <w:t>Improvements</w:t>
            </w:r>
          </w:p>
        </w:tc>
        <w:tc>
          <w:tcPr>
            <w:tcW w:w="12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Acquisition</w:t>
            </w:r>
            <w:r>
              <w:rPr>
                <w:rFonts w:ascii="Arial" w:cs="Arial" w:eastAsia="Arial" w:hAnsi="Arial"/>
                <w:sz w:val="8"/>
                <w:szCs w:val="8"/>
                <w:b w:val="1"/>
                <w:bCs w:val="1"/>
                <w:color w:val="auto"/>
                <w:w w:val="95"/>
              </w:rPr>
              <w:t>(2)</w:t>
            </w: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Improvements</w:t>
            </w:r>
          </w:p>
        </w:tc>
        <w:tc>
          <w:tcPr>
            <w:tcW w:w="820" w:type="dxa"/>
            <w:vAlign w:val="bottom"/>
            <w:gridSpan w:val="2"/>
            <w:vMerge w:val="continue"/>
          </w:tcPr>
          <w:p>
            <w:pPr>
              <w:spacing w:after="0"/>
              <w:rPr>
                <w:sz w:val="16"/>
                <w:szCs w:val="16"/>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Depreciation</w:t>
            </w: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Acquired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156"/>
        </w:trPr>
        <w:tc>
          <w:tcPr>
            <w:tcW w:w="780" w:type="dxa"/>
            <w:vAlign w:val="bottom"/>
            <w:tcBorders>
              <w:top w:val="single" w:sz="8" w:color="auto"/>
            </w:tcBorders>
            <w:shd w:val="clear" w:color="auto" w:fill="CCEEFF"/>
          </w:tcPr>
          <w:p>
            <w:pPr>
              <w:ind w:left="20"/>
              <w:spacing w:after="0" w:line="157" w:lineRule="exact"/>
              <w:rPr>
                <w:sz w:val="20"/>
                <w:szCs w:val="20"/>
                <w:color w:val="auto"/>
              </w:rPr>
            </w:pPr>
            <w:r>
              <w:rPr>
                <w:rFonts w:ascii="Arial" w:cs="Arial" w:eastAsia="Arial" w:hAnsi="Arial"/>
                <w:sz w:val="14"/>
                <w:szCs w:val="14"/>
                <w:color w:val="auto"/>
                <w:w w:val="94"/>
              </w:rPr>
              <w:t>San Marcos,</w:t>
            </w:r>
          </w:p>
        </w:tc>
        <w:tc>
          <w:tcPr>
            <w:tcW w:w="66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ECA011</w:t>
            </w:r>
          </w:p>
        </w:tc>
        <w:tc>
          <w:tcPr>
            <w:tcW w:w="960" w:type="dxa"/>
            <w:vAlign w:val="bottom"/>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852</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852</w:t>
            </w:r>
          </w:p>
        </w:tc>
        <w:tc>
          <w:tcPr>
            <w:tcW w:w="120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1,096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1,948</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353</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780" w:type="dxa"/>
            <w:vAlign w:val="bottom"/>
          </w:tcPr>
          <w:p>
            <w:pPr>
              <w:ind w:left="20"/>
              <w:spacing w:after="0" w:line="157" w:lineRule="exact"/>
              <w:rPr>
                <w:sz w:val="20"/>
                <w:szCs w:val="20"/>
                <w:color w:val="auto"/>
              </w:rPr>
            </w:pPr>
            <w:r>
              <w:rPr>
                <w:rFonts w:ascii="Arial" w:cs="Arial" w:eastAsia="Arial" w:hAnsi="Arial"/>
                <w:sz w:val="14"/>
                <w:szCs w:val="14"/>
                <w:color w:val="auto"/>
              </w:rPr>
              <w:t>Thousand</w:t>
            </w: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80" w:type="dxa"/>
            <w:vAlign w:val="bottom"/>
          </w:tcPr>
          <w:p>
            <w:pPr>
              <w:ind w:left="20"/>
              <w:spacing w:after="0" w:line="149" w:lineRule="exact"/>
              <w:rPr>
                <w:sz w:val="20"/>
                <w:szCs w:val="20"/>
                <w:color w:val="auto"/>
              </w:rPr>
            </w:pPr>
            <w:r>
              <w:rPr>
                <w:rFonts w:ascii="Arial" w:cs="Arial" w:eastAsia="Arial" w:hAnsi="Arial"/>
                <w:sz w:val="14"/>
                <w:szCs w:val="14"/>
                <w:color w:val="auto"/>
              </w:rPr>
              <w:t>Oaks,</w:t>
            </w: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780" w:type="dxa"/>
            <w:vAlign w:val="bottom"/>
          </w:tcPr>
          <w:p>
            <w:pPr>
              <w:ind w:left="20"/>
              <w:spacing w:after="0"/>
              <w:rPr>
                <w:sz w:val="20"/>
                <w:szCs w:val="20"/>
                <w:color w:val="auto"/>
              </w:rPr>
            </w:pPr>
            <w:r>
              <w:rPr>
                <w:rFonts w:ascii="Arial" w:cs="Arial" w:eastAsia="Arial" w:hAnsi="Arial"/>
                <w:sz w:val="14"/>
                <w:szCs w:val="14"/>
                <w:color w:val="auto"/>
              </w:rPr>
              <w:t>California</w:t>
            </w:r>
          </w:p>
        </w:tc>
        <w:tc>
          <w:tcPr>
            <w:tcW w:w="660" w:type="dxa"/>
            <w:vAlign w:val="bottom"/>
          </w:tcPr>
          <w:p>
            <w:pPr>
              <w:ind w:left="60"/>
              <w:spacing w:after="0"/>
              <w:rPr>
                <w:sz w:val="20"/>
                <w:szCs w:val="20"/>
                <w:color w:val="auto"/>
              </w:rPr>
            </w:pPr>
            <w:r>
              <w:rPr>
                <w:rFonts w:ascii="Arial" w:cs="Arial" w:eastAsia="Arial" w:hAnsi="Arial"/>
                <w:sz w:val="14"/>
                <w:szCs w:val="14"/>
                <w:color w:val="auto"/>
              </w:rPr>
              <w:t>ECA013</w:t>
            </w:r>
          </w:p>
        </w:tc>
        <w:tc>
          <w:tcPr>
            <w:tcW w:w="960" w:type="dxa"/>
            <w:vAlign w:val="bottom"/>
          </w:tcPr>
          <w:p>
            <w:pPr>
              <w:ind w:left="70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1,953</w:t>
            </w:r>
          </w:p>
        </w:tc>
        <w:tc>
          <w:tcPr>
            <w:tcW w:w="1020" w:type="dxa"/>
            <w:vAlign w:val="bottom"/>
            <w:gridSpan w:val="2"/>
          </w:tcPr>
          <w:p>
            <w:pPr>
              <w:jc w:val="right"/>
              <w:ind w:right="28"/>
              <w:spacing w:after="0"/>
              <w:rPr>
                <w:sz w:val="20"/>
                <w:szCs w:val="20"/>
                <w:color w:val="auto"/>
              </w:rPr>
            </w:pPr>
            <w:r>
              <w:rPr>
                <w:rFonts w:ascii="Arial" w:cs="Arial" w:eastAsia="Arial" w:hAnsi="Arial"/>
                <w:sz w:val="14"/>
                <w:szCs w:val="14"/>
                <w:color w:val="auto"/>
              </w:rPr>
              <w:t>25,772</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3"/>
          </w:tcPr>
          <w:p>
            <w:pPr>
              <w:jc w:val="right"/>
              <w:ind w:right="28"/>
              <w:spacing w:after="0"/>
              <w:rPr>
                <w:sz w:val="20"/>
                <w:szCs w:val="20"/>
                <w:color w:val="auto"/>
              </w:rPr>
            </w:pPr>
            <w:r>
              <w:rPr>
                <w:rFonts w:ascii="Arial" w:cs="Arial" w:eastAsia="Arial" w:hAnsi="Arial"/>
                <w:sz w:val="14"/>
                <w:szCs w:val="14"/>
                <w:color w:val="auto"/>
              </w:rPr>
              <w:t>27,725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27,725</w:t>
            </w:r>
          </w:p>
        </w:tc>
        <w:tc>
          <w:tcPr>
            <w:tcW w:w="2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5,428</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Torrance,</w:t>
            </w:r>
          </w:p>
        </w:tc>
        <w:tc>
          <w:tcPr>
            <w:tcW w:w="6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ECA014</w:t>
            </w:r>
          </w:p>
        </w:tc>
        <w:tc>
          <w:tcPr>
            <w:tcW w:w="960" w:type="dxa"/>
            <w:vAlign w:val="bottom"/>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659</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w:t>
            </w:r>
          </w:p>
        </w:tc>
        <w:tc>
          <w:tcPr>
            <w:tcW w:w="120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848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1,507</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273</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780" w:type="dxa"/>
            <w:vAlign w:val="bottom"/>
          </w:tcPr>
          <w:p>
            <w:pPr>
              <w:ind w:left="20"/>
              <w:spacing w:after="0" w:line="157" w:lineRule="exact"/>
              <w:rPr>
                <w:sz w:val="20"/>
                <w:szCs w:val="20"/>
                <w:color w:val="auto"/>
              </w:rPr>
            </w:pPr>
            <w:r>
              <w:rPr>
                <w:rFonts w:ascii="Arial" w:cs="Arial" w:eastAsia="Arial" w:hAnsi="Arial"/>
                <w:sz w:val="14"/>
                <w:szCs w:val="14"/>
                <w:color w:val="auto"/>
              </w:rPr>
              <w:t>Visalia,</w:t>
            </w: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80" w:type="dxa"/>
            <w:vAlign w:val="bottom"/>
          </w:tcPr>
          <w:p>
            <w:pPr>
              <w:ind w:left="20"/>
              <w:spacing w:after="0"/>
              <w:rPr>
                <w:sz w:val="20"/>
                <w:szCs w:val="20"/>
                <w:color w:val="auto"/>
              </w:rPr>
            </w:pPr>
            <w:r>
              <w:rPr>
                <w:rFonts w:ascii="Arial" w:cs="Arial" w:eastAsia="Arial" w:hAnsi="Arial"/>
                <w:sz w:val="14"/>
                <w:szCs w:val="14"/>
                <w:color w:val="auto"/>
              </w:rPr>
              <w:t>California</w:t>
            </w:r>
          </w:p>
        </w:tc>
        <w:tc>
          <w:tcPr>
            <w:tcW w:w="660" w:type="dxa"/>
            <w:vAlign w:val="bottom"/>
          </w:tcPr>
          <w:p>
            <w:pPr>
              <w:ind w:left="60"/>
              <w:spacing w:after="0"/>
              <w:rPr>
                <w:sz w:val="20"/>
                <w:szCs w:val="20"/>
                <w:color w:val="auto"/>
              </w:rPr>
            </w:pPr>
            <w:r>
              <w:rPr>
                <w:rFonts w:ascii="Arial" w:cs="Arial" w:eastAsia="Arial" w:hAnsi="Arial"/>
                <w:sz w:val="14"/>
                <w:szCs w:val="14"/>
                <w:color w:val="auto"/>
              </w:rPr>
              <w:t>ECA015</w:t>
            </w:r>
          </w:p>
        </w:tc>
        <w:tc>
          <w:tcPr>
            <w:tcW w:w="960" w:type="dxa"/>
            <w:vAlign w:val="bottom"/>
          </w:tcPr>
          <w:p>
            <w:pPr>
              <w:ind w:left="7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562</w:t>
            </w:r>
          </w:p>
        </w:tc>
        <w:tc>
          <w:tcPr>
            <w:tcW w:w="12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729</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562</w:t>
            </w:r>
          </w:p>
        </w:tc>
        <w:tc>
          <w:tcPr>
            <w:tcW w:w="1200" w:type="dxa"/>
            <w:vAlign w:val="bottom"/>
            <w:gridSpan w:val="3"/>
          </w:tcPr>
          <w:p>
            <w:pPr>
              <w:jc w:val="right"/>
              <w:ind w:right="28"/>
              <w:spacing w:after="0"/>
              <w:rPr>
                <w:sz w:val="20"/>
                <w:szCs w:val="20"/>
                <w:color w:val="auto"/>
              </w:rPr>
            </w:pPr>
            <w:r>
              <w:rPr>
                <w:rFonts w:ascii="Arial" w:cs="Arial" w:eastAsia="Arial" w:hAnsi="Arial"/>
                <w:sz w:val="14"/>
                <w:szCs w:val="14"/>
                <w:color w:val="auto"/>
              </w:rPr>
              <w:t>728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1,290</w:t>
            </w:r>
          </w:p>
        </w:tc>
        <w:tc>
          <w:tcPr>
            <w:tcW w:w="2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233</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 Los</w:t>
            </w:r>
          </w:p>
        </w:tc>
        <w:tc>
          <w:tcPr>
            <w:tcW w:w="6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Angeles,</w:t>
            </w:r>
          </w:p>
        </w:tc>
        <w:tc>
          <w:tcPr>
            <w:tcW w:w="6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ECA004</w:t>
            </w:r>
          </w:p>
        </w:tc>
        <w:tc>
          <w:tcPr>
            <w:tcW w:w="960" w:type="dxa"/>
            <w:vAlign w:val="bottom"/>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1,642</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1,642</w:t>
            </w:r>
          </w:p>
        </w:tc>
        <w:tc>
          <w:tcPr>
            <w:tcW w:w="120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2,113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3,755</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680</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780" w:type="dxa"/>
            <w:vAlign w:val="bottom"/>
          </w:tcPr>
          <w:p>
            <w:pPr>
              <w:ind w:left="20"/>
              <w:spacing w:after="0" w:line="157" w:lineRule="exact"/>
              <w:rPr>
                <w:sz w:val="20"/>
                <w:szCs w:val="20"/>
                <w:color w:val="auto"/>
              </w:rPr>
            </w:pPr>
            <w:r>
              <w:rPr>
                <w:rFonts w:ascii="Arial" w:cs="Arial" w:eastAsia="Arial" w:hAnsi="Arial"/>
                <w:sz w:val="14"/>
                <w:szCs w:val="14"/>
                <w:color w:val="auto"/>
              </w:rPr>
              <w:t>Aurora,</w:t>
            </w: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80" w:type="dxa"/>
            <w:vAlign w:val="bottom"/>
          </w:tcPr>
          <w:p>
            <w:pPr>
              <w:ind w:left="20"/>
              <w:spacing w:after="0"/>
              <w:rPr>
                <w:sz w:val="20"/>
                <w:szCs w:val="20"/>
                <w:color w:val="auto"/>
              </w:rPr>
            </w:pPr>
            <w:r>
              <w:rPr>
                <w:rFonts w:ascii="Arial" w:cs="Arial" w:eastAsia="Arial" w:hAnsi="Arial"/>
                <w:sz w:val="14"/>
                <w:szCs w:val="14"/>
                <w:color w:val="auto"/>
              </w:rPr>
              <w:t>Colorado</w:t>
            </w:r>
          </w:p>
        </w:tc>
        <w:tc>
          <w:tcPr>
            <w:tcW w:w="660" w:type="dxa"/>
            <w:vAlign w:val="bottom"/>
          </w:tcPr>
          <w:p>
            <w:pPr>
              <w:ind w:left="60"/>
              <w:spacing w:after="0"/>
              <w:rPr>
                <w:sz w:val="20"/>
                <w:szCs w:val="20"/>
                <w:color w:val="auto"/>
              </w:rPr>
            </w:pPr>
            <w:r>
              <w:rPr>
                <w:rFonts w:ascii="Arial" w:cs="Arial" w:eastAsia="Arial" w:hAnsi="Arial"/>
                <w:sz w:val="14"/>
                <w:szCs w:val="14"/>
                <w:color w:val="auto"/>
              </w:rPr>
              <w:t>ECO002</w:t>
            </w:r>
          </w:p>
        </w:tc>
        <w:tc>
          <w:tcPr>
            <w:tcW w:w="960" w:type="dxa"/>
            <w:vAlign w:val="bottom"/>
          </w:tcPr>
          <w:p>
            <w:pPr>
              <w:ind w:left="7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640</w:t>
            </w:r>
          </w:p>
        </w:tc>
        <w:tc>
          <w:tcPr>
            <w:tcW w:w="12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827</w:t>
            </w: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640</w:t>
            </w:r>
          </w:p>
        </w:tc>
        <w:tc>
          <w:tcPr>
            <w:tcW w:w="1200" w:type="dxa"/>
            <w:vAlign w:val="bottom"/>
            <w:gridSpan w:val="3"/>
          </w:tcPr>
          <w:p>
            <w:pPr>
              <w:jc w:val="right"/>
              <w:ind w:right="28"/>
              <w:spacing w:after="0"/>
              <w:rPr>
                <w:sz w:val="20"/>
                <w:szCs w:val="20"/>
                <w:color w:val="auto"/>
              </w:rPr>
            </w:pPr>
            <w:r>
              <w:rPr>
                <w:rFonts w:ascii="Arial" w:cs="Arial" w:eastAsia="Arial" w:hAnsi="Arial"/>
                <w:sz w:val="14"/>
                <w:szCs w:val="14"/>
                <w:color w:val="auto"/>
              </w:rPr>
              <w:t>827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1,467</w:t>
            </w:r>
          </w:p>
        </w:tc>
        <w:tc>
          <w:tcPr>
            <w:tcW w:w="2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265</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Denver,</w:t>
            </w:r>
          </w:p>
        </w:tc>
        <w:tc>
          <w:tcPr>
            <w:tcW w:w="6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Colorado</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ECO003</w:t>
            </w:r>
          </w:p>
        </w:tc>
        <w:tc>
          <w:tcPr>
            <w:tcW w:w="960" w:type="dxa"/>
            <w:vAlign w:val="bottom"/>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729</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729</w:t>
            </w:r>
          </w:p>
        </w:tc>
        <w:tc>
          <w:tcPr>
            <w:tcW w:w="120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943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1,672</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302</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780" w:type="dxa"/>
            <w:vAlign w:val="bottom"/>
          </w:tcPr>
          <w:p>
            <w:pPr>
              <w:ind w:left="20"/>
              <w:spacing w:after="0" w:line="157" w:lineRule="exact"/>
              <w:rPr>
                <w:sz w:val="20"/>
                <w:szCs w:val="20"/>
                <w:color w:val="auto"/>
              </w:rPr>
            </w:pPr>
            <w:r>
              <w:rPr>
                <w:rFonts w:ascii="Arial" w:cs="Arial" w:eastAsia="Arial" w:hAnsi="Arial"/>
                <w:sz w:val="14"/>
                <w:szCs w:val="14"/>
                <w:color w:val="auto"/>
              </w:rPr>
              <w:t>Englewood,</w:t>
            </w: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80" w:type="dxa"/>
            <w:vAlign w:val="bottom"/>
          </w:tcPr>
          <w:p>
            <w:pPr>
              <w:ind w:left="20"/>
              <w:spacing w:after="0"/>
              <w:rPr>
                <w:sz w:val="20"/>
                <w:szCs w:val="20"/>
                <w:color w:val="auto"/>
              </w:rPr>
            </w:pPr>
            <w:r>
              <w:rPr>
                <w:rFonts w:ascii="Arial" w:cs="Arial" w:eastAsia="Arial" w:hAnsi="Arial"/>
                <w:sz w:val="14"/>
                <w:szCs w:val="14"/>
                <w:color w:val="auto"/>
              </w:rPr>
              <w:t>Colorado</w:t>
            </w:r>
          </w:p>
        </w:tc>
        <w:tc>
          <w:tcPr>
            <w:tcW w:w="660" w:type="dxa"/>
            <w:vAlign w:val="bottom"/>
          </w:tcPr>
          <w:p>
            <w:pPr>
              <w:ind w:left="60"/>
              <w:spacing w:after="0"/>
              <w:rPr>
                <w:sz w:val="20"/>
                <w:szCs w:val="20"/>
                <w:color w:val="auto"/>
              </w:rPr>
            </w:pPr>
            <w:r>
              <w:rPr>
                <w:rFonts w:ascii="Arial" w:cs="Arial" w:eastAsia="Arial" w:hAnsi="Arial"/>
                <w:sz w:val="14"/>
                <w:szCs w:val="14"/>
                <w:color w:val="auto"/>
              </w:rPr>
              <w:t>ECO004</w:t>
            </w:r>
          </w:p>
        </w:tc>
        <w:tc>
          <w:tcPr>
            <w:tcW w:w="960" w:type="dxa"/>
            <w:vAlign w:val="bottom"/>
          </w:tcPr>
          <w:p>
            <w:pPr>
              <w:ind w:left="7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536</w:t>
            </w:r>
          </w:p>
        </w:tc>
        <w:tc>
          <w:tcPr>
            <w:tcW w:w="12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694</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536</w:t>
            </w:r>
          </w:p>
        </w:tc>
        <w:tc>
          <w:tcPr>
            <w:tcW w:w="1200" w:type="dxa"/>
            <w:vAlign w:val="bottom"/>
            <w:gridSpan w:val="3"/>
          </w:tcPr>
          <w:p>
            <w:pPr>
              <w:jc w:val="right"/>
              <w:ind w:right="28"/>
              <w:spacing w:after="0"/>
              <w:rPr>
                <w:sz w:val="20"/>
                <w:szCs w:val="20"/>
                <w:color w:val="auto"/>
              </w:rPr>
            </w:pPr>
            <w:r>
              <w:rPr>
                <w:rFonts w:ascii="Arial" w:cs="Arial" w:eastAsia="Arial" w:hAnsi="Arial"/>
                <w:sz w:val="14"/>
                <w:szCs w:val="14"/>
                <w:color w:val="auto"/>
              </w:rPr>
              <w:t>691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1,227</w:t>
            </w:r>
          </w:p>
        </w:tc>
        <w:tc>
          <w:tcPr>
            <w:tcW w:w="2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222</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Littleton,</w:t>
            </w:r>
          </w:p>
        </w:tc>
        <w:tc>
          <w:tcPr>
            <w:tcW w:w="6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Colorado</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ECO006</w:t>
            </w:r>
          </w:p>
        </w:tc>
        <w:tc>
          <w:tcPr>
            <w:tcW w:w="960" w:type="dxa"/>
            <w:vAlign w:val="bottom"/>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901</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w:t>
            </w:r>
          </w:p>
        </w:tc>
        <w:tc>
          <w:tcPr>
            <w:tcW w:w="120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1,159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2,060</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373</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780" w:type="dxa"/>
            <w:vAlign w:val="bottom"/>
          </w:tcPr>
          <w:p>
            <w:pPr>
              <w:ind w:left="20"/>
              <w:spacing w:after="0" w:line="157" w:lineRule="exact"/>
              <w:rPr>
                <w:sz w:val="20"/>
                <w:szCs w:val="20"/>
                <w:color w:val="auto"/>
              </w:rPr>
            </w:pPr>
            <w:r>
              <w:rPr>
                <w:rFonts w:ascii="Arial" w:cs="Arial" w:eastAsia="Arial" w:hAnsi="Arial"/>
                <w:sz w:val="14"/>
                <w:szCs w:val="14"/>
                <w:color w:val="auto"/>
              </w:rPr>
              <w:t>Milford,</w:t>
            </w: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80" w:type="dxa"/>
            <w:vAlign w:val="bottom"/>
          </w:tcPr>
          <w:p>
            <w:pPr>
              <w:ind w:left="20"/>
              <w:spacing w:after="0"/>
              <w:rPr>
                <w:sz w:val="20"/>
                <w:szCs w:val="20"/>
                <w:color w:val="auto"/>
              </w:rPr>
            </w:pPr>
            <w:r>
              <w:rPr>
                <w:rFonts w:ascii="Arial" w:cs="Arial" w:eastAsia="Arial" w:hAnsi="Arial"/>
                <w:sz w:val="14"/>
                <w:szCs w:val="14"/>
                <w:color w:val="auto"/>
              </w:rPr>
              <w:t>Connecticut</w:t>
            </w:r>
          </w:p>
        </w:tc>
        <w:tc>
          <w:tcPr>
            <w:tcW w:w="660" w:type="dxa"/>
            <w:vAlign w:val="bottom"/>
          </w:tcPr>
          <w:p>
            <w:pPr>
              <w:ind w:left="60"/>
              <w:spacing w:after="0"/>
              <w:rPr>
                <w:sz w:val="20"/>
                <w:szCs w:val="20"/>
                <w:color w:val="auto"/>
              </w:rPr>
            </w:pPr>
            <w:r>
              <w:rPr>
                <w:rFonts w:ascii="Arial" w:cs="Arial" w:eastAsia="Arial" w:hAnsi="Arial"/>
                <w:sz w:val="14"/>
                <w:szCs w:val="14"/>
                <w:color w:val="auto"/>
              </w:rPr>
              <w:t>ECT001</w:t>
            </w:r>
          </w:p>
        </w:tc>
        <w:tc>
          <w:tcPr>
            <w:tcW w:w="960" w:type="dxa"/>
            <w:vAlign w:val="bottom"/>
          </w:tcPr>
          <w:p>
            <w:pPr>
              <w:ind w:left="7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1,097</w:t>
            </w:r>
          </w:p>
        </w:tc>
        <w:tc>
          <w:tcPr>
            <w:tcW w:w="12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1,420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1,097</w:t>
            </w:r>
          </w:p>
        </w:tc>
        <w:tc>
          <w:tcPr>
            <w:tcW w:w="1200" w:type="dxa"/>
            <w:vAlign w:val="bottom"/>
            <w:gridSpan w:val="3"/>
          </w:tcPr>
          <w:p>
            <w:pPr>
              <w:jc w:val="right"/>
              <w:ind w:right="28"/>
              <w:spacing w:after="0"/>
              <w:rPr>
                <w:sz w:val="20"/>
                <w:szCs w:val="20"/>
                <w:color w:val="auto"/>
              </w:rPr>
            </w:pPr>
            <w:r>
              <w:rPr>
                <w:rFonts w:ascii="Arial" w:cs="Arial" w:eastAsia="Arial" w:hAnsi="Arial"/>
                <w:sz w:val="14"/>
                <w:szCs w:val="14"/>
                <w:color w:val="auto"/>
              </w:rPr>
              <w:t>1,413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2,510</w:t>
            </w:r>
          </w:p>
        </w:tc>
        <w:tc>
          <w:tcPr>
            <w:tcW w:w="2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455</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Wilmington,</w:t>
            </w:r>
          </w:p>
        </w:tc>
        <w:tc>
          <w:tcPr>
            <w:tcW w:w="6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EDE001</w:t>
            </w:r>
          </w:p>
        </w:tc>
        <w:tc>
          <w:tcPr>
            <w:tcW w:w="960" w:type="dxa"/>
            <w:vAlign w:val="bottom"/>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1,076</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1,390</w:t>
            </w:r>
          </w:p>
        </w:tc>
        <w:tc>
          <w:tcPr>
            <w:tcW w:w="10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1,076</w:t>
            </w:r>
          </w:p>
        </w:tc>
        <w:tc>
          <w:tcPr>
            <w:tcW w:w="120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1,393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2,469</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445</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780" w:type="dxa"/>
            <w:vAlign w:val="bottom"/>
          </w:tcPr>
          <w:p>
            <w:pPr>
              <w:ind w:left="20"/>
              <w:spacing w:after="0" w:line="157" w:lineRule="exact"/>
              <w:rPr>
                <w:sz w:val="20"/>
                <w:szCs w:val="20"/>
                <w:color w:val="auto"/>
              </w:rPr>
            </w:pPr>
            <w:r>
              <w:rPr>
                <w:rFonts w:ascii="Arial" w:cs="Arial" w:eastAsia="Arial" w:hAnsi="Arial"/>
                <w:sz w:val="14"/>
                <w:szCs w:val="14"/>
                <w:color w:val="auto"/>
                <w:w w:val="95"/>
              </w:rPr>
              <w:t>Boca Raton,</w:t>
            </w: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80" w:type="dxa"/>
            <w:vAlign w:val="bottom"/>
          </w:tcPr>
          <w:p>
            <w:pPr>
              <w:ind w:left="20"/>
              <w:spacing w:after="0"/>
              <w:rPr>
                <w:sz w:val="20"/>
                <w:szCs w:val="20"/>
                <w:color w:val="auto"/>
              </w:rPr>
            </w:pPr>
            <w:r>
              <w:rPr>
                <w:rFonts w:ascii="Arial" w:cs="Arial" w:eastAsia="Arial" w:hAnsi="Arial"/>
                <w:sz w:val="14"/>
                <w:szCs w:val="14"/>
                <w:color w:val="auto"/>
              </w:rPr>
              <w:t>Florida</w:t>
            </w:r>
          </w:p>
        </w:tc>
        <w:tc>
          <w:tcPr>
            <w:tcW w:w="660" w:type="dxa"/>
            <w:vAlign w:val="bottom"/>
          </w:tcPr>
          <w:p>
            <w:pPr>
              <w:ind w:left="60"/>
              <w:spacing w:after="0"/>
              <w:rPr>
                <w:sz w:val="20"/>
                <w:szCs w:val="20"/>
                <w:color w:val="auto"/>
              </w:rPr>
            </w:pPr>
            <w:r>
              <w:rPr>
                <w:rFonts w:ascii="Arial" w:cs="Arial" w:eastAsia="Arial" w:hAnsi="Arial"/>
                <w:sz w:val="14"/>
                <w:szCs w:val="14"/>
                <w:color w:val="auto"/>
              </w:rPr>
              <w:t>EFL001</w:t>
            </w:r>
          </w:p>
        </w:tc>
        <w:tc>
          <w:tcPr>
            <w:tcW w:w="960" w:type="dxa"/>
            <w:vAlign w:val="bottom"/>
          </w:tcPr>
          <w:p>
            <w:pPr>
              <w:ind w:left="70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41,809</w:t>
            </w: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3"/>
          </w:tcPr>
          <w:p>
            <w:pPr>
              <w:jc w:val="right"/>
              <w:ind w:right="28"/>
              <w:spacing w:after="0"/>
              <w:rPr>
                <w:sz w:val="20"/>
                <w:szCs w:val="20"/>
                <w:color w:val="auto"/>
              </w:rPr>
            </w:pPr>
            <w:r>
              <w:rPr>
                <w:rFonts w:ascii="Arial" w:cs="Arial" w:eastAsia="Arial" w:hAnsi="Arial"/>
                <w:sz w:val="14"/>
                <w:szCs w:val="14"/>
                <w:color w:val="auto"/>
              </w:rPr>
              <w:t>41,809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41,809</w:t>
            </w:r>
          </w:p>
        </w:tc>
        <w:tc>
          <w:tcPr>
            <w:tcW w:w="2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18,286</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27.0</w:t>
            </w:r>
          </w:p>
        </w:tc>
        <w:tc>
          <w:tcPr>
            <w:tcW w:w="0" w:type="dxa"/>
            <w:vAlign w:val="bottom"/>
          </w:tcPr>
          <w:p>
            <w:pPr>
              <w:spacing w:after="0"/>
              <w:rPr>
                <w:sz w:val="1"/>
                <w:szCs w:val="1"/>
                <w:color w:val="auto"/>
              </w:rPr>
            </w:pPr>
          </w:p>
        </w:tc>
      </w:tr>
      <w:tr>
        <w:trPr>
          <w:trHeight w:val="163"/>
        </w:trPr>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Boynton</w:t>
            </w:r>
          </w:p>
        </w:tc>
        <w:tc>
          <w:tcPr>
            <w:tcW w:w="6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Beach,</w:t>
            </w:r>
          </w:p>
        </w:tc>
        <w:tc>
          <w:tcPr>
            <w:tcW w:w="6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Florida</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EFL002</w:t>
            </w:r>
          </w:p>
        </w:tc>
        <w:tc>
          <w:tcPr>
            <w:tcW w:w="960" w:type="dxa"/>
            <w:vAlign w:val="bottom"/>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412</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w:t>
            </w:r>
          </w:p>
        </w:tc>
        <w:tc>
          <w:tcPr>
            <w:tcW w:w="120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529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941</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171</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780" w:type="dxa"/>
            <w:vAlign w:val="bottom"/>
          </w:tcPr>
          <w:p>
            <w:pPr>
              <w:ind w:left="20"/>
              <w:spacing w:after="0" w:line="157" w:lineRule="exact"/>
              <w:rPr>
                <w:sz w:val="20"/>
                <w:szCs w:val="20"/>
                <w:color w:val="auto"/>
              </w:rPr>
            </w:pPr>
            <w:r>
              <w:rPr>
                <w:rFonts w:ascii="Arial" w:cs="Arial" w:eastAsia="Arial" w:hAnsi="Arial"/>
                <w:sz w:val="14"/>
                <w:szCs w:val="14"/>
                <w:color w:val="auto"/>
              </w:rPr>
              <w:t>Boynton</w:t>
            </w: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80" w:type="dxa"/>
            <w:vAlign w:val="bottom"/>
          </w:tcPr>
          <w:p>
            <w:pPr>
              <w:ind w:left="20"/>
              <w:spacing w:after="0" w:line="149" w:lineRule="exact"/>
              <w:rPr>
                <w:sz w:val="20"/>
                <w:szCs w:val="20"/>
                <w:color w:val="auto"/>
              </w:rPr>
            </w:pPr>
            <w:r>
              <w:rPr>
                <w:rFonts w:ascii="Arial" w:cs="Arial" w:eastAsia="Arial" w:hAnsi="Arial"/>
                <w:sz w:val="14"/>
                <w:szCs w:val="14"/>
                <w:color w:val="auto"/>
              </w:rPr>
              <w:t>Beach,</w:t>
            </w: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780" w:type="dxa"/>
            <w:vAlign w:val="bottom"/>
          </w:tcPr>
          <w:p>
            <w:pPr>
              <w:ind w:left="20"/>
              <w:spacing w:after="0"/>
              <w:rPr>
                <w:sz w:val="20"/>
                <w:szCs w:val="20"/>
                <w:color w:val="auto"/>
              </w:rPr>
            </w:pPr>
            <w:r>
              <w:rPr>
                <w:rFonts w:ascii="Arial" w:cs="Arial" w:eastAsia="Arial" w:hAnsi="Arial"/>
                <w:sz w:val="14"/>
                <w:szCs w:val="14"/>
                <w:color w:val="auto"/>
              </w:rPr>
              <w:t>Florida</w:t>
            </w:r>
          </w:p>
        </w:tc>
        <w:tc>
          <w:tcPr>
            <w:tcW w:w="660" w:type="dxa"/>
            <w:vAlign w:val="bottom"/>
          </w:tcPr>
          <w:p>
            <w:pPr>
              <w:ind w:left="60"/>
              <w:spacing w:after="0"/>
              <w:rPr>
                <w:sz w:val="20"/>
                <w:szCs w:val="20"/>
                <w:color w:val="auto"/>
              </w:rPr>
            </w:pPr>
            <w:r>
              <w:rPr>
                <w:rFonts w:ascii="Arial" w:cs="Arial" w:eastAsia="Arial" w:hAnsi="Arial"/>
                <w:sz w:val="14"/>
                <w:szCs w:val="14"/>
                <w:color w:val="auto"/>
              </w:rPr>
              <w:t>EFL003</w:t>
            </w:r>
          </w:p>
        </w:tc>
        <w:tc>
          <w:tcPr>
            <w:tcW w:w="960" w:type="dxa"/>
            <w:vAlign w:val="bottom"/>
          </w:tcPr>
          <w:p>
            <w:pPr>
              <w:ind w:left="70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6,550</w:t>
            </w:r>
          </w:p>
        </w:tc>
        <w:tc>
          <w:tcPr>
            <w:tcW w:w="12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8"/>
              <w:spacing w:after="0"/>
              <w:rPr>
                <w:sz w:val="20"/>
                <w:szCs w:val="20"/>
                <w:color w:val="auto"/>
              </w:rPr>
            </w:pPr>
            <w:r>
              <w:rPr>
                <w:rFonts w:ascii="Arial" w:cs="Arial" w:eastAsia="Arial" w:hAnsi="Arial"/>
                <w:sz w:val="14"/>
                <w:szCs w:val="14"/>
                <w:color w:val="auto"/>
              </w:rPr>
              <w:t>17,118</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6,533</w:t>
            </w:r>
          </w:p>
        </w:tc>
        <w:tc>
          <w:tcPr>
            <w:tcW w:w="1200" w:type="dxa"/>
            <w:vAlign w:val="bottom"/>
            <w:gridSpan w:val="3"/>
          </w:tcPr>
          <w:p>
            <w:pPr>
              <w:jc w:val="right"/>
              <w:ind w:right="28"/>
              <w:spacing w:after="0"/>
              <w:rPr>
                <w:sz w:val="20"/>
                <w:szCs w:val="20"/>
                <w:color w:val="auto"/>
              </w:rPr>
            </w:pPr>
            <w:r>
              <w:rPr>
                <w:rFonts w:ascii="Arial" w:cs="Arial" w:eastAsia="Arial" w:hAnsi="Arial"/>
                <w:sz w:val="14"/>
                <w:szCs w:val="14"/>
                <w:color w:val="auto"/>
              </w:rPr>
              <w:t>17,135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23,668</w:t>
            </w:r>
          </w:p>
        </w:tc>
        <w:tc>
          <w:tcPr>
            <w:tcW w:w="2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4,138</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Bradenton,</w:t>
            </w:r>
          </w:p>
        </w:tc>
        <w:tc>
          <w:tcPr>
            <w:tcW w:w="6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Florida</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EFL004</w:t>
            </w:r>
          </w:p>
        </w:tc>
        <w:tc>
          <w:tcPr>
            <w:tcW w:w="960" w:type="dxa"/>
            <w:vAlign w:val="bottom"/>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1,067</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1,382</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1,067</w:t>
            </w:r>
          </w:p>
        </w:tc>
        <w:tc>
          <w:tcPr>
            <w:tcW w:w="120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1,382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2,449</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442</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780" w:type="dxa"/>
            <w:vAlign w:val="bottom"/>
          </w:tcPr>
          <w:p>
            <w:pPr>
              <w:ind w:left="20"/>
              <w:spacing w:after="0" w:line="157" w:lineRule="exact"/>
              <w:rPr>
                <w:sz w:val="20"/>
                <w:szCs w:val="20"/>
                <w:color w:val="auto"/>
              </w:rPr>
            </w:pPr>
            <w:r>
              <w:rPr>
                <w:rFonts w:ascii="Arial" w:cs="Arial" w:eastAsia="Arial" w:hAnsi="Arial"/>
                <w:sz w:val="14"/>
                <w:szCs w:val="14"/>
                <w:color w:val="auto"/>
              </w:rPr>
              <w:t>Davie,</w:t>
            </w: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80" w:type="dxa"/>
            <w:vAlign w:val="bottom"/>
          </w:tcPr>
          <w:p>
            <w:pPr>
              <w:ind w:left="20"/>
              <w:spacing w:after="0"/>
              <w:rPr>
                <w:sz w:val="20"/>
                <w:szCs w:val="20"/>
                <w:color w:val="auto"/>
              </w:rPr>
            </w:pPr>
            <w:r>
              <w:rPr>
                <w:rFonts w:ascii="Arial" w:cs="Arial" w:eastAsia="Arial" w:hAnsi="Arial"/>
                <w:sz w:val="14"/>
                <w:szCs w:val="14"/>
                <w:color w:val="auto"/>
              </w:rPr>
              <w:t>Florida</w:t>
            </w:r>
          </w:p>
        </w:tc>
        <w:tc>
          <w:tcPr>
            <w:tcW w:w="660" w:type="dxa"/>
            <w:vAlign w:val="bottom"/>
          </w:tcPr>
          <w:p>
            <w:pPr>
              <w:ind w:left="60"/>
              <w:spacing w:after="0"/>
              <w:rPr>
                <w:sz w:val="20"/>
                <w:szCs w:val="20"/>
                <w:color w:val="auto"/>
              </w:rPr>
            </w:pPr>
            <w:r>
              <w:rPr>
                <w:rFonts w:ascii="Arial" w:cs="Arial" w:eastAsia="Arial" w:hAnsi="Arial"/>
                <w:sz w:val="14"/>
                <w:szCs w:val="14"/>
                <w:color w:val="auto"/>
              </w:rPr>
              <w:t>EFL006</w:t>
            </w:r>
          </w:p>
        </w:tc>
        <w:tc>
          <w:tcPr>
            <w:tcW w:w="960" w:type="dxa"/>
            <w:vAlign w:val="bottom"/>
          </w:tcPr>
          <w:p>
            <w:pPr>
              <w:ind w:left="7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401</w:t>
            </w:r>
          </w:p>
        </w:tc>
        <w:tc>
          <w:tcPr>
            <w:tcW w:w="12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520</w:t>
            </w: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401</w:t>
            </w:r>
          </w:p>
        </w:tc>
        <w:tc>
          <w:tcPr>
            <w:tcW w:w="1200" w:type="dxa"/>
            <w:vAlign w:val="bottom"/>
            <w:gridSpan w:val="3"/>
          </w:tcPr>
          <w:p>
            <w:pPr>
              <w:jc w:val="right"/>
              <w:ind w:right="28"/>
              <w:spacing w:after="0"/>
              <w:rPr>
                <w:sz w:val="20"/>
                <w:szCs w:val="20"/>
                <w:color w:val="auto"/>
              </w:rPr>
            </w:pPr>
            <w:r>
              <w:rPr>
                <w:rFonts w:ascii="Arial" w:cs="Arial" w:eastAsia="Arial" w:hAnsi="Arial"/>
                <w:sz w:val="14"/>
                <w:szCs w:val="14"/>
                <w:color w:val="auto"/>
              </w:rPr>
              <w:t>520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921</w:t>
            </w:r>
          </w:p>
        </w:tc>
        <w:tc>
          <w:tcPr>
            <w:tcW w:w="2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166</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Lakeland,</w:t>
            </w:r>
          </w:p>
        </w:tc>
        <w:tc>
          <w:tcPr>
            <w:tcW w:w="6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Florida</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EFL008</w:t>
            </w:r>
          </w:p>
        </w:tc>
        <w:tc>
          <w:tcPr>
            <w:tcW w:w="960" w:type="dxa"/>
            <w:vAlign w:val="bottom"/>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282</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120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362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644</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780" w:type="dxa"/>
            <w:vAlign w:val="bottom"/>
          </w:tcPr>
          <w:p>
            <w:pPr>
              <w:ind w:left="20"/>
              <w:spacing w:after="0" w:line="157" w:lineRule="exact"/>
              <w:rPr>
                <w:sz w:val="20"/>
                <w:szCs w:val="20"/>
                <w:color w:val="auto"/>
              </w:rPr>
            </w:pPr>
            <w:r>
              <w:rPr>
                <w:rFonts w:ascii="Arial" w:cs="Arial" w:eastAsia="Arial" w:hAnsi="Arial"/>
                <w:sz w:val="14"/>
                <w:szCs w:val="14"/>
                <w:color w:val="auto"/>
              </w:rPr>
              <w:t>Leesburg,</w:t>
            </w: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80" w:type="dxa"/>
            <w:vAlign w:val="bottom"/>
          </w:tcPr>
          <w:p>
            <w:pPr>
              <w:ind w:left="20"/>
              <w:spacing w:after="0"/>
              <w:rPr>
                <w:sz w:val="20"/>
                <w:szCs w:val="20"/>
                <w:color w:val="auto"/>
              </w:rPr>
            </w:pPr>
            <w:r>
              <w:rPr>
                <w:rFonts w:ascii="Arial" w:cs="Arial" w:eastAsia="Arial" w:hAnsi="Arial"/>
                <w:sz w:val="14"/>
                <w:szCs w:val="14"/>
                <w:color w:val="auto"/>
              </w:rPr>
              <w:t>Florida</w:t>
            </w:r>
          </w:p>
        </w:tc>
        <w:tc>
          <w:tcPr>
            <w:tcW w:w="660" w:type="dxa"/>
            <w:vAlign w:val="bottom"/>
          </w:tcPr>
          <w:p>
            <w:pPr>
              <w:ind w:left="60"/>
              <w:spacing w:after="0"/>
              <w:rPr>
                <w:sz w:val="20"/>
                <w:szCs w:val="20"/>
                <w:color w:val="auto"/>
              </w:rPr>
            </w:pPr>
            <w:r>
              <w:rPr>
                <w:rFonts w:ascii="Arial" w:cs="Arial" w:eastAsia="Arial" w:hAnsi="Arial"/>
                <w:sz w:val="14"/>
                <w:szCs w:val="14"/>
                <w:color w:val="auto"/>
              </w:rPr>
              <w:t>EFL009</w:t>
            </w:r>
          </w:p>
        </w:tc>
        <w:tc>
          <w:tcPr>
            <w:tcW w:w="960" w:type="dxa"/>
            <w:vAlign w:val="bottom"/>
          </w:tcPr>
          <w:p>
            <w:pPr>
              <w:ind w:left="7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352</w:t>
            </w:r>
          </w:p>
        </w:tc>
        <w:tc>
          <w:tcPr>
            <w:tcW w:w="12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455</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352</w:t>
            </w:r>
          </w:p>
        </w:tc>
        <w:tc>
          <w:tcPr>
            <w:tcW w:w="1200" w:type="dxa"/>
            <w:vAlign w:val="bottom"/>
            <w:gridSpan w:val="3"/>
          </w:tcPr>
          <w:p>
            <w:pPr>
              <w:jc w:val="right"/>
              <w:ind w:right="28"/>
              <w:spacing w:after="0"/>
              <w:rPr>
                <w:sz w:val="20"/>
                <w:szCs w:val="20"/>
                <w:color w:val="auto"/>
              </w:rPr>
            </w:pPr>
            <w:r>
              <w:rPr>
                <w:rFonts w:ascii="Arial" w:cs="Arial" w:eastAsia="Arial" w:hAnsi="Arial"/>
                <w:sz w:val="14"/>
                <w:szCs w:val="14"/>
                <w:color w:val="auto"/>
              </w:rPr>
              <w:t>454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806</w:t>
            </w:r>
          </w:p>
        </w:tc>
        <w:tc>
          <w:tcPr>
            <w:tcW w:w="2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145</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Ocala,</w:t>
            </w:r>
          </w:p>
        </w:tc>
        <w:tc>
          <w:tcPr>
            <w:tcW w:w="6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Florida</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EFL011</w:t>
            </w:r>
          </w:p>
        </w:tc>
        <w:tc>
          <w:tcPr>
            <w:tcW w:w="960" w:type="dxa"/>
            <w:vAlign w:val="bottom"/>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437</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567</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120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567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1,004</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181</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780" w:type="dxa"/>
            <w:vAlign w:val="bottom"/>
          </w:tcPr>
          <w:p>
            <w:pPr>
              <w:ind w:left="20"/>
              <w:spacing w:after="0" w:line="157" w:lineRule="exact"/>
              <w:rPr>
                <w:sz w:val="20"/>
                <w:szCs w:val="20"/>
                <w:color w:val="auto"/>
              </w:rPr>
            </w:pPr>
            <w:r>
              <w:rPr>
                <w:rFonts w:ascii="Arial" w:cs="Arial" w:eastAsia="Arial" w:hAnsi="Arial"/>
                <w:sz w:val="14"/>
                <w:szCs w:val="14"/>
                <w:color w:val="auto"/>
              </w:rPr>
              <w:t>Ocala,</w:t>
            </w: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80" w:type="dxa"/>
            <w:vAlign w:val="bottom"/>
          </w:tcPr>
          <w:p>
            <w:pPr>
              <w:ind w:left="20"/>
              <w:spacing w:after="0"/>
              <w:rPr>
                <w:sz w:val="20"/>
                <w:szCs w:val="20"/>
                <w:color w:val="auto"/>
              </w:rPr>
            </w:pPr>
            <w:r>
              <w:rPr>
                <w:rFonts w:ascii="Arial" w:cs="Arial" w:eastAsia="Arial" w:hAnsi="Arial"/>
                <w:sz w:val="14"/>
                <w:szCs w:val="14"/>
                <w:color w:val="auto"/>
              </w:rPr>
              <w:t>Florida</w:t>
            </w:r>
          </w:p>
        </w:tc>
        <w:tc>
          <w:tcPr>
            <w:tcW w:w="660" w:type="dxa"/>
            <w:vAlign w:val="bottom"/>
          </w:tcPr>
          <w:p>
            <w:pPr>
              <w:ind w:left="60"/>
              <w:spacing w:after="0"/>
              <w:rPr>
                <w:sz w:val="20"/>
                <w:szCs w:val="20"/>
                <w:color w:val="auto"/>
              </w:rPr>
            </w:pPr>
            <w:r>
              <w:rPr>
                <w:rFonts w:ascii="Arial" w:cs="Arial" w:eastAsia="Arial" w:hAnsi="Arial"/>
                <w:sz w:val="14"/>
                <w:szCs w:val="14"/>
                <w:color w:val="auto"/>
              </w:rPr>
              <w:t>EFL012</w:t>
            </w:r>
          </w:p>
        </w:tc>
        <w:tc>
          <w:tcPr>
            <w:tcW w:w="960" w:type="dxa"/>
            <w:vAlign w:val="bottom"/>
          </w:tcPr>
          <w:p>
            <w:pPr>
              <w:ind w:left="7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532</w:t>
            </w:r>
          </w:p>
        </w:tc>
        <w:tc>
          <w:tcPr>
            <w:tcW w:w="12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689</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532</w:t>
            </w:r>
          </w:p>
        </w:tc>
        <w:tc>
          <w:tcPr>
            <w:tcW w:w="1200" w:type="dxa"/>
            <w:vAlign w:val="bottom"/>
            <w:gridSpan w:val="3"/>
          </w:tcPr>
          <w:p>
            <w:pPr>
              <w:jc w:val="right"/>
              <w:ind w:right="28"/>
              <w:spacing w:after="0"/>
              <w:rPr>
                <w:sz w:val="20"/>
                <w:szCs w:val="20"/>
                <w:color w:val="auto"/>
              </w:rPr>
            </w:pPr>
            <w:r>
              <w:rPr>
                <w:rFonts w:ascii="Arial" w:cs="Arial" w:eastAsia="Arial" w:hAnsi="Arial"/>
                <w:sz w:val="14"/>
                <w:szCs w:val="14"/>
                <w:color w:val="auto"/>
              </w:rPr>
              <w:t>688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1,220</w:t>
            </w:r>
          </w:p>
        </w:tc>
        <w:tc>
          <w:tcPr>
            <w:tcW w:w="2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220</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Orange</w:t>
            </w:r>
          </w:p>
        </w:tc>
        <w:tc>
          <w:tcPr>
            <w:tcW w:w="6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9"/>
              </w:rPr>
              <w:t>City, Florida</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EFL014</w:t>
            </w:r>
          </w:p>
        </w:tc>
        <w:tc>
          <w:tcPr>
            <w:tcW w:w="960" w:type="dxa"/>
            <w:vAlign w:val="bottom"/>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486</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629</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w:t>
            </w:r>
          </w:p>
        </w:tc>
        <w:tc>
          <w:tcPr>
            <w:tcW w:w="120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629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1,115</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201</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780" w:type="dxa"/>
            <w:vAlign w:val="bottom"/>
          </w:tcPr>
          <w:p>
            <w:pPr>
              <w:ind w:left="20"/>
              <w:spacing w:after="0" w:line="157" w:lineRule="exact"/>
              <w:rPr>
                <w:sz w:val="20"/>
                <w:szCs w:val="20"/>
                <w:color w:val="auto"/>
              </w:rPr>
            </w:pPr>
            <w:r>
              <w:rPr>
                <w:rFonts w:ascii="Arial" w:cs="Arial" w:eastAsia="Arial" w:hAnsi="Arial"/>
                <w:sz w:val="14"/>
                <w:szCs w:val="14"/>
                <w:color w:val="auto"/>
              </w:rPr>
              <w:t>Pembroke</w:t>
            </w: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80" w:type="dxa"/>
            <w:vAlign w:val="bottom"/>
          </w:tcPr>
          <w:p>
            <w:pPr>
              <w:ind w:left="20"/>
              <w:spacing w:after="0" w:line="149" w:lineRule="exact"/>
              <w:rPr>
                <w:sz w:val="20"/>
                <w:szCs w:val="20"/>
                <w:color w:val="auto"/>
              </w:rPr>
            </w:pPr>
            <w:r>
              <w:rPr>
                <w:rFonts w:ascii="Arial" w:cs="Arial" w:eastAsia="Arial" w:hAnsi="Arial"/>
                <w:sz w:val="14"/>
                <w:szCs w:val="14"/>
                <w:color w:val="auto"/>
              </w:rPr>
              <w:t>Pines,</w:t>
            </w: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780" w:type="dxa"/>
            <w:vAlign w:val="bottom"/>
          </w:tcPr>
          <w:p>
            <w:pPr>
              <w:ind w:left="20"/>
              <w:spacing w:after="0"/>
              <w:rPr>
                <w:sz w:val="20"/>
                <w:szCs w:val="20"/>
                <w:color w:val="auto"/>
              </w:rPr>
            </w:pPr>
            <w:r>
              <w:rPr>
                <w:rFonts w:ascii="Arial" w:cs="Arial" w:eastAsia="Arial" w:hAnsi="Arial"/>
                <w:sz w:val="14"/>
                <w:szCs w:val="14"/>
                <w:color w:val="auto"/>
              </w:rPr>
              <w:t>Florida</w:t>
            </w:r>
          </w:p>
        </w:tc>
        <w:tc>
          <w:tcPr>
            <w:tcW w:w="660" w:type="dxa"/>
            <w:vAlign w:val="bottom"/>
          </w:tcPr>
          <w:p>
            <w:pPr>
              <w:ind w:left="60"/>
              <w:spacing w:after="0"/>
              <w:rPr>
                <w:sz w:val="20"/>
                <w:szCs w:val="20"/>
                <w:color w:val="auto"/>
              </w:rPr>
            </w:pPr>
            <w:r>
              <w:rPr>
                <w:rFonts w:ascii="Arial" w:cs="Arial" w:eastAsia="Arial" w:hAnsi="Arial"/>
                <w:sz w:val="14"/>
                <w:szCs w:val="14"/>
                <w:color w:val="auto"/>
              </w:rPr>
              <w:t>EFL016</w:t>
            </w:r>
          </w:p>
        </w:tc>
        <w:tc>
          <w:tcPr>
            <w:tcW w:w="960" w:type="dxa"/>
            <w:vAlign w:val="bottom"/>
          </w:tcPr>
          <w:p>
            <w:pPr>
              <w:ind w:left="7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497</w:t>
            </w:r>
          </w:p>
        </w:tc>
        <w:tc>
          <w:tcPr>
            <w:tcW w:w="12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643</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497</w:t>
            </w:r>
          </w:p>
        </w:tc>
        <w:tc>
          <w:tcPr>
            <w:tcW w:w="1200" w:type="dxa"/>
            <w:vAlign w:val="bottom"/>
            <w:gridSpan w:val="3"/>
          </w:tcPr>
          <w:p>
            <w:pPr>
              <w:jc w:val="right"/>
              <w:ind w:right="28"/>
              <w:spacing w:after="0"/>
              <w:rPr>
                <w:sz w:val="20"/>
                <w:szCs w:val="20"/>
                <w:color w:val="auto"/>
              </w:rPr>
            </w:pPr>
            <w:r>
              <w:rPr>
                <w:rFonts w:ascii="Arial" w:cs="Arial" w:eastAsia="Arial" w:hAnsi="Arial"/>
                <w:sz w:val="14"/>
                <w:szCs w:val="14"/>
                <w:color w:val="auto"/>
              </w:rPr>
              <w:t>640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1,137</w:t>
            </w:r>
          </w:p>
        </w:tc>
        <w:tc>
          <w:tcPr>
            <w:tcW w:w="2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206</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Sarasota,</w:t>
            </w:r>
          </w:p>
        </w:tc>
        <w:tc>
          <w:tcPr>
            <w:tcW w:w="6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Florida</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EFL018</w:t>
            </w:r>
          </w:p>
        </w:tc>
        <w:tc>
          <w:tcPr>
            <w:tcW w:w="960" w:type="dxa"/>
            <w:vAlign w:val="bottom"/>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643</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w:t>
            </w:r>
          </w:p>
        </w:tc>
        <w:tc>
          <w:tcPr>
            <w:tcW w:w="120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828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1,471</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267</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80"/>
          </w:cols>
          <w:pgMar w:left="260" w:top="742" w:right="25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iStar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III—Real Estate and Accumulated Depreciation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2016</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0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4"/>
              </w:rPr>
              <w:t>Gross Amount Carried</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Initial Cost to Company</w:t>
            </w:r>
          </w:p>
        </w:tc>
        <w:tc>
          <w:tcPr>
            <w:tcW w:w="10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Cost</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2"/>
              </w:rPr>
              <w:t>at Close of Period</w:t>
            </w:r>
          </w:p>
        </w:tc>
        <w:tc>
          <w:tcPr>
            <w:tcW w:w="5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Building and</w:t>
            </w:r>
          </w:p>
        </w:tc>
        <w:tc>
          <w:tcPr>
            <w:tcW w:w="100" w:type="dxa"/>
            <w:vAlign w:val="bottom"/>
          </w:tcPr>
          <w:p>
            <w:pPr>
              <w:spacing w:after="0"/>
              <w:rPr>
                <w:sz w:val="11"/>
                <w:szCs w:val="11"/>
                <w:color w:val="auto"/>
              </w:rPr>
            </w:pPr>
          </w:p>
        </w:tc>
        <w:tc>
          <w:tcPr>
            <w:tcW w:w="10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7"/>
              </w:rPr>
              <w:t>Capitalized</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4"/>
              </w:rPr>
              <w:t>Building and</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Depreciable</w:t>
            </w:r>
          </w:p>
        </w:tc>
        <w:tc>
          <w:tcPr>
            <w:tcW w:w="0" w:type="dxa"/>
            <w:vAlign w:val="bottom"/>
          </w:tcPr>
          <w:p>
            <w:pPr>
              <w:spacing w:after="0"/>
              <w:rPr>
                <w:sz w:val="1"/>
                <w:szCs w:val="1"/>
                <w:color w:val="auto"/>
              </w:rPr>
            </w:pPr>
          </w:p>
        </w:tc>
      </w:tr>
      <w:tr>
        <w:trPr>
          <w:trHeight w:val="149"/>
        </w:trPr>
        <w:tc>
          <w:tcPr>
            <w:tcW w:w="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Location</w:t>
            </w:r>
          </w:p>
        </w:tc>
        <w:tc>
          <w:tcPr>
            <w:tcW w:w="640" w:type="dxa"/>
            <w:vAlign w:val="bottom"/>
          </w:tcPr>
          <w:p>
            <w:pPr>
              <w:spacing w:after="0"/>
              <w:rPr>
                <w:sz w:val="12"/>
                <w:szCs w:val="12"/>
                <w:color w:val="auto"/>
              </w:rPr>
            </w:pPr>
          </w:p>
        </w:tc>
        <w:tc>
          <w:tcPr>
            <w:tcW w:w="9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3"/>
              </w:rPr>
              <w:t>Encumbrances</w:t>
            </w:r>
          </w:p>
        </w:tc>
        <w:tc>
          <w:tcPr>
            <w:tcW w:w="420" w:type="dxa"/>
            <w:vAlign w:val="bottom"/>
          </w:tcPr>
          <w:p>
            <w:pPr>
              <w:spacing w:after="0"/>
              <w:rPr>
                <w:sz w:val="12"/>
                <w:szCs w:val="12"/>
                <w:color w:val="auto"/>
              </w:rPr>
            </w:pPr>
          </w:p>
        </w:tc>
        <w:tc>
          <w:tcPr>
            <w:tcW w:w="8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Land</w:t>
            </w: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Subsequent to</w:t>
            </w:r>
          </w:p>
        </w:tc>
        <w:tc>
          <w:tcPr>
            <w:tcW w:w="6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Land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110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192"/>
        </w:trPr>
        <w:tc>
          <w:tcPr>
            <w:tcW w:w="86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94"/>
              </w:rPr>
              <w:t>Improvements</w:t>
            </w:r>
          </w:p>
        </w:tc>
        <w:tc>
          <w:tcPr>
            <w:tcW w:w="10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Acquisition</w:t>
            </w:r>
            <w:r>
              <w:rPr>
                <w:rFonts w:ascii="Arial" w:cs="Arial" w:eastAsia="Arial" w:hAnsi="Arial"/>
                <w:sz w:val="8"/>
                <w:szCs w:val="8"/>
                <w:b w:val="1"/>
                <w:bCs w:val="1"/>
                <w:color w:val="auto"/>
                <w:w w:val="92"/>
              </w:rPr>
              <w:t>(2)</w:t>
            </w: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Improvements</w:t>
            </w:r>
          </w:p>
        </w:tc>
        <w:tc>
          <w:tcPr>
            <w:tcW w:w="780" w:type="dxa"/>
            <w:vAlign w:val="bottom"/>
            <w:gridSpan w:val="2"/>
            <w:vMerge w:val="continue"/>
          </w:tcPr>
          <w:p>
            <w:pPr>
              <w:spacing w:after="0"/>
              <w:rPr>
                <w:sz w:val="16"/>
                <w:szCs w:val="16"/>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Depreciation</w:t>
            </w: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Acquired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156"/>
        </w:trPr>
        <w:tc>
          <w:tcPr>
            <w:tcW w:w="860" w:type="dxa"/>
            <w:vAlign w:val="bottom"/>
            <w:tcBorders>
              <w:top w:val="single" w:sz="8" w:color="auto"/>
            </w:tcBorders>
          </w:tcPr>
          <w:p>
            <w:pPr>
              <w:ind w:left="20"/>
              <w:spacing w:after="0" w:line="157" w:lineRule="exact"/>
              <w:rPr>
                <w:sz w:val="20"/>
                <w:szCs w:val="20"/>
                <w:color w:val="auto"/>
              </w:rPr>
            </w:pPr>
            <w:r>
              <w:rPr>
                <w:rFonts w:ascii="Arial" w:cs="Arial" w:eastAsia="Arial" w:hAnsi="Arial"/>
                <w:sz w:val="14"/>
                <w:szCs w:val="14"/>
                <w:color w:val="auto"/>
              </w:rPr>
              <w:t>St.</w:t>
            </w:r>
          </w:p>
        </w:tc>
        <w:tc>
          <w:tcPr>
            <w:tcW w:w="64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60" w:type="dxa"/>
            <w:vAlign w:val="bottom"/>
          </w:tcPr>
          <w:p>
            <w:pPr>
              <w:ind w:left="20"/>
              <w:spacing w:after="0" w:line="149" w:lineRule="exact"/>
              <w:rPr>
                <w:sz w:val="20"/>
                <w:szCs w:val="20"/>
                <w:color w:val="auto"/>
              </w:rPr>
            </w:pPr>
            <w:r>
              <w:rPr>
                <w:rFonts w:ascii="Arial" w:cs="Arial" w:eastAsia="Arial" w:hAnsi="Arial"/>
                <w:sz w:val="14"/>
                <w:szCs w:val="14"/>
                <w:color w:val="auto"/>
              </w:rPr>
              <w:t>Petersburg,</w:t>
            </w:r>
          </w:p>
        </w:tc>
        <w:tc>
          <w:tcPr>
            <w:tcW w:w="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60" w:type="dxa"/>
            <w:vAlign w:val="bottom"/>
          </w:tcPr>
          <w:p>
            <w:pPr>
              <w:ind w:left="20"/>
              <w:spacing w:after="0"/>
              <w:rPr>
                <w:sz w:val="20"/>
                <w:szCs w:val="20"/>
                <w:color w:val="auto"/>
              </w:rPr>
            </w:pPr>
            <w:r>
              <w:rPr>
                <w:rFonts w:ascii="Arial" w:cs="Arial" w:eastAsia="Arial" w:hAnsi="Arial"/>
                <w:sz w:val="14"/>
                <w:szCs w:val="14"/>
                <w:color w:val="auto"/>
              </w:rPr>
              <w:t>Florida</w:t>
            </w:r>
          </w:p>
        </w:tc>
        <w:tc>
          <w:tcPr>
            <w:tcW w:w="640" w:type="dxa"/>
            <w:vAlign w:val="bottom"/>
          </w:tcPr>
          <w:p>
            <w:pPr>
              <w:ind w:left="60"/>
              <w:spacing w:after="0"/>
              <w:rPr>
                <w:sz w:val="20"/>
                <w:szCs w:val="20"/>
                <w:color w:val="auto"/>
              </w:rPr>
            </w:pPr>
            <w:r>
              <w:rPr>
                <w:rFonts w:ascii="Arial" w:cs="Arial" w:eastAsia="Arial" w:hAnsi="Arial"/>
                <w:sz w:val="14"/>
                <w:szCs w:val="14"/>
                <w:color w:val="auto"/>
              </w:rPr>
              <w:t>EFL019</w:t>
            </w:r>
          </w:p>
        </w:tc>
        <w:tc>
          <w:tcPr>
            <w:tcW w:w="980" w:type="dxa"/>
            <w:vAlign w:val="bottom"/>
          </w:tcPr>
          <w:p>
            <w:pPr>
              <w:ind w:left="70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4,200</w:t>
            </w:r>
          </w:p>
        </w:tc>
        <w:tc>
          <w:tcPr>
            <w:tcW w:w="10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18,272</w:t>
            </w: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4,200</w:t>
            </w:r>
          </w:p>
        </w:tc>
        <w:tc>
          <w:tcPr>
            <w:tcW w:w="1220" w:type="dxa"/>
            <w:vAlign w:val="bottom"/>
            <w:gridSpan w:val="3"/>
          </w:tcPr>
          <w:p>
            <w:pPr>
              <w:jc w:val="right"/>
              <w:ind w:right="28"/>
              <w:spacing w:after="0"/>
              <w:rPr>
                <w:sz w:val="20"/>
                <w:szCs w:val="20"/>
                <w:color w:val="auto"/>
              </w:rPr>
            </w:pPr>
            <w:r>
              <w:rPr>
                <w:rFonts w:ascii="Arial" w:cs="Arial" w:eastAsia="Arial" w:hAnsi="Arial"/>
                <w:sz w:val="14"/>
                <w:szCs w:val="14"/>
                <w:color w:val="auto"/>
              </w:rPr>
              <w:t>18,272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22,472</w:t>
            </w:r>
          </w:p>
        </w:tc>
        <w:tc>
          <w:tcPr>
            <w:tcW w:w="20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5,411</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Tampa,</w:t>
            </w:r>
          </w:p>
        </w:tc>
        <w:tc>
          <w:tcPr>
            <w:tcW w:w="6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Florida</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EFL020</w:t>
            </w:r>
          </w:p>
        </w:tc>
        <w:tc>
          <w:tcPr>
            <w:tcW w:w="980" w:type="dxa"/>
            <w:vAlign w:val="bottom"/>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551</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w:t>
            </w:r>
          </w:p>
        </w:tc>
        <w:tc>
          <w:tcPr>
            <w:tcW w:w="122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710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1,261</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228</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860" w:type="dxa"/>
            <w:vAlign w:val="bottom"/>
          </w:tcPr>
          <w:p>
            <w:pPr>
              <w:ind w:left="20"/>
              <w:spacing w:after="0" w:line="157" w:lineRule="exact"/>
              <w:rPr>
                <w:sz w:val="20"/>
                <w:szCs w:val="20"/>
                <w:color w:val="auto"/>
              </w:rPr>
            </w:pPr>
            <w:r>
              <w:rPr>
                <w:rFonts w:ascii="Arial" w:cs="Arial" w:eastAsia="Arial" w:hAnsi="Arial"/>
                <w:sz w:val="14"/>
                <w:szCs w:val="14"/>
                <w:color w:val="auto"/>
              </w:rPr>
              <w:t>Tampa,</w:t>
            </w: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60" w:type="dxa"/>
            <w:vAlign w:val="bottom"/>
          </w:tcPr>
          <w:p>
            <w:pPr>
              <w:ind w:left="20"/>
              <w:spacing w:after="0"/>
              <w:rPr>
                <w:sz w:val="20"/>
                <w:szCs w:val="20"/>
                <w:color w:val="auto"/>
              </w:rPr>
            </w:pPr>
            <w:r>
              <w:rPr>
                <w:rFonts w:ascii="Arial" w:cs="Arial" w:eastAsia="Arial" w:hAnsi="Arial"/>
                <w:sz w:val="14"/>
                <w:szCs w:val="14"/>
                <w:color w:val="auto"/>
              </w:rPr>
              <w:t>Florida</w:t>
            </w:r>
          </w:p>
        </w:tc>
        <w:tc>
          <w:tcPr>
            <w:tcW w:w="640" w:type="dxa"/>
            <w:vAlign w:val="bottom"/>
          </w:tcPr>
          <w:p>
            <w:pPr>
              <w:ind w:left="60"/>
              <w:spacing w:after="0"/>
              <w:rPr>
                <w:sz w:val="20"/>
                <w:szCs w:val="20"/>
                <w:color w:val="auto"/>
              </w:rPr>
            </w:pPr>
            <w:r>
              <w:rPr>
                <w:rFonts w:ascii="Arial" w:cs="Arial" w:eastAsia="Arial" w:hAnsi="Arial"/>
                <w:sz w:val="14"/>
                <w:szCs w:val="14"/>
                <w:color w:val="auto"/>
              </w:rPr>
              <w:t>EFL021</w:t>
            </w:r>
          </w:p>
        </w:tc>
        <w:tc>
          <w:tcPr>
            <w:tcW w:w="980" w:type="dxa"/>
            <w:vAlign w:val="bottom"/>
          </w:tcPr>
          <w:p>
            <w:pPr>
              <w:ind w:left="7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364</w:t>
            </w:r>
          </w:p>
        </w:tc>
        <w:tc>
          <w:tcPr>
            <w:tcW w:w="10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470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364</w:t>
            </w:r>
          </w:p>
        </w:tc>
        <w:tc>
          <w:tcPr>
            <w:tcW w:w="1220" w:type="dxa"/>
            <w:vAlign w:val="bottom"/>
            <w:gridSpan w:val="3"/>
          </w:tcPr>
          <w:p>
            <w:pPr>
              <w:jc w:val="right"/>
              <w:ind w:right="28"/>
              <w:spacing w:after="0"/>
              <w:rPr>
                <w:sz w:val="20"/>
                <w:szCs w:val="20"/>
                <w:color w:val="auto"/>
              </w:rPr>
            </w:pPr>
            <w:r>
              <w:rPr>
                <w:rFonts w:ascii="Arial" w:cs="Arial" w:eastAsia="Arial" w:hAnsi="Arial"/>
                <w:sz w:val="14"/>
                <w:szCs w:val="14"/>
                <w:color w:val="auto"/>
              </w:rPr>
              <w:t>468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832</w:t>
            </w:r>
          </w:p>
        </w:tc>
        <w:tc>
          <w:tcPr>
            <w:tcW w:w="20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151</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Venice,</w:t>
            </w:r>
          </w:p>
        </w:tc>
        <w:tc>
          <w:tcPr>
            <w:tcW w:w="6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Florida</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EFL022</w:t>
            </w:r>
          </w:p>
        </w:tc>
        <w:tc>
          <w:tcPr>
            <w:tcW w:w="980" w:type="dxa"/>
            <w:vAlign w:val="bottom"/>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507</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656</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w:t>
            </w:r>
          </w:p>
        </w:tc>
        <w:tc>
          <w:tcPr>
            <w:tcW w:w="122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656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1,163</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860" w:type="dxa"/>
            <w:vAlign w:val="bottom"/>
          </w:tcPr>
          <w:p>
            <w:pPr>
              <w:ind w:left="20"/>
              <w:spacing w:after="0" w:line="157" w:lineRule="exact"/>
              <w:rPr>
                <w:sz w:val="20"/>
                <w:szCs w:val="20"/>
                <w:color w:val="auto"/>
              </w:rPr>
            </w:pPr>
            <w:r>
              <w:rPr>
                <w:rFonts w:ascii="Arial" w:cs="Arial" w:eastAsia="Arial" w:hAnsi="Arial"/>
                <w:sz w:val="14"/>
                <w:szCs w:val="14"/>
                <w:color w:val="auto"/>
              </w:rPr>
              <w:t>W. Palm</w:t>
            </w: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60" w:type="dxa"/>
            <w:vAlign w:val="bottom"/>
          </w:tcPr>
          <w:p>
            <w:pPr>
              <w:ind w:left="20"/>
              <w:spacing w:after="0" w:line="149" w:lineRule="exact"/>
              <w:rPr>
                <w:sz w:val="20"/>
                <w:szCs w:val="20"/>
                <w:color w:val="auto"/>
              </w:rPr>
            </w:pPr>
            <w:r>
              <w:rPr>
                <w:rFonts w:ascii="Arial" w:cs="Arial" w:eastAsia="Arial" w:hAnsi="Arial"/>
                <w:sz w:val="14"/>
                <w:szCs w:val="14"/>
                <w:color w:val="auto"/>
              </w:rPr>
              <w:t>Beach,</w:t>
            </w:r>
          </w:p>
        </w:tc>
        <w:tc>
          <w:tcPr>
            <w:tcW w:w="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60" w:type="dxa"/>
            <w:vAlign w:val="bottom"/>
          </w:tcPr>
          <w:p>
            <w:pPr>
              <w:ind w:left="20"/>
              <w:spacing w:after="0"/>
              <w:rPr>
                <w:sz w:val="20"/>
                <w:szCs w:val="20"/>
                <w:color w:val="auto"/>
              </w:rPr>
            </w:pPr>
            <w:r>
              <w:rPr>
                <w:rFonts w:ascii="Arial" w:cs="Arial" w:eastAsia="Arial" w:hAnsi="Arial"/>
                <w:sz w:val="14"/>
                <w:szCs w:val="14"/>
                <w:color w:val="auto"/>
              </w:rPr>
              <w:t>Florida</w:t>
            </w:r>
          </w:p>
        </w:tc>
        <w:tc>
          <w:tcPr>
            <w:tcW w:w="640" w:type="dxa"/>
            <w:vAlign w:val="bottom"/>
          </w:tcPr>
          <w:p>
            <w:pPr>
              <w:ind w:left="60"/>
              <w:spacing w:after="0"/>
              <w:rPr>
                <w:sz w:val="20"/>
                <w:szCs w:val="20"/>
                <w:color w:val="auto"/>
              </w:rPr>
            </w:pPr>
            <w:r>
              <w:rPr>
                <w:rFonts w:ascii="Arial" w:cs="Arial" w:eastAsia="Arial" w:hAnsi="Arial"/>
                <w:sz w:val="14"/>
                <w:szCs w:val="14"/>
                <w:color w:val="auto"/>
              </w:rPr>
              <w:t>EFL023</w:t>
            </w:r>
          </w:p>
        </w:tc>
        <w:tc>
          <w:tcPr>
            <w:tcW w:w="980" w:type="dxa"/>
            <w:vAlign w:val="bottom"/>
          </w:tcPr>
          <w:p>
            <w:pPr>
              <w:ind w:left="70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19,337</w:t>
            </w: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3"/>
          </w:tcPr>
          <w:p>
            <w:pPr>
              <w:jc w:val="right"/>
              <w:ind w:right="28"/>
              <w:spacing w:after="0"/>
              <w:rPr>
                <w:sz w:val="20"/>
                <w:szCs w:val="20"/>
                <w:color w:val="auto"/>
              </w:rPr>
            </w:pPr>
            <w:r>
              <w:rPr>
                <w:rFonts w:ascii="Arial" w:cs="Arial" w:eastAsia="Arial" w:hAnsi="Arial"/>
                <w:sz w:val="14"/>
                <w:szCs w:val="14"/>
                <w:color w:val="auto"/>
              </w:rPr>
              <w:t>19,337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19,337</w:t>
            </w:r>
          </w:p>
        </w:tc>
        <w:tc>
          <w:tcPr>
            <w:tcW w:w="20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5,726</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Atlanta,</w:t>
            </w:r>
          </w:p>
        </w:tc>
        <w:tc>
          <w:tcPr>
            <w:tcW w:w="6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Georgia</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EGA001</w:t>
            </w:r>
          </w:p>
        </w:tc>
        <w:tc>
          <w:tcPr>
            <w:tcW w:w="980" w:type="dxa"/>
            <w:vAlign w:val="bottom"/>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510</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w:t>
            </w:r>
          </w:p>
        </w:tc>
        <w:tc>
          <w:tcPr>
            <w:tcW w:w="122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656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1,166</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211</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860" w:type="dxa"/>
            <w:vAlign w:val="bottom"/>
          </w:tcPr>
          <w:p>
            <w:pPr>
              <w:ind w:left="20"/>
              <w:spacing w:after="0" w:line="157" w:lineRule="exact"/>
              <w:rPr>
                <w:sz w:val="20"/>
                <w:szCs w:val="20"/>
                <w:color w:val="auto"/>
              </w:rPr>
            </w:pPr>
            <w:r>
              <w:rPr>
                <w:rFonts w:ascii="Arial" w:cs="Arial" w:eastAsia="Arial" w:hAnsi="Arial"/>
                <w:sz w:val="14"/>
                <w:szCs w:val="14"/>
                <w:color w:val="auto"/>
              </w:rPr>
              <w:t>Augusta,</w:t>
            </w: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60" w:type="dxa"/>
            <w:vAlign w:val="bottom"/>
          </w:tcPr>
          <w:p>
            <w:pPr>
              <w:ind w:left="20"/>
              <w:spacing w:after="0"/>
              <w:rPr>
                <w:sz w:val="20"/>
                <w:szCs w:val="20"/>
                <w:color w:val="auto"/>
              </w:rPr>
            </w:pPr>
            <w:r>
              <w:rPr>
                <w:rFonts w:ascii="Arial" w:cs="Arial" w:eastAsia="Arial" w:hAnsi="Arial"/>
                <w:sz w:val="14"/>
                <w:szCs w:val="14"/>
                <w:color w:val="auto"/>
              </w:rPr>
              <w:t>Georgia</w:t>
            </w:r>
          </w:p>
        </w:tc>
        <w:tc>
          <w:tcPr>
            <w:tcW w:w="640" w:type="dxa"/>
            <w:vAlign w:val="bottom"/>
          </w:tcPr>
          <w:p>
            <w:pPr>
              <w:ind w:left="60"/>
              <w:spacing w:after="0"/>
              <w:rPr>
                <w:sz w:val="20"/>
                <w:szCs w:val="20"/>
                <w:color w:val="auto"/>
              </w:rPr>
            </w:pPr>
            <w:r>
              <w:rPr>
                <w:rFonts w:ascii="Arial" w:cs="Arial" w:eastAsia="Arial" w:hAnsi="Arial"/>
                <w:sz w:val="14"/>
                <w:szCs w:val="14"/>
                <w:color w:val="auto"/>
              </w:rPr>
              <w:t>EGA002</w:t>
            </w:r>
          </w:p>
        </w:tc>
        <w:tc>
          <w:tcPr>
            <w:tcW w:w="980" w:type="dxa"/>
            <w:vAlign w:val="bottom"/>
          </w:tcPr>
          <w:p>
            <w:pPr>
              <w:ind w:left="7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286</w:t>
            </w:r>
          </w:p>
        </w:tc>
        <w:tc>
          <w:tcPr>
            <w:tcW w:w="10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371</w:t>
            </w: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286</w:t>
            </w:r>
          </w:p>
        </w:tc>
        <w:tc>
          <w:tcPr>
            <w:tcW w:w="1220" w:type="dxa"/>
            <w:vAlign w:val="bottom"/>
            <w:gridSpan w:val="3"/>
          </w:tcPr>
          <w:p>
            <w:pPr>
              <w:jc w:val="right"/>
              <w:ind w:right="28"/>
              <w:spacing w:after="0"/>
              <w:rPr>
                <w:sz w:val="20"/>
                <w:szCs w:val="20"/>
                <w:color w:val="auto"/>
              </w:rPr>
            </w:pPr>
            <w:r>
              <w:rPr>
                <w:rFonts w:ascii="Arial" w:cs="Arial" w:eastAsia="Arial" w:hAnsi="Arial"/>
                <w:sz w:val="14"/>
                <w:szCs w:val="14"/>
                <w:color w:val="auto"/>
              </w:rPr>
              <w:t>371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657</w:t>
            </w:r>
          </w:p>
        </w:tc>
        <w:tc>
          <w:tcPr>
            <w:tcW w:w="20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Conyers,</w:t>
            </w:r>
          </w:p>
        </w:tc>
        <w:tc>
          <w:tcPr>
            <w:tcW w:w="6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Georgia</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EGA003</w:t>
            </w:r>
          </w:p>
        </w:tc>
        <w:tc>
          <w:tcPr>
            <w:tcW w:w="980" w:type="dxa"/>
            <w:vAlign w:val="bottom"/>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474</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w:t>
            </w:r>
          </w:p>
        </w:tc>
        <w:tc>
          <w:tcPr>
            <w:tcW w:w="122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612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1,086</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196</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860" w:type="dxa"/>
            <w:vAlign w:val="bottom"/>
          </w:tcPr>
          <w:p>
            <w:pPr>
              <w:ind w:left="20"/>
              <w:spacing w:after="0" w:line="157" w:lineRule="exact"/>
              <w:rPr>
                <w:sz w:val="20"/>
                <w:szCs w:val="20"/>
                <w:color w:val="auto"/>
              </w:rPr>
            </w:pPr>
            <w:r>
              <w:rPr>
                <w:rFonts w:ascii="Arial" w:cs="Arial" w:eastAsia="Arial" w:hAnsi="Arial"/>
                <w:sz w:val="14"/>
                <w:szCs w:val="14"/>
                <w:color w:val="auto"/>
              </w:rPr>
              <w:t>Marietta,</w:t>
            </w: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60" w:type="dxa"/>
            <w:vAlign w:val="bottom"/>
          </w:tcPr>
          <w:p>
            <w:pPr>
              <w:ind w:left="20"/>
              <w:spacing w:after="0"/>
              <w:rPr>
                <w:sz w:val="20"/>
                <w:szCs w:val="20"/>
                <w:color w:val="auto"/>
              </w:rPr>
            </w:pPr>
            <w:r>
              <w:rPr>
                <w:rFonts w:ascii="Arial" w:cs="Arial" w:eastAsia="Arial" w:hAnsi="Arial"/>
                <w:sz w:val="14"/>
                <w:szCs w:val="14"/>
                <w:color w:val="auto"/>
              </w:rPr>
              <w:t>Georgia</w:t>
            </w:r>
          </w:p>
        </w:tc>
        <w:tc>
          <w:tcPr>
            <w:tcW w:w="640" w:type="dxa"/>
            <w:vAlign w:val="bottom"/>
          </w:tcPr>
          <w:p>
            <w:pPr>
              <w:ind w:left="60"/>
              <w:spacing w:after="0"/>
              <w:rPr>
                <w:sz w:val="20"/>
                <w:szCs w:val="20"/>
                <w:color w:val="auto"/>
              </w:rPr>
            </w:pPr>
            <w:r>
              <w:rPr>
                <w:rFonts w:ascii="Arial" w:cs="Arial" w:eastAsia="Arial" w:hAnsi="Arial"/>
                <w:sz w:val="14"/>
                <w:szCs w:val="14"/>
                <w:color w:val="auto"/>
              </w:rPr>
              <w:t>EGA004</w:t>
            </w:r>
          </w:p>
        </w:tc>
        <w:tc>
          <w:tcPr>
            <w:tcW w:w="980" w:type="dxa"/>
            <w:vAlign w:val="bottom"/>
          </w:tcPr>
          <w:p>
            <w:pPr>
              <w:ind w:left="7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581</w:t>
            </w:r>
          </w:p>
        </w:tc>
        <w:tc>
          <w:tcPr>
            <w:tcW w:w="10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752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581</w:t>
            </w:r>
          </w:p>
        </w:tc>
        <w:tc>
          <w:tcPr>
            <w:tcW w:w="1220" w:type="dxa"/>
            <w:vAlign w:val="bottom"/>
            <w:gridSpan w:val="3"/>
          </w:tcPr>
          <w:p>
            <w:pPr>
              <w:jc w:val="right"/>
              <w:ind w:right="28"/>
              <w:spacing w:after="0"/>
              <w:rPr>
                <w:sz w:val="20"/>
                <w:szCs w:val="20"/>
                <w:color w:val="auto"/>
              </w:rPr>
            </w:pPr>
            <w:r>
              <w:rPr>
                <w:rFonts w:ascii="Arial" w:cs="Arial" w:eastAsia="Arial" w:hAnsi="Arial"/>
                <w:sz w:val="14"/>
                <w:szCs w:val="14"/>
                <w:color w:val="auto"/>
              </w:rPr>
              <w:t>751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1,332</w:t>
            </w:r>
          </w:p>
        </w:tc>
        <w:tc>
          <w:tcPr>
            <w:tcW w:w="20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240</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Savannah,</w:t>
            </w:r>
          </w:p>
        </w:tc>
        <w:tc>
          <w:tcPr>
            <w:tcW w:w="6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Georgia</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EGA005</w:t>
            </w:r>
          </w:p>
        </w:tc>
        <w:tc>
          <w:tcPr>
            <w:tcW w:w="980" w:type="dxa"/>
            <w:vAlign w:val="bottom"/>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718</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w:t>
            </w:r>
          </w:p>
        </w:tc>
        <w:tc>
          <w:tcPr>
            <w:tcW w:w="122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925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1,643</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298</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860" w:type="dxa"/>
            <w:vAlign w:val="bottom"/>
          </w:tcPr>
          <w:p>
            <w:pPr>
              <w:ind w:left="20"/>
              <w:spacing w:after="0" w:line="157" w:lineRule="exact"/>
              <w:rPr>
                <w:sz w:val="20"/>
                <w:szCs w:val="20"/>
                <w:color w:val="auto"/>
              </w:rPr>
            </w:pPr>
            <w:r>
              <w:rPr>
                <w:rFonts w:ascii="Arial" w:cs="Arial" w:eastAsia="Arial" w:hAnsi="Arial"/>
                <w:sz w:val="14"/>
                <w:szCs w:val="14"/>
                <w:color w:val="auto"/>
              </w:rPr>
              <w:t>Woodstock,</w:t>
            </w: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60" w:type="dxa"/>
            <w:vAlign w:val="bottom"/>
          </w:tcPr>
          <w:p>
            <w:pPr>
              <w:ind w:left="20"/>
              <w:spacing w:after="0"/>
              <w:rPr>
                <w:sz w:val="20"/>
                <w:szCs w:val="20"/>
                <w:color w:val="auto"/>
              </w:rPr>
            </w:pPr>
            <w:r>
              <w:rPr>
                <w:rFonts w:ascii="Arial" w:cs="Arial" w:eastAsia="Arial" w:hAnsi="Arial"/>
                <w:sz w:val="14"/>
                <w:szCs w:val="14"/>
                <w:color w:val="auto"/>
              </w:rPr>
              <w:t>Georgia</w:t>
            </w:r>
          </w:p>
        </w:tc>
        <w:tc>
          <w:tcPr>
            <w:tcW w:w="640" w:type="dxa"/>
            <w:vAlign w:val="bottom"/>
          </w:tcPr>
          <w:p>
            <w:pPr>
              <w:ind w:left="60"/>
              <w:spacing w:after="0"/>
              <w:rPr>
                <w:sz w:val="20"/>
                <w:szCs w:val="20"/>
                <w:color w:val="auto"/>
              </w:rPr>
            </w:pPr>
            <w:r>
              <w:rPr>
                <w:rFonts w:ascii="Arial" w:cs="Arial" w:eastAsia="Arial" w:hAnsi="Arial"/>
                <w:sz w:val="14"/>
                <w:szCs w:val="14"/>
                <w:color w:val="auto"/>
              </w:rPr>
              <w:t>EGA007</w:t>
            </w:r>
          </w:p>
        </w:tc>
        <w:tc>
          <w:tcPr>
            <w:tcW w:w="980" w:type="dxa"/>
            <w:vAlign w:val="bottom"/>
          </w:tcPr>
          <w:p>
            <w:pPr>
              <w:ind w:left="7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502</w:t>
            </w:r>
          </w:p>
        </w:tc>
        <w:tc>
          <w:tcPr>
            <w:tcW w:w="10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651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502</w:t>
            </w:r>
          </w:p>
        </w:tc>
        <w:tc>
          <w:tcPr>
            <w:tcW w:w="1220" w:type="dxa"/>
            <w:vAlign w:val="bottom"/>
            <w:gridSpan w:val="3"/>
          </w:tcPr>
          <w:p>
            <w:pPr>
              <w:jc w:val="right"/>
              <w:ind w:right="28"/>
              <w:spacing w:after="0"/>
              <w:rPr>
                <w:sz w:val="20"/>
                <w:szCs w:val="20"/>
                <w:color w:val="auto"/>
              </w:rPr>
            </w:pPr>
            <w:r>
              <w:rPr>
                <w:rFonts w:ascii="Arial" w:cs="Arial" w:eastAsia="Arial" w:hAnsi="Arial"/>
                <w:sz w:val="14"/>
                <w:szCs w:val="14"/>
                <w:color w:val="auto"/>
              </w:rPr>
              <w:t>647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1,149</w:t>
            </w:r>
          </w:p>
        </w:tc>
        <w:tc>
          <w:tcPr>
            <w:tcW w:w="20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208</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Bloomington,</w:t>
            </w:r>
          </w:p>
        </w:tc>
        <w:tc>
          <w:tcPr>
            <w:tcW w:w="6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Illinois</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EIL001</w:t>
            </w:r>
          </w:p>
        </w:tc>
        <w:tc>
          <w:tcPr>
            <w:tcW w:w="980" w:type="dxa"/>
            <w:vAlign w:val="bottom"/>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335</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434</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122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434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769</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860" w:type="dxa"/>
            <w:vAlign w:val="bottom"/>
          </w:tcPr>
          <w:p>
            <w:pPr>
              <w:ind w:left="20"/>
              <w:spacing w:after="0" w:line="157" w:lineRule="exact"/>
              <w:rPr>
                <w:sz w:val="20"/>
                <w:szCs w:val="20"/>
                <w:color w:val="auto"/>
              </w:rPr>
            </w:pPr>
            <w:r>
              <w:rPr>
                <w:rFonts w:ascii="Arial" w:cs="Arial" w:eastAsia="Arial" w:hAnsi="Arial"/>
                <w:sz w:val="14"/>
                <w:szCs w:val="14"/>
                <w:color w:val="auto"/>
              </w:rPr>
              <w:t>Bolingbrook,</w:t>
            </w: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60" w:type="dxa"/>
            <w:vAlign w:val="bottom"/>
          </w:tcPr>
          <w:p>
            <w:pPr>
              <w:ind w:left="20"/>
              <w:spacing w:after="0"/>
              <w:rPr>
                <w:sz w:val="20"/>
                <w:szCs w:val="20"/>
                <w:color w:val="auto"/>
              </w:rPr>
            </w:pPr>
            <w:r>
              <w:rPr>
                <w:rFonts w:ascii="Arial" w:cs="Arial" w:eastAsia="Arial" w:hAnsi="Arial"/>
                <w:sz w:val="14"/>
                <w:szCs w:val="14"/>
                <w:color w:val="auto"/>
              </w:rPr>
              <w:t>Illinois</w:t>
            </w:r>
          </w:p>
        </w:tc>
        <w:tc>
          <w:tcPr>
            <w:tcW w:w="640" w:type="dxa"/>
            <w:vAlign w:val="bottom"/>
          </w:tcPr>
          <w:p>
            <w:pPr>
              <w:ind w:left="60"/>
              <w:spacing w:after="0"/>
              <w:rPr>
                <w:sz w:val="20"/>
                <w:szCs w:val="20"/>
                <w:color w:val="auto"/>
              </w:rPr>
            </w:pPr>
            <w:r>
              <w:rPr>
                <w:rFonts w:ascii="Arial" w:cs="Arial" w:eastAsia="Arial" w:hAnsi="Arial"/>
                <w:sz w:val="14"/>
                <w:szCs w:val="14"/>
                <w:color w:val="auto"/>
              </w:rPr>
              <w:t>EIL002</w:t>
            </w:r>
          </w:p>
        </w:tc>
        <w:tc>
          <w:tcPr>
            <w:tcW w:w="980" w:type="dxa"/>
            <w:vAlign w:val="bottom"/>
          </w:tcPr>
          <w:p>
            <w:pPr>
              <w:ind w:left="7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481</w:t>
            </w:r>
          </w:p>
        </w:tc>
        <w:tc>
          <w:tcPr>
            <w:tcW w:w="10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622</w:t>
            </w: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481</w:t>
            </w:r>
          </w:p>
        </w:tc>
        <w:tc>
          <w:tcPr>
            <w:tcW w:w="1220" w:type="dxa"/>
            <w:vAlign w:val="bottom"/>
            <w:gridSpan w:val="3"/>
          </w:tcPr>
          <w:p>
            <w:pPr>
              <w:jc w:val="right"/>
              <w:ind w:right="28"/>
              <w:spacing w:after="0"/>
              <w:rPr>
                <w:sz w:val="20"/>
                <w:szCs w:val="20"/>
                <w:color w:val="auto"/>
              </w:rPr>
            </w:pPr>
            <w:r>
              <w:rPr>
                <w:rFonts w:ascii="Arial" w:cs="Arial" w:eastAsia="Arial" w:hAnsi="Arial"/>
                <w:sz w:val="14"/>
                <w:szCs w:val="14"/>
                <w:color w:val="auto"/>
              </w:rPr>
              <w:t>622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1,103</w:t>
            </w:r>
          </w:p>
        </w:tc>
        <w:tc>
          <w:tcPr>
            <w:tcW w:w="20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199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Chicago,</w:t>
            </w:r>
          </w:p>
        </w:tc>
        <w:tc>
          <w:tcPr>
            <w:tcW w:w="6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Illinois</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EIL003</w:t>
            </w:r>
          </w:p>
        </w:tc>
        <w:tc>
          <w:tcPr>
            <w:tcW w:w="980" w:type="dxa"/>
            <w:vAlign w:val="bottom"/>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8,803</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w:t>
            </w: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30,479</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8,803</w:t>
            </w:r>
          </w:p>
        </w:tc>
        <w:tc>
          <w:tcPr>
            <w:tcW w:w="122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30,536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39,339</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7,111</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2006</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860" w:type="dxa"/>
            <w:vAlign w:val="bottom"/>
          </w:tcPr>
          <w:p>
            <w:pPr>
              <w:ind w:left="20"/>
              <w:spacing w:after="0" w:line="157" w:lineRule="exact"/>
              <w:rPr>
                <w:sz w:val="20"/>
                <w:szCs w:val="20"/>
                <w:color w:val="auto"/>
              </w:rPr>
            </w:pPr>
            <w:r>
              <w:rPr>
                <w:rFonts w:ascii="Arial" w:cs="Arial" w:eastAsia="Arial" w:hAnsi="Arial"/>
                <w:sz w:val="14"/>
                <w:szCs w:val="14"/>
                <w:color w:val="auto"/>
              </w:rPr>
              <w:t>Lyons,</w:t>
            </w: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60" w:type="dxa"/>
            <w:vAlign w:val="bottom"/>
          </w:tcPr>
          <w:p>
            <w:pPr>
              <w:ind w:left="20"/>
              <w:spacing w:after="0"/>
              <w:rPr>
                <w:sz w:val="20"/>
                <w:szCs w:val="20"/>
                <w:color w:val="auto"/>
              </w:rPr>
            </w:pPr>
            <w:r>
              <w:rPr>
                <w:rFonts w:ascii="Arial" w:cs="Arial" w:eastAsia="Arial" w:hAnsi="Arial"/>
                <w:sz w:val="14"/>
                <w:szCs w:val="14"/>
                <w:color w:val="auto"/>
              </w:rPr>
              <w:t>Illinois</w:t>
            </w:r>
          </w:p>
        </w:tc>
        <w:tc>
          <w:tcPr>
            <w:tcW w:w="640" w:type="dxa"/>
            <w:vAlign w:val="bottom"/>
          </w:tcPr>
          <w:p>
            <w:pPr>
              <w:ind w:left="60"/>
              <w:spacing w:after="0"/>
              <w:rPr>
                <w:sz w:val="20"/>
                <w:szCs w:val="20"/>
                <w:color w:val="auto"/>
              </w:rPr>
            </w:pPr>
            <w:r>
              <w:rPr>
                <w:rFonts w:ascii="Arial" w:cs="Arial" w:eastAsia="Arial" w:hAnsi="Arial"/>
                <w:sz w:val="14"/>
                <w:szCs w:val="14"/>
                <w:color w:val="auto"/>
              </w:rPr>
              <w:t>EIL004</w:t>
            </w:r>
          </w:p>
        </w:tc>
        <w:tc>
          <w:tcPr>
            <w:tcW w:w="980" w:type="dxa"/>
            <w:vAlign w:val="bottom"/>
          </w:tcPr>
          <w:p>
            <w:pPr>
              <w:ind w:left="7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433</w:t>
            </w:r>
          </w:p>
        </w:tc>
        <w:tc>
          <w:tcPr>
            <w:tcW w:w="10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560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433</w:t>
            </w:r>
          </w:p>
        </w:tc>
        <w:tc>
          <w:tcPr>
            <w:tcW w:w="1220" w:type="dxa"/>
            <w:vAlign w:val="bottom"/>
            <w:gridSpan w:val="3"/>
          </w:tcPr>
          <w:p>
            <w:pPr>
              <w:jc w:val="right"/>
              <w:ind w:right="28"/>
              <w:spacing w:after="0"/>
              <w:rPr>
                <w:sz w:val="20"/>
                <w:szCs w:val="20"/>
                <w:color w:val="auto"/>
              </w:rPr>
            </w:pPr>
            <w:r>
              <w:rPr>
                <w:rFonts w:ascii="Arial" w:cs="Arial" w:eastAsia="Arial" w:hAnsi="Arial"/>
                <w:sz w:val="14"/>
                <w:szCs w:val="14"/>
                <w:color w:val="auto"/>
              </w:rPr>
              <w:t>557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990</w:t>
            </w:r>
          </w:p>
        </w:tc>
        <w:tc>
          <w:tcPr>
            <w:tcW w:w="20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Springfield,</w:t>
            </w:r>
          </w:p>
        </w:tc>
        <w:tc>
          <w:tcPr>
            <w:tcW w:w="6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Illinois</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EIL005</w:t>
            </w:r>
          </w:p>
        </w:tc>
        <w:tc>
          <w:tcPr>
            <w:tcW w:w="980" w:type="dxa"/>
            <w:vAlign w:val="bottom"/>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431</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w:t>
            </w:r>
          </w:p>
        </w:tc>
        <w:tc>
          <w:tcPr>
            <w:tcW w:w="122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554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985</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178</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860" w:type="dxa"/>
            <w:vAlign w:val="bottom"/>
          </w:tcPr>
          <w:p>
            <w:pPr>
              <w:ind w:left="20"/>
              <w:spacing w:after="0" w:line="157" w:lineRule="exact"/>
              <w:rPr>
                <w:sz w:val="20"/>
                <w:szCs w:val="20"/>
                <w:color w:val="auto"/>
              </w:rPr>
            </w:pPr>
            <w:r>
              <w:rPr>
                <w:rFonts w:ascii="Arial" w:cs="Arial" w:eastAsia="Arial" w:hAnsi="Arial"/>
                <w:sz w:val="14"/>
                <w:szCs w:val="14"/>
                <w:color w:val="auto"/>
              </w:rPr>
              <w:t>Evansville,</w:t>
            </w: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60" w:type="dxa"/>
            <w:vAlign w:val="bottom"/>
          </w:tcPr>
          <w:p>
            <w:pPr>
              <w:ind w:left="20"/>
              <w:spacing w:after="0"/>
              <w:rPr>
                <w:sz w:val="20"/>
                <w:szCs w:val="20"/>
                <w:color w:val="auto"/>
              </w:rPr>
            </w:pPr>
            <w:r>
              <w:rPr>
                <w:rFonts w:ascii="Arial" w:cs="Arial" w:eastAsia="Arial" w:hAnsi="Arial"/>
                <w:sz w:val="14"/>
                <w:szCs w:val="14"/>
                <w:color w:val="auto"/>
              </w:rPr>
              <w:t>Indiana</w:t>
            </w:r>
          </w:p>
        </w:tc>
        <w:tc>
          <w:tcPr>
            <w:tcW w:w="640" w:type="dxa"/>
            <w:vAlign w:val="bottom"/>
          </w:tcPr>
          <w:p>
            <w:pPr>
              <w:ind w:left="60"/>
              <w:spacing w:after="0"/>
              <w:rPr>
                <w:sz w:val="20"/>
                <w:szCs w:val="20"/>
                <w:color w:val="auto"/>
              </w:rPr>
            </w:pPr>
            <w:r>
              <w:rPr>
                <w:rFonts w:ascii="Arial" w:cs="Arial" w:eastAsia="Arial" w:hAnsi="Arial"/>
                <w:sz w:val="14"/>
                <w:szCs w:val="14"/>
                <w:color w:val="auto"/>
              </w:rPr>
              <w:t>EIN001</w:t>
            </w:r>
          </w:p>
        </w:tc>
        <w:tc>
          <w:tcPr>
            <w:tcW w:w="980" w:type="dxa"/>
            <w:vAlign w:val="bottom"/>
          </w:tcPr>
          <w:p>
            <w:pPr>
              <w:ind w:left="7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542</w:t>
            </w:r>
          </w:p>
        </w:tc>
        <w:tc>
          <w:tcPr>
            <w:tcW w:w="10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701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542</w:t>
            </w:r>
          </w:p>
        </w:tc>
        <w:tc>
          <w:tcPr>
            <w:tcW w:w="1220" w:type="dxa"/>
            <w:vAlign w:val="bottom"/>
            <w:gridSpan w:val="3"/>
          </w:tcPr>
          <w:p>
            <w:pPr>
              <w:jc w:val="right"/>
              <w:ind w:right="28"/>
              <w:spacing w:after="0"/>
              <w:rPr>
                <w:sz w:val="20"/>
                <w:szCs w:val="20"/>
                <w:color w:val="auto"/>
              </w:rPr>
            </w:pPr>
            <w:r>
              <w:rPr>
                <w:rFonts w:ascii="Arial" w:cs="Arial" w:eastAsia="Arial" w:hAnsi="Arial"/>
                <w:sz w:val="14"/>
                <w:szCs w:val="14"/>
                <w:color w:val="auto"/>
              </w:rPr>
              <w:t>697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1,239</w:t>
            </w:r>
          </w:p>
        </w:tc>
        <w:tc>
          <w:tcPr>
            <w:tcW w:w="20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225</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Louisville,</w:t>
            </w:r>
          </w:p>
        </w:tc>
        <w:tc>
          <w:tcPr>
            <w:tcW w:w="6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Kentucky</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EKY001</w:t>
            </w:r>
          </w:p>
        </w:tc>
        <w:tc>
          <w:tcPr>
            <w:tcW w:w="980" w:type="dxa"/>
            <w:vAlign w:val="bottom"/>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417</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539</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w:t>
            </w:r>
          </w:p>
        </w:tc>
        <w:tc>
          <w:tcPr>
            <w:tcW w:w="122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539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956</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172</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860" w:type="dxa"/>
            <w:vAlign w:val="bottom"/>
          </w:tcPr>
          <w:p>
            <w:pPr>
              <w:ind w:left="20"/>
              <w:spacing w:after="0" w:line="157" w:lineRule="exact"/>
              <w:rPr>
                <w:sz w:val="20"/>
                <w:szCs w:val="20"/>
                <w:color w:val="auto"/>
              </w:rPr>
            </w:pPr>
            <w:r>
              <w:rPr>
                <w:rFonts w:ascii="Arial" w:cs="Arial" w:eastAsia="Arial" w:hAnsi="Arial"/>
                <w:sz w:val="14"/>
                <w:szCs w:val="14"/>
                <w:color w:val="auto"/>
              </w:rPr>
              <w:t>Louisville,</w:t>
            </w: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60" w:type="dxa"/>
            <w:vAlign w:val="bottom"/>
          </w:tcPr>
          <w:p>
            <w:pPr>
              <w:ind w:left="20"/>
              <w:spacing w:after="0"/>
              <w:rPr>
                <w:sz w:val="20"/>
                <w:szCs w:val="20"/>
                <w:color w:val="auto"/>
              </w:rPr>
            </w:pPr>
            <w:r>
              <w:rPr>
                <w:rFonts w:ascii="Arial" w:cs="Arial" w:eastAsia="Arial" w:hAnsi="Arial"/>
                <w:sz w:val="14"/>
                <w:szCs w:val="14"/>
                <w:color w:val="auto"/>
              </w:rPr>
              <w:t>Kentucky</w:t>
            </w:r>
          </w:p>
        </w:tc>
        <w:tc>
          <w:tcPr>
            <w:tcW w:w="640" w:type="dxa"/>
            <w:vAlign w:val="bottom"/>
          </w:tcPr>
          <w:p>
            <w:pPr>
              <w:ind w:left="60"/>
              <w:spacing w:after="0"/>
              <w:rPr>
                <w:sz w:val="20"/>
                <w:szCs w:val="20"/>
                <w:color w:val="auto"/>
              </w:rPr>
            </w:pPr>
            <w:r>
              <w:rPr>
                <w:rFonts w:ascii="Arial" w:cs="Arial" w:eastAsia="Arial" w:hAnsi="Arial"/>
                <w:sz w:val="14"/>
                <w:szCs w:val="14"/>
                <w:color w:val="auto"/>
              </w:rPr>
              <w:t>EKY002</w:t>
            </w:r>
          </w:p>
        </w:tc>
        <w:tc>
          <w:tcPr>
            <w:tcW w:w="980" w:type="dxa"/>
            <w:vAlign w:val="bottom"/>
          </w:tcPr>
          <w:p>
            <w:pPr>
              <w:ind w:left="7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365</w:t>
            </w:r>
          </w:p>
        </w:tc>
        <w:tc>
          <w:tcPr>
            <w:tcW w:w="10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473</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365</w:t>
            </w:r>
          </w:p>
        </w:tc>
        <w:tc>
          <w:tcPr>
            <w:tcW w:w="1220" w:type="dxa"/>
            <w:vAlign w:val="bottom"/>
            <w:gridSpan w:val="3"/>
          </w:tcPr>
          <w:p>
            <w:pPr>
              <w:jc w:val="right"/>
              <w:ind w:right="28"/>
              <w:spacing w:after="0"/>
              <w:rPr>
                <w:sz w:val="20"/>
                <w:szCs w:val="20"/>
                <w:color w:val="auto"/>
              </w:rPr>
            </w:pPr>
            <w:r>
              <w:rPr>
                <w:rFonts w:ascii="Arial" w:cs="Arial" w:eastAsia="Arial" w:hAnsi="Arial"/>
                <w:sz w:val="14"/>
                <w:szCs w:val="14"/>
                <w:color w:val="auto"/>
              </w:rPr>
              <w:t>471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836</w:t>
            </w:r>
          </w:p>
        </w:tc>
        <w:tc>
          <w:tcPr>
            <w:tcW w:w="20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151</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Baltimore,</w:t>
            </w:r>
          </w:p>
        </w:tc>
        <w:tc>
          <w:tcPr>
            <w:tcW w:w="6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Maryland</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EMD001</w:t>
            </w:r>
          </w:p>
        </w:tc>
        <w:tc>
          <w:tcPr>
            <w:tcW w:w="980" w:type="dxa"/>
            <w:vAlign w:val="bottom"/>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428</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w:t>
            </w:r>
          </w:p>
        </w:tc>
        <w:tc>
          <w:tcPr>
            <w:tcW w:w="122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553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981</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177</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860" w:type="dxa"/>
            <w:vAlign w:val="bottom"/>
          </w:tcPr>
          <w:p>
            <w:pPr>
              <w:ind w:left="20"/>
              <w:spacing w:after="0" w:line="157" w:lineRule="exact"/>
              <w:rPr>
                <w:sz w:val="20"/>
                <w:szCs w:val="20"/>
                <w:color w:val="auto"/>
              </w:rPr>
            </w:pPr>
            <w:r>
              <w:rPr>
                <w:rFonts w:ascii="Arial" w:cs="Arial" w:eastAsia="Arial" w:hAnsi="Arial"/>
                <w:sz w:val="14"/>
                <w:szCs w:val="14"/>
                <w:color w:val="auto"/>
              </w:rPr>
              <w:t>Baltimore,</w:t>
            </w: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60" w:type="dxa"/>
            <w:vAlign w:val="bottom"/>
          </w:tcPr>
          <w:p>
            <w:pPr>
              <w:ind w:left="20"/>
              <w:spacing w:after="0"/>
              <w:rPr>
                <w:sz w:val="20"/>
                <w:szCs w:val="20"/>
                <w:color w:val="auto"/>
              </w:rPr>
            </w:pPr>
            <w:r>
              <w:rPr>
                <w:rFonts w:ascii="Arial" w:cs="Arial" w:eastAsia="Arial" w:hAnsi="Arial"/>
                <w:sz w:val="14"/>
                <w:szCs w:val="14"/>
                <w:color w:val="auto"/>
              </w:rPr>
              <w:t>Maryland</w:t>
            </w:r>
          </w:p>
        </w:tc>
        <w:tc>
          <w:tcPr>
            <w:tcW w:w="640" w:type="dxa"/>
            <w:vAlign w:val="bottom"/>
          </w:tcPr>
          <w:p>
            <w:pPr>
              <w:ind w:left="60"/>
              <w:spacing w:after="0"/>
              <w:rPr>
                <w:sz w:val="20"/>
                <w:szCs w:val="20"/>
                <w:color w:val="auto"/>
              </w:rPr>
            </w:pPr>
            <w:r>
              <w:rPr>
                <w:rFonts w:ascii="Arial" w:cs="Arial" w:eastAsia="Arial" w:hAnsi="Arial"/>
                <w:sz w:val="14"/>
                <w:szCs w:val="14"/>
                <w:color w:val="auto"/>
              </w:rPr>
              <w:t>EMD002</w:t>
            </w:r>
          </w:p>
        </w:tc>
        <w:tc>
          <w:tcPr>
            <w:tcW w:w="980" w:type="dxa"/>
            <w:vAlign w:val="bottom"/>
          </w:tcPr>
          <w:p>
            <w:pPr>
              <w:ind w:left="7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575</w:t>
            </w:r>
          </w:p>
        </w:tc>
        <w:tc>
          <w:tcPr>
            <w:tcW w:w="10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745</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575</w:t>
            </w:r>
          </w:p>
        </w:tc>
        <w:tc>
          <w:tcPr>
            <w:tcW w:w="1220" w:type="dxa"/>
            <w:vAlign w:val="bottom"/>
            <w:gridSpan w:val="3"/>
          </w:tcPr>
          <w:p>
            <w:pPr>
              <w:jc w:val="right"/>
              <w:ind w:right="28"/>
              <w:spacing w:after="0"/>
              <w:rPr>
                <w:sz w:val="20"/>
                <w:szCs w:val="20"/>
                <w:color w:val="auto"/>
              </w:rPr>
            </w:pPr>
            <w:r>
              <w:rPr>
                <w:rFonts w:ascii="Arial" w:cs="Arial" w:eastAsia="Arial" w:hAnsi="Arial"/>
                <w:sz w:val="14"/>
                <w:szCs w:val="14"/>
                <w:color w:val="auto"/>
              </w:rPr>
              <w:t>744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1,319</w:t>
            </w:r>
          </w:p>
        </w:tc>
        <w:tc>
          <w:tcPr>
            <w:tcW w:w="20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238</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Baltimore,</w:t>
            </w:r>
          </w:p>
        </w:tc>
        <w:tc>
          <w:tcPr>
            <w:tcW w:w="6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Maryland</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EMD003</w:t>
            </w:r>
          </w:p>
        </w:tc>
        <w:tc>
          <w:tcPr>
            <w:tcW w:w="980" w:type="dxa"/>
            <w:vAlign w:val="bottom"/>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362</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w:t>
            </w:r>
          </w:p>
        </w:tc>
        <w:tc>
          <w:tcPr>
            <w:tcW w:w="122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466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828</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860" w:type="dxa"/>
            <w:vAlign w:val="bottom"/>
          </w:tcPr>
          <w:p>
            <w:pPr>
              <w:ind w:left="20"/>
              <w:spacing w:after="0" w:line="157" w:lineRule="exact"/>
              <w:rPr>
                <w:sz w:val="20"/>
                <w:szCs w:val="20"/>
                <w:color w:val="auto"/>
              </w:rPr>
            </w:pPr>
            <w:r>
              <w:rPr>
                <w:rFonts w:ascii="Arial" w:cs="Arial" w:eastAsia="Arial" w:hAnsi="Arial"/>
                <w:sz w:val="14"/>
                <w:szCs w:val="14"/>
                <w:color w:val="auto"/>
                <w:w w:val="96"/>
              </w:rPr>
              <w:t>Gaithersburg,</w:t>
            </w: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860" w:type="dxa"/>
            <w:vAlign w:val="bottom"/>
          </w:tcPr>
          <w:p>
            <w:pPr>
              <w:ind w:left="20"/>
              <w:spacing w:after="0"/>
              <w:rPr>
                <w:sz w:val="20"/>
                <w:szCs w:val="20"/>
                <w:color w:val="auto"/>
              </w:rPr>
            </w:pPr>
            <w:r>
              <w:rPr>
                <w:rFonts w:ascii="Arial" w:cs="Arial" w:eastAsia="Arial" w:hAnsi="Arial"/>
                <w:sz w:val="14"/>
                <w:szCs w:val="14"/>
                <w:color w:val="auto"/>
              </w:rPr>
              <w:t>Maryland</w:t>
            </w:r>
          </w:p>
        </w:tc>
        <w:tc>
          <w:tcPr>
            <w:tcW w:w="640" w:type="dxa"/>
            <w:vAlign w:val="bottom"/>
          </w:tcPr>
          <w:p>
            <w:pPr>
              <w:ind w:left="60"/>
              <w:spacing w:after="0"/>
              <w:rPr>
                <w:sz w:val="20"/>
                <w:szCs w:val="20"/>
                <w:color w:val="auto"/>
              </w:rPr>
            </w:pPr>
            <w:r>
              <w:rPr>
                <w:rFonts w:ascii="Arial" w:cs="Arial" w:eastAsia="Arial" w:hAnsi="Arial"/>
                <w:sz w:val="14"/>
                <w:szCs w:val="14"/>
                <w:color w:val="auto"/>
              </w:rPr>
              <w:t>EMD004</w:t>
            </w:r>
          </w:p>
        </w:tc>
        <w:tc>
          <w:tcPr>
            <w:tcW w:w="980" w:type="dxa"/>
            <w:vAlign w:val="bottom"/>
          </w:tcPr>
          <w:p>
            <w:pPr>
              <w:ind w:left="7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884</w:t>
            </w:r>
          </w:p>
        </w:tc>
        <w:tc>
          <w:tcPr>
            <w:tcW w:w="100" w:type="dxa"/>
            <w:vAlign w:val="bottom"/>
          </w:tcPr>
          <w:p>
            <w:pPr>
              <w:spacing w:after="0"/>
              <w:rPr>
                <w:sz w:val="15"/>
                <w:szCs w:val="15"/>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1,145</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884</w:t>
            </w:r>
          </w:p>
        </w:tc>
        <w:tc>
          <w:tcPr>
            <w:tcW w:w="1220" w:type="dxa"/>
            <w:vAlign w:val="bottom"/>
            <w:gridSpan w:val="3"/>
          </w:tcPr>
          <w:p>
            <w:pPr>
              <w:jc w:val="right"/>
              <w:ind w:right="28"/>
              <w:spacing w:after="0"/>
              <w:rPr>
                <w:sz w:val="20"/>
                <w:szCs w:val="20"/>
                <w:color w:val="auto"/>
              </w:rPr>
            </w:pPr>
            <w:r>
              <w:rPr>
                <w:rFonts w:ascii="Arial" w:cs="Arial" w:eastAsia="Arial" w:hAnsi="Arial"/>
                <w:sz w:val="14"/>
                <w:szCs w:val="14"/>
                <w:color w:val="auto"/>
              </w:rPr>
              <w:t>1,139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2,023</w:t>
            </w:r>
          </w:p>
        </w:tc>
        <w:tc>
          <w:tcPr>
            <w:tcW w:w="20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367</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80"/>
          </w:cols>
          <w:pgMar w:left="260" w:top="742" w:right="25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iStar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III—Real Estate and Accumulated Depreciation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2016</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0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4"/>
              </w:rPr>
              <w:t>Gross Amount Carried</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Initial Cost to Company</w:t>
            </w:r>
          </w:p>
        </w:tc>
        <w:tc>
          <w:tcPr>
            <w:tcW w:w="12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Cost</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2"/>
              </w:rPr>
              <w:t>at Close of Period</w:t>
            </w:r>
          </w:p>
        </w:tc>
        <w:tc>
          <w:tcPr>
            <w:tcW w:w="5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Building and</w:t>
            </w:r>
          </w:p>
        </w:tc>
        <w:tc>
          <w:tcPr>
            <w:tcW w:w="120" w:type="dxa"/>
            <w:vAlign w:val="bottom"/>
          </w:tcPr>
          <w:p>
            <w:pPr>
              <w:spacing w:after="0"/>
              <w:rPr>
                <w:sz w:val="11"/>
                <w:szCs w:val="11"/>
                <w:color w:val="auto"/>
              </w:rPr>
            </w:pPr>
          </w:p>
        </w:tc>
        <w:tc>
          <w:tcPr>
            <w:tcW w:w="10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4"/>
              </w:rPr>
              <w:t>Capitalized</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4"/>
              </w:rPr>
              <w:t>Building and</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Depreciable</w:t>
            </w:r>
          </w:p>
        </w:tc>
        <w:tc>
          <w:tcPr>
            <w:tcW w:w="0" w:type="dxa"/>
            <w:vAlign w:val="bottom"/>
          </w:tcPr>
          <w:p>
            <w:pPr>
              <w:spacing w:after="0"/>
              <w:rPr>
                <w:sz w:val="1"/>
                <w:szCs w:val="1"/>
                <w:color w:val="auto"/>
              </w:rPr>
            </w:pPr>
          </w:p>
        </w:tc>
      </w:tr>
      <w:tr>
        <w:trPr>
          <w:trHeight w:val="149"/>
        </w:trPr>
        <w:tc>
          <w:tcPr>
            <w:tcW w:w="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Location</w:t>
            </w:r>
          </w:p>
        </w:tc>
        <w:tc>
          <w:tcPr>
            <w:tcW w:w="640" w:type="dxa"/>
            <w:vAlign w:val="bottom"/>
          </w:tcPr>
          <w:p>
            <w:pPr>
              <w:spacing w:after="0"/>
              <w:rPr>
                <w:sz w:val="12"/>
                <w:szCs w:val="12"/>
                <w:color w:val="auto"/>
              </w:rPr>
            </w:pPr>
          </w:p>
        </w:tc>
        <w:tc>
          <w:tcPr>
            <w:tcW w:w="9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3"/>
              </w:rPr>
              <w:t>Encumbrances</w:t>
            </w:r>
          </w:p>
        </w:tc>
        <w:tc>
          <w:tcPr>
            <w:tcW w:w="420" w:type="dxa"/>
            <w:vAlign w:val="bottom"/>
          </w:tcPr>
          <w:p>
            <w:pPr>
              <w:spacing w:after="0"/>
              <w:rPr>
                <w:sz w:val="12"/>
                <w:szCs w:val="12"/>
                <w:color w:val="auto"/>
              </w:rPr>
            </w:pPr>
          </w:p>
        </w:tc>
        <w:tc>
          <w:tcPr>
            <w:tcW w:w="8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Land</w:t>
            </w: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Subsequent to</w:t>
            </w:r>
          </w:p>
        </w:tc>
        <w:tc>
          <w:tcPr>
            <w:tcW w:w="6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Land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10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192"/>
        </w:trPr>
        <w:tc>
          <w:tcPr>
            <w:tcW w:w="90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94"/>
              </w:rPr>
              <w:t>Improvements</w:t>
            </w:r>
          </w:p>
        </w:tc>
        <w:tc>
          <w:tcPr>
            <w:tcW w:w="12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Acquisition</w:t>
            </w:r>
            <w:r>
              <w:rPr>
                <w:rFonts w:ascii="Arial" w:cs="Arial" w:eastAsia="Arial" w:hAnsi="Arial"/>
                <w:sz w:val="8"/>
                <w:szCs w:val="8"/>
                <w:b w:val="1"/>
                <w:bCs w:val="1"/>
                <w:color w:val="auto"/>
                <w:w w:val="95"/>
              </w:rPr>
              <w:t>(2)</w:t>
            </w: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Improvements</w:t>
            </w:r>
          </w:p>
        </w:tc>
        <w:tc>
          <w:tcPr>
            <w:tcW w:w="780" w:type="dxa"/>
            <w:vAlign w:val="bottom"/>
            <w:gridSpan w:val="2"/>
            <w:vMerge w:val="continue"/>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Depreciation</w:t>
            </w: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Acquired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156"/>
        </w:trPr>
        <w:tc>
          <w:tcPr>
            <w:tcW w:w="900" w:type="dxa"/>
            <w:vAlign w:val="bottom"/>
            <w:tcBorders>
              <w:top w:val="single" w:sz="8" w:color="auto"/>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Hyattsville,</w:t>
            </w:r>
          </w:p>
        </w:tc>
        <w:tc>
          <w:tcPr>
            <w:tcW w:w="64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Maryland</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EMD006</w:t>
            </w:r>
          </w:p>
        </w:tc>
        <w:tc>
          <w:tcPr>
            <w:tcW w:w="980" w:type="dxa"/>
            <w:vAlign w:val="bottom"/>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399</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122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515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914</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900" w:type="dxa"/>
            <w:vAlign w:val="bottom"/>
          </w:tcPr>
          <w:p>
            <w:pPr>
              <w:ind w:left="20"/>
              <w:spacing w:after="0" w:line="157" w:lineRule="exact"/>
              <w:rPr>
                <w:sz w:val="20"/>
                <w:szCs w:val="20"/>
                <w:color w:val="auto"/>
              </w:rPr>
            </w:pPr>
            <w:r>
              <w:rPr>
                <w:rFonts w:ascii="Arial" w:cs="Arial" w:eastAsia="Arial" w:hAnsi="Arial"/>
                <w:sz w:val="14"/>
                <w:szCs w:val="14"/>
                <w:color w:val="auto"/>
              </w:rPr>
              <w:t>Laurel,</w:t>
            </w: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00" w:type="dxa"/>
            <w:vAlign w:val="bottom"/>
          </w:tcPr>
          <w:p>
            <w:pPr>
              <w:ind w:left="20"/>
              <w:spacing w:after="0"/>
              <w:rPr>
                <w:sz w:val="20"/>
                <w:szCs w:val="20"/>
                <w:color w:val="auto"/>
              </w:rPr>
            </w:pPr>
            <w:r>
              <w:rPr>
                <w:rFonts w:ascii="Arial" w:cs="Arial" w:eastAsia="Arial" w:hAnsi="Arial"/>
                <w:sz w:val="14"/>
                <w:szCs w:val="14"/>
                <w:color w:val="auto"/>
              </w:rPr>
              <w:t>Maryland</w:t>
            </w:r>
          </w:p>
        </w:tc>
        <w:tc>
          <w:tcPr>
            <w:tcW w:w="640" w:type="dxa"/>
            <w:vAlign w:val="bottom"/>
          </w:tcPr>
          <w:p>
            <w:pPr>
              <w:ind w:left="60"/>
              <w:spacing w:after="0"/>
              <w:rPr>
                <w:sz w:val="20"/>
                <w:szCs w:val="20"/>
                <w:color w:val="auto"/>
              </w:rPr>
            </w:pPr>
            <w:r>
              <w:rPr>
                <w:rFonts w:ascii="Arial" w:cs="Arial" w:eastAsia="Arial" w:hAnsi="Arial"/>
                <w:sz w:val="14"/>
                <w:szCs w:val="14"/>
                <w:color w:val="auto"/>
              </w:rPr>
              <w:t>EMD007</w:t>
            </w:r>
          </w:p>
        </w:tc>
        <w:tc>
          <w:tcPr>
            <w:tcW w:w="980" w:type="dxa"/>
            <w:vAlign w:val="bottom"/>
          </w:tcPr>
          <w:p>
            <w:pPr>
              <w:ind w:left="7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649</w:t>
            </w:r>
          </w:p>
        </w:tc>
        <w:tc>
          <w:tcPr>
            <w:tcW w:w="12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839</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649</w:t>
            </w:r>
          </w:p>
        </w:tc>
        <w:tc>
          <w:tcPr>
            <w:tcW w:w="1220" w:type="dxa"/>
            <w:vAlign w:val="bottom"/>
            <w:gridSpan w:val="3"/>
          </w:tcPr>
          <w:p>
            <w:pPr>
              <w:jc w:val="right"/>
              <w:ind w:right="28"/>
              <w:spacing w:after="0"/>
              <w:rPr>
                <w:sz w:val="20"/>
                <w:szCs w:val="20"/>
                <w:color w:val="auto"/>
              </w:rPr>
            </w:pPr>
            <w:r>
              <w:rPr>
                <w:rFonts w:ascii="Arial" w:cs="Arial" w:eastAsia="Arial" w:hAnsi="Arial"/>
                <w:sz w:val="14"/>
                <w:szCs w:val="14"/>
                <w:color w:val="auto"/>
              </w:rPr>
              <w:t>834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1,483</w:t>
            </w:r>
          </w:p>
        </w:tc>
        <w:tc>
          <w:tcPr>
            <w:tcW w:w="2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269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Linthicum,</w:t>
            </w:r>
          </w:p>
        </w:tc>
        <w:tc>
          <w:tcPr>
            <w:tcW w:w="6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Maryland</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EMD008</w:t>
            </w:r>
          </w:p>
        </w:tc>
        <w:tc>
          <w:tcPr>
            <w:tcW w:w="980" w:type="dxa"/>
            <w:vAlign w:val="bottom"/>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366</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122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471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837</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900" w:type="dxa"/>
            <w:vAlign w:val="bottom"/>
          </w:tcPr>
          <w:p>
            <w:pPr>
              <w:ind w:left="20"/>
              <w:spacing w:after="0" w:line="157" w:lineRule="exact"/>
              <w:rPr>
                <w:sz w:val="20"/>
                <w:szCs w:val="20"/>
                <w:color w:val="auto"/>
              </w:rPr>
            </w:pPr>
            <w:r>
              <w:rPr>
                <w:rFonts w:ascii="Arial" w:cs="Arial" w:eastAsia="Arial" w:hAnsi="Arial"/>
                <w:sz w:val="14"/>
                <w:szCs w:val="14"/>
                <w:color w:val="auto"/>
              </w:rPr>
              <w:t>Pikesville,</w:t>
            </w: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00" w:type="dxa"/>
            <w:vAlign w:val="bottom"/>
          </w:tcPr>
          <w:p>
            <w:pPr>
              <w:ind w:left="20"/>
              <w:spacing w:after="0"/>
              <w:rPr>
                <w:sz w:val="20"/>
                <w:szCs w:val="20"/>
                <w:color w:val="auto"/>
              </w:rPr>
            </w:pPr>
            <w:r>
              <w:rPr>
                <w:rFonts w:ascii="Arial" w:cs="Arial" w:eastAsia="Arial" w:hAnsi="Arial"/>
                <w:sz w:val="14"/>
                <w:szCs w:val="14"/>
                <w:color w:val="auto"/>
              </w:rPr>
              <w:t>Maryland</w:t>
            </w:r>
          </w:p>
        </w:tc>
        <w:tc>
          <w:tcPr>
            <w:tcW w:w="640" w:type="dxa"/>
            <w:vAlign w:val="bottom"/>
          </w:tcPr>
          <w:p>
            <w:pPr>
              <w:ind w:left="60"/>
              <w:spacing w:after="0"/>
              <w:rPr>
                <w:sz w:val="20"/>
                <w:szCs w:val="20"/>
                <w:color w:val="auto"/>
              </w:rPr>
            </w:pPr>
            <w:r>
              <w:rPr>
                <w:rFonts w:ascii="Arial" w:cs="Arial" w:eastAsia="Arial" w:hAnsi="Arial"/>
                <w:sz w:val="14"/>
                <w:szCs w:val="14"/>
                <w:color w:val="auto"/>
              </w:rPr>
              <w:t>EMD009</w:t>
            </w:r>
          </w:p>
        </w:tc>
        <w:tc>
          <w:tcPr>
            <w:tcW w:w="980" w:type="dxa"/>
            <w:vAlign w:val="bottom"/>
          </w:tcPr>
          <w:p>
            <w:pPr>
              <w:ind w:left="7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398</w:t>
            </w:r>
          </w:p>
        </w:tc>
        <w:tc>
          <w:tcPr>
            <w:tcW w:w="12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516</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398</w:t>
            </w:r>
          </w:p>
        </w:tc>
        <w:tc>
          <w:tcPr>
            <w:tcW w:w="1220" w:type="dxa"/>
            <w:vAlign w:val="bottom"/>
            <w:gridSpan w:val="3"/>
          </w:tcPr>
          <w:p>
            <w:pPr>
              <w:jc w:val="right"/>
              <w:ind w:right="28"/>
              <w:spacing w:after="0"/>
              <w:rPr>
                <w:sz w:val="20"/>
                <w:szCs w:val="20"/>
                <w:color w:val="auto"/>
              </w:rPr>
            </w:pPr>
            <w:r>
              <w:rPr>
                <w:rFonts w:ascii="Arial" w:cs="Arial" w:eastAsia="Arial" w:hAnsi="Arial"/>
                <w:sz w:val="14"/>
                <w:szCs w:val="14"/>
                <w:color w:val="auto"/>
              </w:rPr>
              <w:t>513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911</w:t>
            </w:r>
          </w:p>
        </w:tc>
        <w:tc>
          <w:tcPr>
            <w:tcW w:w="2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165</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Timonium,</w:t>
            </w:r>
          </w:p>
        </w:tc>
        <w:tc>
          <w:tcPr>
            <w:tcW w:w="6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Maryland</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EMD011</w:t>
            </w:r>
          </w:p>
        </w:tc>
        <w:tc>
          <w:tcPr>
            <w:tcW w:w="980" w:type="dxa"/>
            <w:vAlign w:val="bottom"/>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1,126</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1,126</w:t>
            </w:r>
          </w:p>
        </w:tc>
        <w:tc>
          <w:tcPr>
            <w:tcW w:w="122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1,457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2,583</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466</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900" w:type="dxa"/>
            <w:vAlign w:val="bottom"/>
          </w:tcPr>
          <w:p>
            <w:pPr>
              <w:ind w:left="20"/>
              <w:spacing w:after="0" w:line="157" w:lineRule="exact"/>
              <w:rPr>
                <w:sz w:val="20"/>
                <w:szCs w:val="20"/>
                <w:color w:val="auto"/>
              </w:rPr>
            </w:pPr>
            <w:r>
              <w:rPr>
                <w:rFonts w:ascii="Arial" w:cs="Arial" w:eastAsia="Arial" w:hAnsi="Arial"/>
                <w:sz w:val="14"/>
                <w:szCs w:val="14"/>
                <w:color w:val="auto"/>
              </w:rPr>
              <w:t>Auburn,</w:t>
            </w: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00" w:type="dxa"/>
            <w:vAlign w:val="bottom"/>
          </w:tcPr>
          <w:p>
            <w:pPr>
              <w:ind w:left="20"/>
              <w:spacing w:after="0"/>
              <w:rPr>
                <w:sz w:val="20"/>
                <w:szCs w:val="20"/>
                <w:color w:val="auto"/>
              </w:rPr>
            </w:pPr>
            <w:r>
              <w:rPr>
                <w:rFonts w:ascii="Arial" w:cs="Arial" w:eastAsia="Arial" w:hAnsi="Arial"/>
                <w:sz w:val="14"/>
                <w:szCs w:val="14"/>
                <w:color w:val="auto"/>
                <w:w w:val="92"/>
              </w:rPr>
              <w:t>Massachusetts</w:t>
            </w:r>
          </w:p>
        </w:tc>
        <w:tc>
          <w:tcPr>
            <w:tcW w:w="640" w:type="dxa"/>
            <w:vAlign w:val="bottom"/>
          </w:tcPr>
          <w:p>
            <w:pPr>
              <w:ind w:left="60"/>
              <w:spacing w:after="0"/>
              <w:rPr>
                <w:sz w:val="20"/>
                <w:szCs w:val="20"/>
                <w:color w:val="auto"/>
              </w:rPr>
            </w:pPr>
            <w:r>
              <w:rPr>
                <w:rFonts w:ascii="Arial" w:cs="Arial" w:eastAsia="Arial" w:hAnsi="Arial"/>
                <w:sz w:val="14"/>
                <w:szCs w:val="14"/>
                <w:color w:val="auto"/>
              </w:rPr>
              <w:t>EMA001</w:t>
            </w:r>
          </w:p>
        </w:tc>
        <w:tc>
          <w:tcPr>
            <w:tcW w:w="980" w:type="dxa"/>
            <w:vAlign w:val="bottom"/>
          </w:tcPr>
          <w:p>
            <w:pPr>
              <w:ind w:left="7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523</w:t>
            </w:r>
          </w:p>
        </w:tc>
        <w:tc>
          <w:tcPr>
            <w:tcW w:w="12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678</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523</w:t>
            </w:r>
          </w:p>
        </w:tc>
        <w:tc>
          <w:tcPr>
            <w:tcW w:w="1220" w:type="dxa"/>
            <w:vAlign w:val="bottom"/>
            <w:gridSpan w:val="3"/>
          </w:tcPr>
          <w:p>
            <w:pPr>
              <w:jc w:val="right"/>
              <w:ind w:right="28"/>
              <w:spacing w:after="0"/>
              <w:rPr>
                <w:sz w:val="20"/>
                <w:szCs w:val="20"/>
                <w:color w:val="auto"/>
              </w:rPr>
            </w:pPr>
            <w:r>
              <w:rPr>
                <w:rFonts w:ascii="Arial" w:cs="Arial" w:eastAsia="Arial" w:hAnsi="Arial"/>
                <w:sz w:val="14"/>
                <w:szCs w:val="14"/>
                <w:color w:val="auto"/>
              </w:rPr>
              <w:t>674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1,197</w:t>
            </w:r>
          </w:p>
        </w:tc>
        <w:tc>
          <w:tcPr>
            <w:tcW w:w="2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217</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Chicopee,</w:t>
            </w:r>
          </w:p>
        </w:tc>
        <w:tc>
          <w:tcPr>
            <w:tcW w:w="6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2"/>
              </w:rPr>
              <w:t>Massachusetts</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EMA002</w:t>
            </w:r>
          </w:p>
        </w:tc>
        <w:tc>
          <w:tcPr>
            <w:tcW w:w="980" w:type="dxa"/>
            <w:vAlign w:val="bottom"/>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548</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w:t>
            </w:r>
          </w:p>
        </w:tc>
        <w:tc>
          <w:tcPr>
            <w:tcW w:w="122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710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1,258</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227</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900" w:type="dxa"/>
            <w:vAlign w:val="bottom"/>
          </w:tcPr>
          <w:p>
            <w:pPr>
              <w:ind w:left="20"/>
              <w:spacing w:after="0" w:line="157" w:lineRule="exact"/>
              <w:rPr>
                <w:sz w:val="20"/>
                <w:szCs w:val="20"/>
                <w:color w:val="auto"/>
              </w:rPr>
            </w:pPr>
            <w:r>
              <w:rPr>
                <w:rFonts w:ascii="Arial" w:cs="Arial" w:eastAsia="Arial" w:hAnsi="Arial"/>
                <w:sz w:val="14"/>
                <w:szCs w:val="14"/>
                <w:color w:val="auto"/>
              </w:rPr>
              <w:t>Somerset,</w:t>
            </w: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00" w:type="dxa"/>
            <w:vAlign w:val="bottom"/>
          </w:tcPr>
          <w:p>
            <w:pPr>
              <w:ind w:left="20"/>
              <w:spacing w:after="0"/>
              <w:rPr>
                <w:sz w:val="20"/>
                <w:szCs w:val="20"/>
                <w:color w:val="auto"/>
              </w:rPr>
            </w:pPr>
            <w:r>
              <w:rPr>
                <w:rFonts w:ascii="Arial" w:cs="Arial" w:eastAsia="Arial" w:hAnsi="Arial"/>
                <w:sz w:val="14"/>
                <w:szCs w:val="14"/>
                <w:color w:val="auto"/>
                <w:w w:val="92"/>
              </w:rPr>
              <w:t>Massachusetts</w:t>
            </w:r>
          </w:p>
        </w:tc>
        <w:tc>
          <w:tcPr>
            <w:tcW w:w="640" w:type="dxa"/>
            <w:vAlign w:val="bottom"/>
          </w:tcPr>
          <w:p>
            <w:pPr>
              <w:ind w:left="60"/>
              <w:spacing w:after="0"/>
              <w:rPr>
                <w:sz w:val="20"/>
                <w:szCs w:val="20"/>
                <w:color w:val="auto"/>
              </w:rPr>
            </w:pPr>
            <w:r>
              <w:rPr>
                <w:rFonts w:ascii="Arial" w:cs="Arial" w:eastAsia="Arial" w:hAnsi="Arial"/>
                <w:sz w:val="14"/>
                <w:szCs w:val="14"/>
                <w:color w:val="auto"/>
              </w:rPr>
              <w:t>EMA003</w:t>
            </w:r>
          </w:p>
        </w:tc>
        <w:tc>
          <w:tcPr>
            <w:tcW w:w="980" w:type="dxa"/>
            <w:vAlign w:val="bottom"/>
          </w:tcPr>
          <w:p>
            <w:pPr>
              <w:ind w:left="7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519</w:t>
            </w:r>
          </w:p>
        </w:tc>
        <w:tc>
          <w:tcPr>
            <w:tcW w:w="12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672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519</w:t>
            </w:r>
          </w:p>
        </w:tc>
        <w:tc>
          <w:tcPr>
            <w:tcW w:w="1220" w:type="dxa"/>
            <w:vAlign w:val="bottom"/>
            <w:gridSpan w:val="3"/>
          </w:tcPr>
          <w:p>
            <w:pPr>
              <w:jc w:val="right"/>
              <w:ind w:right="28"/>
              <w:spacing w:after="0"/>
              <w:rPr>
                <w:sz w:val="20"/>
                <w:szCs w:val="20"/>
                <w:color w:val="auto"/>
              </w:rPr>
            </w:pPr>
            <w:r>
              <w:rPr>
                <w:rFonts w:ascii="Arial" w:cs="Arial" w:eastAsia="Arial" w:hAnsi="Arial"/>
                <w:sz w:val="14"/>
                <w:szCs w:val="14"/>
                <w:color w:val="auto"/>
              </w:rPr>
              <w:t>668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1,187</w:t>
            </w:r>
          </w:p>
        </w:tc>
        <w:tc>
          <w:tcPr>
            <w:tcW w:w="2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215</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Taunton,</w:t>
            </w:r>
          </w:p>
        </w:tc>
        <w:tc>
          <w:tcPr>
            <w:tcW w:w="6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2"/>
              </w:rPr>
              <w:t>Massachusetts</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EMA004</w:t>
            </w:r>
          </w:p>
        </w:tc>
        <w:tc>
          <w:tcPr>
            <w:tcW w:w="980" w:type="dxa"/>
            <w:vAlign w:val="bottom"/>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344</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122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444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788</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900" w:type="dxa"/>
            <w:vAlign w:val="bottom"/>
          </w:tcPr>
          <w:p>
            <w:pPr>
              <w:ind w:left="20"/>
              <w:spacing w:after="0" w:line="157" w:lineRule="exact"/>
              <w:rPr>
                <w:sz w:val="20"/>
                <w:szCs w:val="20"/>
                <w:color w:val="auto"/>
              </w:rPr>
            </w:pPr>
            <w:r>
              <w:rPr>
                <w:rFonts w:ascii="Arial" w:cs="Arial" w:eastAsia="Arial" w:hAnsi="Arial"/>
                <w:sz w:val="14"/>
                <w:szCs w:val="14"/>
                <w:color w:val="auto"/>
              </w:rPr>
              <w:t>Flint,</w:t>
            </w: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00" w:type="dxa"/>
            <w:vAlign w:val="bottom"/>
          </w:tcPr>
          <w:p>
            <w:pPr>
              <w:ind w:left="20"/>
              <w:spacing w:after="0"/>
              <w:rPr>
                <w:sz w:val="20"/>
                <w:szCs w:val="20"/>
                <w:color w:val="auto"/>
              </w:rPr>
            </w:pPr>
            <w:r>
              <w:rPr>
                <w:rFonts w:ascii="Arial" w:cs="Arial" w:eastAsia="Arial" w:hAnsi="Arial"/>
                <w:sz w:val="14"/>
                <w:szCs w:val="14"/>
                <w:color w:val="auto"/>
              </w:rPr>
              <w:t>Michigan</w:t>
            </w:r>
          </w:p>
        </w:tc>
        <w:tc>
          <w:tcPr>
            <w:tcW w:w="640" w:type="dxa"/>
            <w:vAlign w:val="bottom"/>
          </w:tcPr>
          <w:p>
            <w:pPr>
              <w:ind w:left="60"/>
              <w:spacing w:after="0"/>
              <w:rPr>
                <w:sz w:val="20"/>
                <w:szCs w:val="20"/>
                <w:color w:val="auto"/>
              </w:rPr>
            </w:pPr>
            <w:r>
              <w:rPr>
                <w:rFonts w:ascii="Arial" w:cs="Arial" w:eastAsia="Arial" w:hAnsi="Arial"/>
                <w:sz w:val="14"/>
                <w:szCs w:val="14"/>
                <w:color w:val="auto"/>
              </w:rPr>
              <w:t>EMI002</w:t>
            </w:r>
          </w:p>
        </w:tc>
        <w:tc>
          <w:tcPr>
            <w:tcW w:w="980" w:type="dxa"/>
            <w:vAlign w:val="bottom"/>
          </w:tcPr>
          <w:p>
            <w:pPr>
              <w:ind w:left="7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516</w:t>
            </w:r>
          </w:p>
        </w:tc>
        <w:tc>
          <w:tcPr>
            <w:tcW w:w="12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667</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516</w:t>
            </w:r>
          </w:p>
        </w:tc>
        <w:tc>
          <w:tcPr>
            <w:tcW w:w="1220" w:type="dxa"/>
            <w:vAlign w:val="bottom"/>
            <w:gridSpan w:val="3"/>
          </w:tcPr>
          <w:p>
            <w:pPr>
              <w:jc w:val="right"/>
              <w:ind w:right="28"/>
              <w:spacing w:after="0"/>
              <w:rPr>
                <w:sz w:val="20"/>
                <w:szCs w:val="20"/>
                <w:color w:val="auto"/>
              </w:rPr>
            </w:pPr>
            <w:r>
              <w:rPr>
                <w:rFonts w:ascii="Arial" w:cs="Arial" w:eastAsia="Arial" w:hAnsi="Arial"/>
                <w:sz w:val="14"/>
                <w:szCs w:val="14"/>
                <w:color w:val="auto"/>
              </w:rPr>
              <w:t>664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1,180</w:t>
            </w:r>
          </w:p>
        </w:tc>
        <w:tc>
          <w:tcPr>
            <w:tcW w:w="2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214</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Grand Rapids,</w:t>
            </w:r>
          </w:p>
        </w:tc>
        <w:tc>
          <w:tcPr>
            <w:tcW w:w="6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Michigan</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EMI003</w:t>
            </w:r>
          </w:p>
        </w:tc>
        <w:tc>
          <w:tcPr>
            <w:tcW w:w="980" w:type="dxa"/>
            <w:vAlign w:val="bottom"/>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554</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718</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122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718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1,272</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900" w:type="dxa"/>
            <w:vAlign w:val="bottom"/>
          </w:tcPr>
          <w:p>
            <w:pPr>
              <w:ind w:left="20"/>
              <w:spacing w:after="0" w:line="157" w:lineRule="exact"/>
              <w:rPr>
                <w:sz w:val="20"/>
                <w:szCs w:val="20"/>
                <w:color w:val="auto"/>
              </w:rPr>
            </w:pPr>
            <w:r>
              <w:rPr>
                <w:rFonts w:ascii="Arial" w:cs="Arial" w:eastAsia="Arial" w:hAnsi="Arial"/>
                <w:sz w:val="14"/>
                <w:szCs w:val="14"/>
                <w:color w:val="auto"/>
              </w:rPr>
              <w:t>Jackson,</w:t>
            </w: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00" w:type="dxa"/>
            <w:vAlign w:val="bottom"/>
          </w:tcPr>
          <w:p>
            <w:pPr>
              <w:ind w:left="20"/>
              <w:spacing w:after="0"/>
              <w:rPr>
                <w:sz w:val="20"/>
                <w:szCs w:val="20"/>
                <w:color w:val="auto"/>
              </w:rPr>
            </w:pPr>
            <w:r>
              <w:rPr>
                <w:rFonts w:ascii="Arial" w:cs="Arial" w:eastAsia="Arial" w:hAnsi="Arial"/>
                <w:sz w:val="14"/>
                <w:szCs w:val="14"/>
                <w:color w:val="auto"/>
              </w:rPr>
              <w:t>Michigan</w:t>
            </w:r>
          </w:p>
        </w:tc>
        <w:tc>
          <w:tcPr>
            <w:tcW w:w="640" w:type="dxa"/>
            <w:vAlign w:val="bottom"/>
          </w:tcPr>
          <w:p>
            <w:pPr>
              <w:ind w:left="60"/>
              <w:spacing w:after="0"/>
              <w:rPr>
                <w:sz w:val="20"/>
                <w:szCs w:val="20"/>
                <w:color w:val="auto"/>
              </w:rPr>
            </w:pPr>
            <w:r>
              <w:rPr>
                <w:rFonts w:ascii="Arial" w:cs="Arial" w:eastAsia="Arial" w:hAnsi="Arial"/>
                <w:sz w:val="14"/>
                <w:szCs w:val="14"/>
                <w:color w:val="auto"/>
              </w:rPr>
              <w:t>EMI004</w:t>
            </w:r>
          </w:p>
        </w:tc>
        <w:tc>
          <w:tcPr>
            <w:tcW w:w="980" w:type="dxa"/>
            <w:vAlign w:val="bottom"/>
          </w:tcPr>
          <w:p>
            <w:pPr>
              <w:ind w:left="7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387</w:t>
            </w:r>
          </w:p>
        </w:tc>
        <w:tc>
          <w:tcPr>
            <w:tcW w:w="12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387</w:t>
            </w:r>
          </w:p>
        </w:tc>
        <w:tc>
          <w:tcPr>
            <w:tcW w:w="1220" w:type="dxa"/>
            <w:vAlign w:val="bottom"/>
            <w:gridSpan w:val="3"/>
          </w:tcPr>
          <w:p>
            <w:pPr>
              <w:jc w:val="right"/>
              <w:ind w:right="28"/>
              <w:spacing w:after="0"/>
              <w:rPr>
                <w:sz w:val="20"/>
                <w:szCs w:val="20"/>
                <w:color w:val="auto"/>
              </w:rPr>
            </w:pPr>
            <w:r>
              <w:rPr>
                <w:rFonts w:ascii="Arial" w:cs="Arial" w:eastAsia="Arial" w:hAnsi="Arial"/>
                <w:sz w:val="14"/>
                <w:szCs w:val="14"/>
                <w:color w:val="auto"/>
              </w:rPr>
              <w:t>498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885</w:t>
            </w:r>
          </w:p>
        </w:tc>
        <w:tc>
          <w:tcPr>
            <w:tcW w:w="2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160</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Roseville,</w:t>
            </w:r>
          </w:p>
        </w:tc>
        <w:tc>
          <w:tcPr>
            <w:tcW w:w="6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Michigan</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EMI005</w:t>
            </w:r>
          </w:p>
        </w:tc>
        <w:tc>
          <w:tcPr>
            <w:tcW w:w="980" w:type="dxa"/>
            <w:vAlign w:val="bottom"/>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533</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w:t>
            </w:r>
          </w:p>
        </w:tc>
        <w:tc>
          <w:tcPr>
            <w:tcW w:w="122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687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1,220</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221</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900" w:type="dxa"/>
            <w:vAlign w:val="bottom"/>
          </w:tcPr>
          <w:p>
            <w:pPr>
              <w:ind w:left="20"/>
              <w:spacing w:after="0" w:line="157" w:lineRule="exact"/>
              <w:rPr>
                <w:sz w:val="20"/>
                <w:szCs w:val="20"/>
                <w:color w:val="auto"/>
              </w:rPr>
            </w:pPr>
            <w:r>
              <w:rPr>
                <w:rFonts w:ascii="Arial" w:cs="Arial" w:eastAsia="Arial" w:hAnsi="Arial"/>
                <w:sz w:val="14"/>
                <w:szCs w:val="14"/>
                <w:color w:val="auto"/>
              </w:rPr>
              <w:t>Minneapolis,</w:t>
            </w: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00" w:type="dxa"/>
            <w:vAlign w:val="bottom"/>
          </w:tcPr>
          <w:p>
            <w:pPr>
              <w:ind w:left="20"/>
              <w:spacing w:after="0"/>
              <w:rPr>
                <w:sz w:val="20"/>
                <w:szCs w:val="20"/>
                <w:color w:val="auto"/>
              </w:rPr>
            </w:pPr>
            <w:r>
              <w:rPr>
                <w:rFonts w:ascii="Arial" w:cs="Arial" w:eastAsia="Arial" w:hAnsi="Arial"/>
                <w:sz w:val="14"/>
                <w:szCs w:val="14"/>
                <w:color w:val="auto"/>
              </w:rPr>
              <w:t>Minnesota</w:t>
            </w:r>
          </w:p>
        </w:tc>
        <w:tc>
          <w:tcPr>
            <w:tcW w:w="640" w:type="dxa"/>
            <w:vAlign w:val="bottom"/>
          </w:tcPr>
          <w:p>
            <w:pPr>
              <w:ind w:left="60"/>
              <w:spacing w:after="0"/>
              <w:rPr>
                <w:sz w:val="20"/>
                <w:szCs w:val="20"/>
                <w:color w:val="auto"/>
              </w:rPr>
            </w:pPr>
            <w:r>
              <w:rPr>
                <w:rFonts w:ascii="Arial" w:cs="Arial" w:eastAsia="Arial" w:hAnsi="Arial"/>
                <w:sz w:val="14"/>
                <w:szCs w:val="14"/>
                <w:color w:val="auto"/>
              </w:rPr>
              <w:t>EMN001</w:t>
            </w:r>
          </w:p>
        </w:tc>
        <w:tc>
          <w:tcPr>
            <w:tcW w:w="980" w:type="dxa"/>
            <w:vAlign w:val="bottom"/>
          </w:tcPr>
          <w:p>
            <w:pPr>
              <w:ind w:left="7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666</w:t>
            </w:r>
          </w:p>
        </w:tc>
        <w:tc>
          <w:tcPr>
            <w:tcW w:w="12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861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666</w:t>
            </w:r>
          </w:p>
        </w:tc>
        <w:tc>
          <w:tcPr>
            <w:tcW w:w="1220" w:type="dxa"/>
            <w:vAlign w:val="bottom"/>
            <w:gridSpan w:val="3"/>
          </w:tcPr>
          <w:p>
            <w:pPr>
              <w:jc w:val="right"/>
              <w:ind w:right="28"/>
              <w:spacing w:after="0"/>
              <w:rPr>
                <w:sz w:val="20"/>
                <w:szCs w:val="20"/>
                <w:color w:val="auto"/>
              </w:rPr>
            </w:pPr>
            <w:r>
              <w:rPr>
                <w:rFonts w:ascii="Arial" w:cs="Arial" w:eastAsia="Arial" w:hAnsi="Arial"/>
                <w:sz w:val="14"/>
                <w:szCs w:val="14"/>
                <w:color w:val="auto"/>
              </w:rPr>
              <w:t>856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1,522</w:t>
            </w:r>
          </w:p>
        </w:tc>
        <w:tc>
          <w:tcPr>
            <w:tcW w:w="2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276</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Burnsville,</w:t>
            </w:r>
          </w:p>
        </w:tc>
        <w:tc>
          <w:tcPr>
            <w:tcW w:w="6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Minnesota</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EMN002</w:t>
            </w:r>
          </w:p>
        </w:tc>
        <w:tc>
          <w:tcPr>
            <w:tcW w:w="980" w:type="dxa"/>
            <w:vAlign w:val="bottom"/>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2,962</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17,164</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2,962</w:t>
            </w:r>
          </w:p>
        </w:tc>
        <w:tc>
          <w:tcPr>
            <w:tcW w:w="122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17,164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20,126</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4,422</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2006</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900" w:type="dxa"/>
            <w:vAlign w:val="bottom"/>
          </w:tcPr>
          <w:p>
            <w:pPr>
              <w:ind w:left="20"/>
              <w:spacing w:after="0" w:line="157" w:lineRule="exact"/>
              <w:rPr>
                <w:sz w:val="20"/>
                <w:szCs w:val="20"/>
                <w:color w:val="auto"/>
              </w:rPr>
            </w:pPr>
            <w:r>
              <w:rPr>
                <w:rFonts w:ascii="Arial" w:cs="Arial" w:eastAsia="Arial" w:hAnsi="Arial"/>
                <w:sz w:val="14"/>
                <w:szCs w:val="14"/>
                <w:color w:val="auto"/>
              </w:rPr>
              <w:t>Rochester,</w:t>
            </w: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00" w:type="dxa"/>
            <w:vAlign w:val="bottom"/>
          </w:tcPr>
          <w:p>
            <w:pPr>
              <w:ind w:left="20"/>
              <w:spacing w:after="0"/>
              <w:rPr>
                <w:sz w:val="20"/>
                <w:szCs w:val="20"/>
                <w:color w:val="auto"/>
              </w:rPr>
            </w:pPr>
            <w:r>
              <w:rPr>
                <w:rFonts w:ascii="Arial" w:cs="Arial" w:eastAsia="Arial" w:hAnsi="Arial"/>
                <w:sz w:val="14"/>
                <w:szCs w:val="14"/>
                <w:color w:val="auto"/>
              </w:rPr>
              <w:t>Minnesota</w:t>
            </w:r>
          </w:p>
        </w:tc>
        <w:tc>
          <w:tcPr>
            <w:tcW w:w="640" w:type="dxa"/>
            <w:vAlign w:val="bottom"/>
          </w:tcPr>
          <w:p>
            <w:pPr>
              <w:ind w:left="60"/>
              <w:spacing w:after="0"/>
              <w:rPr>
                <w:sz w:val="20"/>
                <w:szCs w:val="20"/>
                <w:color w:val="auto"/>
              </w:rPr>
            </w:pPr>
            <w:r>
              <w:rPr>
                <w:rFonts w:ascii="Arial" w:cs="Arial" w:eastAsia="Arial" w:hAnsi="Arial"/>
                <w:sz w:val="14"/>
                <w:szCs w:val="14"/>
                <w:color w:val="auto"/>
              </w:rPr>
              <w:t>EMN004</w:t>
            </w:r>
          </w:p>
        </w:tc>
        <w:tc>
          <w:tcPr>
            <w:tcW w:w="980" w:type="dxa"/>
            <w:vAlign w:val="bottom"/>
          </w:tcPr>
          <w:p>
            <w:pPr>
              <w:ind w:left="70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2,437</w:t>
            </w:r>
          </w:p>
        </w:tc>
        <w:tc>
          <w:tcPr>
            <w:tcW w:w="12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8,715</w:t>
            </w:r>
          </w:p>
        </w:tc>
        <w:tc>
          <w:tcPr>
            <w:tcW w:w="1020" w:type="dxa"/>
            <w:vAlign w:val="bottom"/>
            <w:gridSpan w:val="2"/>
          </w:tcPr>
          <w:p>
            <w:pPr>
              <w:jc w:val="right"/>
              <w:ind w:right="28"/>
              <w:spacing w:after="0"/>
              <w:rPr>
                <w:sz w:val="20"/>
                <w:szCs w:val="20"/>
                <w:color w:val="auto"/>
              </w:rPr>
            </w:pPr>
            <w:r>
              <w:rPr>
                <w:rFonts w:ascii="Arial" w:cs="Arial" w:eastAsia="Arial" w:hAnsi="Arial"/>
                <w:sz w:val="14"/>
                <w:szCs w:val="14"/>
                <w:color w:val="auto"/>
              </w:rPr>
              <w:t>2,098</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2,437</w:t>
            </w:r>
          </w:p>
        </w:tc>
        <w:tc>
          <w:tcPr>
            <w:tcW w:w="1220" w:type="dxa"/>
            <w:vAlign w:val="bottom"/>
            <w:gridSpan w:val="3"/>
          </w:tcPr>
          <w:p>
            <w:pPr>
              <w:jc w:val="right"/>
              <w:ind w:right="28"/>
              <w:spacing w:after="0"/>
              <w:rPr>
                <w:sz w:val="20"/>
                <w:szCs w:val="20"/>
                <w:color w:val="auto"/>
              </w:rPr>
            </w:pPr>
            <w:r>
              <w:rPr>
                <w:rFonts w:ascii="Arial" w:cs="Arial" w:eastAsia="Arial" w:hAnsi="Arial"/>
                <w:sz w:val="14"/>
                <w:szCs w:val="14"/>
                <w:color w:val="auto"/>
              </w:rPr>
              <w:t>10,813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13,250</w:t>
            </w:r>
          </w:p>
        </w:tc>
        <w:tc>
          <w:tcPr>
            <w:tcW w:w="2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3,149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Columbia,</w:t>
            </w:r>
          </w:p>
        </w:tc>
        <w:tc>
          <w:tcPr>
            <w:tcW w:w="6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Missouri</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EMO001</w:t>
            </w:r>
          </w:p>
        </w:tc>
        <w:tc>
          <w:tcPr>
            <w:tcW w:w="980" w:type="dxa"/>
            <w:vAlign w:val="bottom"/>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334</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432</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w:t>
            </w:r>
          </w:p>
        </w:tc>
        <w:tc>
          <w:tcPr>
            <w:tcW w:w="122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432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766</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900" w:type="dxa"/>
            <w:vAlign w:val="bottom"/>
          </w:tcPr>
          <w:p>
            <w:pPr>
              <w:ind w:left="20"/>
              <w:spacing w:after="0" w:line="157" w:lineRule="exact"/>
              <w:rPr>
                <w:sz w:val="20"/>
                <w:szCs w:val="20"/>
                <w:color w:val="auto"/>
              </w:rPr>
            </w:pPr>
            <w:r>
              <w:rPr>
                <w:rFonts w:ascii="Arial" w:cs="Arial" w:eastAsia="Arial" w:hAnsi="Arial"/>
                <w:sz w:val="14"/>
                <w:szCs w:val="14"/>
                <w:color w:val="auto"/>
              </w:rPr>
              <w:t>N. Kansas</w:t>
            </w: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00" w:type="dxa"/>
            <w:vAlign w:val="bottom"/>
          </w:tcPr>
          <w:p>
            <w:pPr>
              <w:ind w:left="20"/>
              <w:spacing w:after="0"/>
              <w:rPr>
                <w:sz w:val="20"/>
                <w:szCs w:val="20"/>
                <w:color w:val="auto"/>
              </w:rPr>
            </w:pPr>
            <w:r>
              <w:rPr>
                <w:rFonts w:ascii="Arial" w:cs="Arial" w:eastAsia="Arial" w:hAnsi="Arial"/>
                <w:sz w:val="14"/>
                <w:szCs w:val="14"/>
                <w:color w:val="auto"/>
              </w:rPr>
              <w:t>City, Missouri</w:t>
            </w:r>
          </w:p>
        </w:tc>
        <w:tc>
          <w:tcPr>
            <w:tcW w:w="640" w:type="dxa"/>
            <w:vAlign w:val="bottom"/>
          </w:tcPr>
          <w:p>
            <w:pPr>
              <w:ind w:left="60"/>
              <w:spacing w:after="0"/>
              <w:rPr>
                <w:sz w:val="20"/>
                <w:szCs w:val="20"/>
                <w:color w:val="auto"/>
              </w:rPr>
            </w:pPr>
            <w:r>
              <w:rPr>
                <w:rFonts w:ascii="Arial" w:cs="Arial" w:eastAsia="Arial" w:hAnsi="Arial"/>
                <w:sz w:val="14"/>
                <w:szCs w:val="14"/>
                <w:color w:val="auto"/>
              </w:rPr>
              <w:t>EMO004</w:t>
            </w:r>
          </w:p>
        </w:tc>
        <w:tc>
          <w:tcPr>
            <w:tcW w:w="980" w:type="dxa"/>
            <w:vAlign w:val="bottom"/>
          </w:tcPr>
          <w:p>
            <w:pPr>
              <w:ind w:left="7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878</w:t>
            </w:r>
          </w:p>
        </w:tc>
        <w:tc>
          <w:tcPr>
            <w:tcW w:w="12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1,139</w:t>
            </w: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878</w:t>
            </w:r>
          </w:p>
        </w:tc>
        <w:tc>
          <w:tcPr>
            <w:tcW w:w="1220" w:type="dxa"/>
            <w:vAlign w:val="bottom"/>
            <w:gridSpan w:val="3"/>
          </w:tcPr>
          <w:p>
            <w:pPr>
              <w:jc w:val="right"/>
              <w:ind w:right="28"/>
              <w:spacing w:after="0"/>
              <w:rPr>
                <w:sz w:val="20"/>
                <w:szCs w:val="20"/>
                <w:color w:val="auto"/>
              </w:rPr>
            </w:pPr>
            <w:r>
              <w:rPr>
                <w:rFonts w:ascii="Arial" w:cs="Arial" w:eastAsia="Arial" w:hAnsi="Arial"/>
                <w:sz w:val="14"/>
                <w:szCs w:val="14"/>
                <w:color w:val="auto"/>
              </w:rPr>
              <w:t>1,139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2,017</w:t>
            </w:r>
          </w:p>
        </w:tc>
        <w:tc>
          <w:tcPr>
            <w:tcW w:w="2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364</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Aberdeen,</w:t>
            </w:r>
          </w:p>
        </w:tc>
        <w:tc>
          <w:tcPr>
            <w:tcW w:w="6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Jersey</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ENJ001</w:t>
            </w:r>
          </w:p>
        </w:tc>
        <w:tc>
          <w:tcPr>
            <w:tcW w:w="980" w:type="dxa"/>
            <w:vAlign w:val="bottom"/>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1,560</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1,560</w:t>
            </w:r>
          </w:p>
        </w:tc>
        <w:tc>
          <w:tcPr>
            <w:tcW w:w="122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2,008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3,568</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647</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900" w:type="dxa"/>
            <w:vAlign w:val="bottom"/>
          </w:tcPr>
          <w:p>
            <w:pPr>
              <w:ind w:left="20"/>
              <w:spacing w:after="0" w:line="157" w:lineRule="exact"/>
              <w:rPr>
                <w:sz w:val="20"/>
                <w:szCs w:val="20"/>
                <w:color w:val="auto"/>
              </w:rPr>
            </w:pPr>
            <w:r>
              <w:rPr>
                <w:rFonts w:ascii="Arial" w:cs="Arial" w:eastAsia="Arial" w:hAnsi="Arial"/>
                <w:sz w:val="14"/>
                <w:szCs w:val="14"/>
                <w:color w:val="auto"/>
              </w:rPr>
              <w:t>Wallington,</w:t>
            </w: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900" w:type="dxa"/>
            <w:vAlign w:val="bottom"/>
          </w:tcPr>
          <w:p>
            <w:pPr>
              <w:ind w:left="20"/>
              <w:spacing w:after="0"/>
              <w:rPr>
                <w:sz w:val="20"/>
                <w:szCs w:val="20"/>
                <w:color w:val="auto"/>
              </w:rPr>
            </w:pPr>
            <w:r>
              <w:rPr>
                <w:rFonts w:ascii="Arial" w:cs="Arial" w:eastAsia="Arial" w:hAnsi="Arial"/>
                <w:sz w:val="14"/>
                <w:szCs w:val="14"/>
                <w:color w:val="auto"/>
              </w:rPr>
              <w:t>New Jersey</w:t>
            </w:r>
          </w:p>
        </w:tc>
        <w:tc>
          <w:tcPr>
            <w:tcW w:w="640" w:type="dxa"/>
            <w:vAlign w:val="bottom"/>
          </w:tcPr>
          <w:p>
            <w:pPr>
              <w:ind w:left="60"/>
              <w:spacing w:after="0"/>
              <w:rPr>
                <w:sz w:val="20"/>
                <w:szCs w:val="20"/>
                <w:color w:val="auto"/>
              </w:rPr>
            </w:pPr>
            <w:r>
              <w:rPr>
                <w:rFonts w:ascii="Arial" w:cs="Arial" w:eastAsia="Arial" w:hAnsi="Arial"/>
                <w:sz w:val="14"/>
                <w:szCs w:val="14"/>
                <w:color w:val="auto"/>
              </w:rPr>
              <w:t>ENJ002</w:t>
            </w:r>
          </w:p>
        </w:tc>
        <w:tc>
          <w:tcPr>
            <w:tcW w:w="980" w:type="dxa"/>
            <w:vAlign w:val="bottom"/>
          </w:tcPr>
          <w:p>
            <w:pPr>
              <w:ind w:left="7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830</w:t>
            </w:r>
          </w:p>
        </w:tc>
        <w:tc>
          <w:tcPr>
            <w:tcW w:w="12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1,075</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830</w:t>
            </w:r>
          </w:p>
        </w:tc>
        <w:tc>
          <w:tcPr>
            <w:tcW w:w="1220" w:type="dxa"/>
            <w:vAlign w:val="bottom"/>
            <w:gridSpan w:val="3"/>
          </w:tcPr>
          <w:p>
            <w:pPr>
              <w:jc w:val="right"/>
              <w:ind w:right="28"/>
              <w:spacing w:after="0"/>
              <w:rPr>
                <w:sz w:val="20"/>
                <w:szCs w:val="20"/>
                <w:color w:val="auto"/>
              </w:rPr>
            </w:pPr>
            <w:r>
              <w:rPr>
                <w:rFonts w:ascii="Arial" w:cs="Arial" w:eastAsia="Arial" w:hAnsi="Arial"/>
                <w:sz w:val="14"/>
                <w:szCs w:val="14"/>
                <w:color w:val="auto"/>
              </w:rPr>
              <w:t>1,074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1,904</w:t>
            </w:r>
          </w:p>
        </w:tc>
        <w:tc>
          <w:tcPr>
            <w:tcW w:w="22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343</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80"/>
          </w:cols>
          <w:pgMar w:left="260" w:top="742" w:right="25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iStar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III—Real Estate and Accumulated Depreciation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2016</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4"/>
              </w:rPr>
              <w:t>Gross Amount Carried</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Initial Cost to Company</w:t>
            </w:r>
          </w:p>
        </w:tc>
        <w:tc>
          <w:tcPr>
            <w:tcW w:w="10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Cost</w:t>
            </w: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0"/>
              </w:rPr>
              <w:t>at Close of Period</w:t>
            </w:r>
          </w:p>
        </w:tc>
        <w:tc>
          <w:tcPr>
            <w:tcW w:w="5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Building and</w:t>
            </w:r>
          </w:p>
        </w:tc>
        <w:tc>
          <w:tcPr>
            <w:tcW w:w="100" w:type="dxa"/>
            <w:vAlign w:val="bottom"/>
          </w:tcPr>
          <w:p>
            <w:pPr>
              <w:spacing w:after="0"/>
              <w:rPr>
                <w:sz w:val="11"/>
                <w:szCs w:val="11"/>
                <w:color w:val="auto"/>
              </w:rPr>
            </w:pPr>
          </w:p>
        </w:tc>
        <w:tc>
          <w:tcPr>
            <w:tcW w:w="10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7"/>
              </w:rPr>
              <w:t>Capitalized</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4"/>
              </w:rPr>
              <w:t>Building and</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7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Depreciable</w:t>
            </w:r>
          </w:p>
        </w:tc>
        <w:tc>
          <w:tcPr>
            <w:tcW w:w="0" w:type="dxa"/>
            <w:vAlign w:val="bottom"/>
          </w:tcPr>
          <w:p>
            <w:pPr>
              <w:spacing w:after="0"/>
              <w:rPr>
                <w:sz w:val="1"/>
                <w:szCs w:val="1"/>
                <w:color w:val="auto"/>
              </w:rPr>
            </w:pPr>
          </w:p>
        </w:tc>
      </w:tr>
      <w:tr>
        <w:trPr>
          <w:trHeight w:val="149"/>
        </w:trPr>
        <w:tc>
          <w:tcPr>
            <w:tcW w:w="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Location</w:t>
            </w:r>
          </w:p>
        </w:tc>
        <w:tc>
          <w:tcPr>
            <w:tcW w:w="640" w:type="dxa"/>
            <w:vAlign w:val="bottom"/>
          </w:tcPr>
          <w:p>
            <w:pPr>
              <w:spacing w:after="0"/>
              <w:rPr>
                <w:sz w:val="12"/>
                <w:szCs w:val="12"/>
                <w:color w:val="auto"/>
              </w:rPr>
            </w:pPr>
          </w:p>
        </w:tc>
        <w:tc>
          <w:tcPr>
            <w:tcW w:w="98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1"/>
              </w:rPr>
              <w:t>Encumbrances</w:t>
            </w:r>
          </w:p>
        </w:tc>
        <w:tc>
          <w:tcPr>
            <w:tcW w:w="400" w:type="dxa"/>
            <w:vAlign w:val="bottom"/>
            <w:vMerge w:val="restart"/>
          </w:tcPr>
          <w:p>
            <w:pPr>
              <w:spacing w:after="0"/>
              <w:rPr>
                <w:sz w:val="12"/>
                <w:szCs w:val="12"/>
                <w:color w:val="auto"/>
              </w:rPr>
            </w:pPr>
          </w:p>
        </w:tc>
        <w:tc>
          <w:tcPr>
            <w:tcW w:w="7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Land</w:t>
            </w:r>
          </w:p>
        </w:tc>
        <w:tc>
          <w:tcPr>
            <w:tcW w:w="100" w:type="dxa"/>
            <w:vAlign w:val="bottom"/>
            <w:vMerge w:val="restart"/>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Subsequent to</w:t>
            </w: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Land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5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220" w:type="dxa"/>
            <w:vAlign w:val="bottom"/>
            <w:vMerge w:val="restart"/>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192"/>
        </w:trPr>
        <w:tc>
          <w:tcPr>
            <w:tcW w:w="88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CCEEFF"/>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Improvements</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Acquisition</w:t>
            </w:r>
            <w:r>
              <w:rPr>
                <w:rFonts w:ascii="Arial" w:cs="Arial" w:eastAsia="Arial" w:hAnsi="Arial"/>
                <w:sz w:val="8"/>
                <w:szCs w:val="8"/>
                <w:b w:val="1"/>
                <w:bCs w:val="1"/>
                <w:color w:val="auto"/>
                <w:w w:val="92"/>
              </w:rPr>
              <w:t>(2)</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Improvements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Depreciation</w:t>
            </w:r>
          </w:p>
        </w:tc>
        <w:tc>
          <w:tcPr>
            <w:tcW w:w="2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Acquired</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6"/>
        </w:trPr>
        <w:tc>
          <w:tcPr>
            <w:tcW w:w="8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3"/>
              </w:rPr>
              <w:t>Reno, Nevada</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ENV001</w:t>
            </w:r>
          </w:p>
        </w:tc>
        <w:tc>
          <w:tcPr>
            <w:tcW w:w="138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440</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w:t>
            </w:r>
          </w:p>
        </w:tc>
        <w:tc>
          <w:tcPr>
            <w:tcW w:w="120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566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1,006</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w:t>
            </w: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880" w:type="dxa"/>
            <w:vAlign w:val="bottom"/>
          </w:tcPr>
          <w:p>
            <w:pPr>
              <w:ind w:left="20"/>
              <w:spacing w:after="0" w:line="157" w:lineRule="exact"/>
              <w:rPr>
                <w:sz w:val="20"/>
                <w:szCs w:val="20"/>
                <w:color w:val="auto"/>
              </w:rPr>
            </w:pPr>
            <w:r>
              <w:rPr>
                <w:rFonts w:ascii="Arial" w:cs="Arial" w:eastAsia="Arial" w:hAnsi="Arial"/>
                <w:sz w:val="14"/>
                <w:szCs w:val="14"/>
                <w:color w:val="auto"/>
              </w:rPr>
              <w:t>Bay Shore,</w:t>
            </w: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80" w:type="dxa"/>
            <w:vAlign w:val="bottom"/>
          </w:tcPr>
          <w:p>
            <w:pPr>
              <w:ind w:left="20"/>
              <w:spacing w:after="0"/>
              <w:rPr>
                <w:sz w:val="20"/>
                <w:szCs w:val="20"/>
                <w:color w:val="auto"/>
              </w:rPr>
            </w:pPr>
            <w:r>
              <w:rPr>
                <w:rFonts w:ascii="Arial" w:cs="Arial" w:eastAsia="Arial" w:hAnsi="Arial"/>
                <w:sz w:val="14"/>
                <w:szCs w:val="14"/>
                <w:color w:val="auto"/>
              </w:rPr>
              <w:t>New York</w:t>
            </w:r>
          </w:p>
        </w:tc>
        <w:tc>
          <w:tcPr>
            <w:tcW w:w="640" w:type="dxa"/>
            <w:vAlign w:val="bottom"/>
          </w:tcPr>
          <w:p>
            <w:pPr>
              <w:ind w:left="60"/>
              <w:spacing w:after="0"/>
              <w:rPr>
                <w:sz w:val="20"/>
                <w:szCs w:val="20"/>
                <w:color w:val="auto"/>
              </w:rPr>
            </w:pPr>
            <w:r>
              <w:rPr>
                <w:rFonts w:ascii="Arial" w:cs="Arial" w:eastAsia="Arial" w:hAnsi="Arial"/>
                <w:sz w:val="14"/>
                <w:szCs w:val="14"/>
                <w:color w:val="auto"/>
              </w:rPr>
              <w:t>ENY001</w:t>
            </w:r>
          </w:p>
        </w:tc>
        <w:tc>
          <w:tcPr>
            <w:tcW w:w="138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603</w:t>
            </w:r>
          </w:p>
        </w:tc>
        <w:tc>
          <w:tcPr>
            <w:tcW w:w="10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779</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603</w:t>
            </w:r>
          </w:p>
        </w:tc>
        <w:tc>
          <w:tcPr>
            <w:tcW w:w="1200" w:type="dxa"/>
            <w:vAlign w:val="bottom"/>
            <w:gridSpan w:val="3"/>
          </w:tcPr>
          <w:p>
            <w:pPr>
              <w:jc w:val="right"/>
              <w:ind w:right="28"/>
              <w:spacing w:after="0"/>
              <w:rPr>
                <w:sz w:val="20"/>
                <w:szCs w:val="20"/>
                <w:color w:val="auto"/>
              </w:rPr>
            </w:pPr>
            <w:r>
              <w:rPr>
                <w:rFonts w:ascii="Arial" w:cs="Arial" w:eastAsia="Arial" w:hAnsi="Arial"/>
                <w:sz w:val="14"/>
                <w:szCs w:val="14"/>
                <w:color w:val="auto"/>
              </w:rPr>
              <w:t>775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1,378</w:t>
            </w:r>
          </w:p>
        </w:tc>
        <w:tc>
          <w:tcPr>
            <w:tcW w:w="2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250</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Centereach,</w:t>
            </w:r>
          </w:p>
        </w:tc>
        <w:tc>
          <w:tcPr>
            <w:tcW w:w="6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York</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ENY002</w:t>
            </w:r>
          </w:p>
        </w:tc>
        <w:tc>
          <w:tcPr>
            <w:tcW w:w="138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442</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571</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w:t>
            </w:r>
          </w:p>
        </w:tc>
        <w:tc>
          <w:tcPr>
            <w:tcW w:w="120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571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1,013</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183</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880" w:type="dxa"/>
            <w:vAlign w:val="bottom"/>
          </w:tcPr>
          <w:p>
            <w:pPr>
              <w:ind w:left="20"/>
              <w:spacing w:after="0" w:line="157" w:lineRule="exact"/>
              <w:rPr>
                <w:sz w:val="20"/>
                <w:szCs w:val="20"/>
                <w:color w:val="auto"/>
              </w:rPr>
            </w:pPr>
            <w:r>
              <w:rPr>
                <w:rFonts w:ascii="Arial" w:cs="Arial" w:eastAsia="Arial" w:hAnsi="Arial"/>
                <w:sz w:val="14"/>
                <w:szCs w:val="14"/>
                <w:color w:val="auto"/>
                <w:w w:val="93"/>
              </w:rPr>
              <w:t>Cheektowaga,</w:t>
            </w: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80" w:type="dxa"/>
            <w:vAlign w:val="bottom"/>
          </w:tcPr>
          <w:p>
            <w:pPr>
              <w:ind w:left="20"/>
              <w:spacing w:after="0"/>
              <w:rPr>
                <w:sz w:val="20"/>
                <w:szCs w:val="20"/>
                <w:color w:val="auto"/>
              </w:rPr>
            </w:pPr>
            <w:r>
              <w:rPr>
                <w:rFonts w:ascii="Arial" w:cs="Arial" w:eastAsia="Arial" w:hAnsi="Arial"/>
                <w:sz w:val="14"/>
                <w:szCs w:val="14"/>
                <w:color w:val="auto"/>
              </w:rPr>
              <w:t>New York</w:t>
            </w:r>
          </w:p>
        </w:tc>
        <w:tc>
          <w:tcPr>
            <w:tcW w:w="640" w:type="dxa"/>
            <w:vAlign w:val="bottom"/>
          </w:tcPr>
          <w:p>
            <w:pPr>
              <w:ind w:left="60"/>
              <w:spacing w:after="0"/>
              <w:rPr>
                <w:sz w:val="20"/>
                <w:szCs w:val="20"/>
                <w:color w:val="auto"/>
              </w:rPr>
            </w:pPr>
            <w:r>
              <w:rPr>
                <w:rFonts w:ascii="Arial" w:cs="Arial" w:eastAsia="Arial" w:hAnsi="Arial"/>
                <w:sz w:val="14"/>
                <w:szCs w:val="14"/>
                <w:color w:val="auto"/>
              </w:rPr>
              <w:t>ENY004</w:t>
            </w:r>
          </w:p>
        </w:tc>
        <w:tc>
          <w:tcPr>
            <w:tcW w:w="138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385</w:t>
            </w:r>
          </w:p>
        </w:tc>
        <w:tc>
          <w:tcPr>
            <w:tcW w:w="10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499</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385</w:t>
            </w:r>
          </w:p>
        </w:tc>
        <w:tc>
          <w:tcPr>
            <w:tcW w:w="1200" w:type="dxa"/>
            <w:vAlign w:val="bottom"/>
            <w:gridSpan w:val="3"/>
          </w:tcPr>
          <w:p>
            <w:pPr>
              <w:jc w:val="right"/>
              <w:ind w:right="28"/>
              <w:spacing w:after="0"/>
              <w:rPr>
                <w:sz w:val="20"/>
                <w:szCs w:val="20"/>
                <w:color w:val="auto"/>
              </w:rPr>
            </w:pPr>
            <w:r>
              <w:rPr>
                <w:rFonts w:ascii="Arial" w:cs="Arial" w:eastAsia="Arial" w:hAnsi="Arial"/>
                <w:sz w:val="14"/>
                <w:szCs w:val="14"/>
                <w:color w:val="auto"/>
              </w:rPr>
              <w:t>497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882</w:t>
            </w:r>
          </w:p>
        </w:tc>
        <w:tc>
          <w:tcPr>
            <w:tcW w:w="2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160</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Depew, New</w:t>
            </w:r>
          </w:p>
        </w:tc>
        <w:tc>
          <w:tcPr>
            <w:tcW w:w="6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York</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ENY005</w:t>
            </w:r>
          </w:p>
        </w:tc>
        <w:tc>
          <w:tcPr>
            <w:tcW w:w="138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350</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20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452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802</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880" w:type="dxa"/>
            <w:vAlign w:val="bottom"/>
          </w:tcPr>
          <w:p>
            <w:pPr>
              <w:ind w:left="20"/>
              <w:spacing w:after="0" w:line="157" w:lineRule="exact"/>
              <w:rPr>
                <w:sz w:val="20"/>
                <w:szCs w:val="20"/>
                <w:color w:val="auto"/>
              </w:rPr>
            </w:pPr>
            <w:r>
              <w:rPr>
                <w:rFonts w:ascii="Arial" w:cs="Arial" w:eastAsia="Arial" w:hAnsi="Arial"/>
                <w:sz w:val="14"/>
                <w:szCs w:val="14"/>
                <w:color w:val="auto"/>
              </w:rPr>
              <w:t>Melville,</w:t>
            </w: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80" w:type="dxa"/>
            <w:vAlign w:val="bottom"/>
          </w:tcPr>
          <w:p>
            <w:pPr>
              <w:ind w:left="20"/>
              <w:spacing w:after="0"/>
              <w:rPr>
                <w:sz w:val="20"/>
                <w:szCs w:val="20"/>
                <w:color w:val="auto"/>
              </w:rPr>
            </w:pPr>
            <w:r>
              <w:rPr>
                <w:rFonts w:ascii="Arial" w:cs="Arial" w:eastAsia="Arial" w:hAnsi="Arial"/>
                <w:sz w:val="14"/>
                <w:szCs w:val="14"/>
                <w:color w:val="auto"/>
              </w:rPr>
              <w:t>New York</w:t>
            </w:r>
          </w:p>
        </w:tc>
        <w:tc>
          <w:tcPr>
            <w:tcW w:w="640" w:type="dxa"/>
            <w:vAlign w:val="bottom"/>
          </w:tcPr>
          <w:p>
            <w:pPr>
              <w:ind w:left="60"/>
              <w:spacing w:after="0"/>
              <w:rPr>
                <w:sz w:val="20"/>
                <w:szCs w:val="20"/>
                <w:color w:val="auto"/>
              </w:rPr>
            </w:pPr>
            <w:r>
              <w:rPr>
                <w:rFonts w:ascii="Arial" w:cs="Arial" w:eastAsia="Arial" w:hAnsi="Arial"/>
                <w:sz w:val="14"/>
                <w:szCs w:val="14"/>
                <w:color w:val="auto"/>
              </w:rPr>
              <w:t>ENY007</w:t>
            </w:r>
          </w:p>
        </w:tc>
        <w:tc>
          <w:tcPr>
            <w:tcW w:w="138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494</w:t>
            </w:r>
          </w:p>
        </w:tc>
        <w:tc>
          <w:tcPr>
            <w:tcW w:w="10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640</w:t>
            </w: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494</w:t>
            </w:r>
          </w:p>
        </w:tc>
        <w:tc>
          <w:tcPr>
            <w:tcW w:w="1200" w:type="dxa"/>
            <w:vAlign w:val="bottom"/>
            <w:gridSpan w:val="3"/>
          </w:tcPr>
          <w:p>
            <w:pPr>
              <w:jc w:val="right"/>
              <w:ind w:right="28"/>
              <w:spacing w:after="0"/>
              <w:rPr>
                <w:sz w:val="20"/>
                <w:szCs w:val="20"/>
                <w:color w:val="auto"/>
              </w:rPr>
            </w:pPr>
            <w:r>
              <w:rPr>
                <w:rFonts w:ascii="Arial" w:cs="Arial" w:eastAsia="Arial" w:hAnsi="Arial"/>
                <w:sz w:val="14"/>
                <w:szCs w:val="14"/>
                <w:color w:val="auto"/>
              </w:rPr>
              <w:t>640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1,134</w:t>
            </w:r>
          </w:p>
        </w:tc>
        <w:tc>
          <w:tcPr>
            <w:tcW w:w="2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205</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Rochester,</w:t>
            </w:r>
          </w:p>
        </w:tc>
        <w:tc>
          <w:tcPr>
            <w:tcW w:w="6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York</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ENY006</w:t>
            </w:r>
          </w:p>
        </w:tc>
        <w:tc>
          <w:tcPr>
            <w:tcW w:w="138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326</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421</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w:t>
            </w:r>
          </w:p>
        </w:tc>
        <w:tc>
          <w:tcPr>
            <w:tcW w:w="120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421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747</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880" w:type="dxa"/>
            <w:vAlign w:val="bottom"/>
          </w:tcPr>
          <w:p>
            <w:pPr>
              <w:ind w:left="20"/>
              <w:spacing w:after="0" w:line="157" w:lineRule="exact"/>
              <w:rPr>
                <w:sz w:val="20"/>
                <w:szCs w:val="20"/>
                <w:color w:val="auto"/>
              </w:rPr>
            </w:pPr>
            <w:r>
              <w:rPr>
                <w:rFonts w:ascii="Arial" w:cs="Arial" w:eastAsia="Arial" w:hAnsi="Arial"/>
                <w:sz w:val="14"/>
                <w:szCs w:val="14"/>
                <w:color w:val="auto"/>
              </w:rPr>
              <w:t>Rochester,</w:t>
            </w: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80" w:type="dxa"/>
            <w:vAlign w:val="bottom"/>
          </w:tcPr>
          <w:p>
            <w:pPr>
              <w:ind w:left="20"/>
              <w:spacing w:after="0"/>
              <w:rPr>
                <w:sz w:val="20"/>
                <w:szCs w:val="20"/>
                <w:color w:val="auto"/>
              </w:rPr>
            </w:pPr>
            <w:r>
              <w:rPr>
                <w:rFonts w:ascii="Arial" w:cs="Arial" w:eastAsia="Arial" w:hAnsi="Arial"/>
                <w:sz w:val="14"/>
                <w:szCs w:val="14"/>
                <w:color w:val="auto"/>
              </w:rPr>
              <w:t>New York</w:t>
            </w:r>
          </w:p>
        </w:tc>
        <w:tc>
          <w:tcPr>
            <w:tcW w:w="640" w:type="dxa"/>
            <w:vAlign w:val="bottom"/>
          </w:tcPr>
          <w:p>
            <w:pPr>
              <w:ind w:left="60"/>
              <w:spacing w:after="0"/>
              <w:rPr>
                <w:sz w:val="20"/>
                <w:szCs w:val="20"/>
                <w:color w:val="auto"/>
              </w:rPr>
            </w:pPr>
            <w:r>
              <w:rPr>
                <w:rFonts w:ascii="Arial" w:cs="Arial" w:eastAsia="Arial" w:hAnsi="Arial"/>
                <w:sz w:val="14"/>
                <w:szCs w:val="14"/>
                <w:color w:val="auto"/>
              </w:rPr>
              <w:t>ENY008</w:t>
            </w:r>
          </w:p>
        </w:tc>
        <w:tc>
          <w:tcPr>
            <w:tcW w:w="138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320</w:t>
            </w:r>
          </w:p>
        </w:tc>
        <w:tc>
          <w:tcPr>
            <w:tcW w:w="10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414</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320</w:t>
            </w:r>
          </w:p>
        </w:tc>
        <w:tc>
          <w:tcPr>
            <w:tcW w:w="1200" w:type="dxa"/>
            <w:vAlign w:val="bottom"/>
            <w:gridSpan w:val="3"/>
          </w:tcPr>
          <w:p>
            <w:pPr>
              <w:jc w:val="right"/>
              <w:ind w:right="28"/>
              <w:spacing w:after="0"/>
              <w:rPr>
                <w:sz w:val="20"/>
                <w:szCs w:val="20"/>
                <w:color w:val="auto"/>
              </w:rPr>
            </w:pPr>
            <w:r>
              <w:rPr>
                <w:rFonts w:ascii="Arial" w:cs="Arial" w:eastAsia="Arial" w:hAnsi="Arial"/>
                <w:sz w:val="14"/>
                <w:szCs w:val="14"/>
                <w:color w:val="auto"/>
              </w:rPr>
              <w:t>412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732</w:t>
            </w:r>
          </w:p>
        </w:tc>
        <w:tc>
          <w:tcPr>
            <w:tcW w:w="2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133</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Rochester,</w:t>
            </w:r>
          </w:p>
        </w:tc>
        <w:tc>
          <w:tcPr>
            <w:tcW w:w="6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York</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ENY009</w:t>
            </w:r>
          </w:p>
        </w:tc>
        <w:tc>
          <w:tcPr>
            <w:tcW w:w="138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399</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120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514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913</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880" w:type="dxa"/>
            <w:vAlign w:val="bottom"/>
          </w:tcPr>
          <w:p>
            <w:pPr>
              <w:ind w:left="20"/>
              <w:spacing w:after="0" w:line="157" w:lineRule="exact"/>
              <w:rPr>
                <w:sz w:val="20"/>
                <w:szCs w:val="20"/>
                <w:color w:val="auto"/>
              </w:rPr>
            </w:pPr>
            <w:r>
              <w:rPr>
                <w:rFonts w:ascii="Arial" w:cs="Arial" w:eastAsia="Arial" w:hAnsi="Arial"/>
                <w:sz w:val="14"/>
                <w:szCs w:val="14"/>
                <w:color w:val="auto"/>
                <w:w w:val="99"/>
              </w:rPr>
              <w:t>Sayville, New</w:t>
            </w: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80" w:type="dxa"/>
            <w:vAlign w:val="bottom"/>
          </w:tcPr>
          <w:p>
            <w:pPr>
              <w:ind w:left="20"/>
              <w:spacing w:after="0"/>
              <w:rPr>
                <w:sz w:val="20"/>
                <w:szCs w:val="20"/>
                <w:color w:val="auto"/>
              </w:rPr>
            </w:pPr>
            <w:r>
              <w:rPr>
                <w:rFonts w:ascii="Arial" w:cs="Arial" w:eastAsia="Arial" w:hAnsi="Arial"/>
                <w:sz w:val="14"/>
                <w:szCs w:val="14"/>
                <w:color w:val="auto"/>
              </w:rPr>
              <w:t>York</w:t>
            </w:r>
          </w:p>
        </w:tc>
        <w:tc>
          <w:tcPr>
            <w:tcW w:w="640" w:type="dxa"/>
            <w:vAlign w:val="bottom"/>
          </w:tcPr>
          <w:p>
            <w:pPr>
              <w:ind w:left="60"/>
              <w:spacing w:after="0"/>
              <w:rPr>
                <w:sz w:val="20"/>
                <w:szCs w:val="20"/>
                <w:color w:val="auto"/>
              </w:rPr>
            </w:pPr>
            <w:r>
              <w:rPr>
                <w:rFonts w:ascii="Arial" w:cs="Arial" w:eastAsia="Arial" w:hAnsi="Arial"/>
                <w:sz w:val="14"/>
                <w:szCs w:val="14"/>
                <w:color w:val="auto"/>
              </w:rPr>
              <w:t>ENY010</w:t>
            </w:r>
          </w:p>
        </w:tc>
        <w:tc>
          <w:tcPr>
            <w:tcW w:w="138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959</w:t>
            </w:r>
          </w:p>
        </w:tc>
        <w:tc>
          <w:tcPr>
            <w:tcW w:w="10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1,240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959</w:t>
            </w:r>
          </w:p>
        </w:tc>
        <w:tc>
          <w:tcPr>
            <w:tcW w:w="1200" w:type="dxa"/>
            <w:vAlign w:val="bottom"/>
            <w:gridSpan w:val="3"/>
          </w:tcPr>
          <w:p>
            <w:pPr>
              <w:jc w:val="right"/>
              <w:ind w:right="28"/>
              <w:spacing w:after="0"/>
              <w:rPr>
                <w:sz w:val="20"/>
                <w:szCs w:val="20"/>
                <w:color w:val="auto"/>
              </w:rPr>
            </w:pPr>
            <w:r>
              <w:rPr>
                <w:rFonts w:ascii="Arial" w:cs="Arial" w:eastAsia="Arial" w:hAnsi="Arial"/>
                <w:sz w:val="14"/>
                <w:szCs w:val="14"/>
                <w:color w:val="auto"/>
              </w:rPr>
              <w:t>1,233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2,192</w:t>
            </w:r>
          </w:p>
        </w:tc>
        <w:tc>
          <w:tcPr>
            <w:tcW w:w="2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397</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Shirley, New</w:t>
            </w:r>
          </w:p>
        </w:tc>
        <w:tc>
          <w:tcPr>
            <w:tcW w:w="6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York</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ENY011</w:t>
            </w:r>
          </w:p>
        </w:tc>
        <w:tc>
          <w:tcPr>
            <w:tcW w:w="138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587</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761</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w:t>
            </w:r>
          </w:p>
        </w:tc>
        <w:tc>
          <w:tcPr>
            <w:tcW w:w="120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761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1,348</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243</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880" w:type="dxa"/>
            <w:vAlign w:val="bottom"/>
          </w:tcPr>
          <w:p>
            <w:pPr>
              <w:ind w:left="20"/>
              <w:spacing w:after="0" w:line="157" w:lineRule="exact"/>
              <w:rPr>
                <w:sz w:val="20"/>
                <w:szCs w:val="20"/>
                <w:color w:val="auto"/>
              </w:rPr>
            </w:pPr>
            <w:r>
              <w:rPr>
                <w:rFonts w:ascii="Arial" w:cs="Arial" w:eastAsia="Arial" w:hAnsi="Arial"/>
                <w:sz w:val="14"/>
                <w:szCs w:val="14"/>
                <w:color w:val="auto"/>
              </w:rPr>
              <w:t>Smithtown,</w:t>
            </w: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80" w:type="dxa"/>
            <w:vAlign w:val="bottom"/>
          </w:tcPr>
          <w:p>
            <w:pPr>
              <w:ind w:left="20"/>
              <w:spacing w:after="0"/>
              <w:rPr>
                <w:sz w:val="20"/>
                <w:szCs w:val="20"/>
                <w:color w:val="auto"/>
              </w:rPr>
            </w:pPr>
            <w:r>
              <w:rPr>
                <w:rFonts w:ascii="Arial" w:cs="Arial" w:eastAsia="Arial" w:hAnsi="Arial"/>
                <w:sz w:val="14"/>
                <w:szCs w:val="14"/>
                <w:color w:val="auto"/>
              </w:rPr>
              <w:t>New York</w:t>
            </w:r>
          </w:p>
        </w:tc>
        <w:tc>
          <w:tcPr>
            <w:tcW w:w="640" w:type="dxa"/>
            <w:vAlign w:val="bottom"/>
          </w:tcPr>
          <w:p>
            <w:pPr>
              <w:ind w:left="60"/>
              <w:spacing w:after="0"/>
              <w:rPr>
                <w:sz w:val="20"/>
                <w:szCs w:val="20"/>
                <w:color w:val="auto"/>
              </w:rPr>
            </w:pPr>
            <w:r>
              <w:rPr>
                <w:rFonts w:ascii="Arial" w:cs="Arial" w:eastAsia="Arial" w:hAnsi="Arial"/>
                <w:sz w:val="14"/>
                <w:szCs w:val="14"/>
                <w:color w:val="auto"/>
              </w:rPr>
              <w:t>ENY012</w:t>
            </w:r>
          </w:p>
        </w:tc>
        <w:tc>
          <w:tcPr>
            <w:tcW w:w="138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521</w:t>
            </w:r>
          </w:p>
        </w:tc>
        <w:tc>
          <w:tcPr>
            <w:tcW w:w="10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675</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521</w:t>
            </w:r>
          </w:p>
        </w:tc>
        <w:tc>
          <w:tcPr>
            <w:tcW w:w="1200" w:type="dxa"/>
            <w:vAlign w:val="bottom"/>
            <w:gridSpan w:val="3"/>
          </w:tcPr>
          <w:p>
            <w:pPr>
              <w:jc w:val="right"/>
              <w:ind w:right="28"/>
              <w:spacing w:after="0"/>
              <w:rPr>
                <w:sz w:val="20"/>
                <w:szCs w:val="20"/>
                <w:color w:val="auto"/>
              </w:rPr>
            </w:pPr>
            <w:r>
              <w:rPr>
                <w:rFonts w:ascii="Arial" w:cs="Arial" w:eastAsia="Arial" w:hAnsi="Arial"/>
                <w:sz w:val="14"/>
                <w:szCs w:val="14"/>
                <w:color w:val="auto"/>
              </w:rPr>
              <w:t>671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1,192</w:t>
            </w:r>
          </w:p>
        </w:tc>
        <w:tc>
          <w:tcPr>
            <w:tcW w:w="2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216</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8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8"/>
              </w:rPr>
              <w:t>Syosset, New</w:t>
            </w:r>
          </w:p>
        </w:tc>
        <w:tc>
          <w:tcPr>
            <w:tcW w:w="6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York</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ENY013</w:t>
            </w:r>
          </w:p>
        </w:tc>
        <w:tc>
          <w:tcPr>
            <w:tcW w:w="138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711</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w:t>
            </w:r>
          </w:p>
        </w:tc>
        <w:tc>
          <w:tcPr>
            <w:tcW w:w="120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919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1,630</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294</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880" w:type="dxa"/>
            <w:vAlign w:val="bottom"/>
          </w:tcPr>
          <w:p>
            <w:pPr>
              <w:ind w:left="20"/>
              <w:spacing w:after="0" w:line="157" w:lineRule="exact"/>
              <w:rPr>
                <w:sz w:val="20"/>
                <w:szCs w:val="20"/>
                <w:color w:val="auto"/>
              </w:rPr>
            </w:pPr>
            <w:r>
              <w:rPr>
                <w:rFonts w:ascii="Arial" w:cs="Arial" w:eastAsia="Arial" w:hAnsi="Arial"/>
                <w:sz w:val="14"/>
                <w:szCs w:val="14"/>
                <w:color w:val="auto"/>
              </w:rPr>
              <w:t>Syracuse,</w:t>
            </w: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80" w:type="dxa"/>
            <w:vAlign w:val="bottom"/>
          </w:tcPr>
          <w:p>
            <w:pPr>
              <w:ind w:left="20"/>
              <w:spacing w:after="0"/>
              <w:rPr>
                <w:sz w:val="20"/>
                <w:szCs w:val="20"/>
                <w:color w:val="auto"/>
              </w:rPr>
            </w:pPr>
            <w:r>
              <w:rPr>
                <w:rFonts w:ascii="Arial" w:cs="Arial" w:eastAsia="Arial" w:hAnsi="Arial"/>
                <w:sz w:val="14"/>
                <w:szCs w:val="14"/>
                <w:color w:val="auto"/>
              </w:rPr>
              <w:t>New York</w:t>
            </w:r>
          </w:p>
        </w:tc>
        <w:tc>
          <w:tcPr>
            <w:tcW w:w="640" w:type="dxa"/>
            <w:vAlign w:val="bottom"/>
          </w:tcPr>
          <w:p>
            <w:pPr>
              <w:ind w:left="60"/>
              <w:spacing w:after="0"/>
              <w:rPr>
                <w:sz w:val="20"/>
                <w:szCs w:val="20"/>
                <w:color w:val="auto"/>
              </w:rPr>
            </w:pPr>
            <w:r>
              <w:rPr>
                <w:rFonts w:ascii="Arial" w:cs="Arial" w:eastAsia="Arial" w:hAnsi="Arial"/>
                <w:sz w:val="14"/>
                <w:szCs w:val="14"/>
                <w:color w:val="auto"/>
              </w:rPr>
              <w:t>ENY014</w:t>
            </w:r>
          </w:p>
        </w:tc>
        <w:tc>
          <w:tcPr>
            <w:tcW w:w="138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558</w:t>
            </w:r>
          </w:p>
        </w:tc>
        <w:tc>
          <w:tcPr>
            <w:tcW w:w="10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723</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558</w:t>
            </w:r>
          </w:p>
        </w:tc>
        <w:tc>
          <w:tcPr>
            <w:tcW w:w="1200" w:type="dxa"/>
            <w:vAlign w:val="bottom"/>
            <w:gridSpan w:val="3"/>
          </w:tcPr>
          <w:p>
            <w:pPr>
              <w:jc w:val="right"/>
              <w:ind w:right="28"/>
              <w:spacing w:after="0"/>
              <w:rPr>
                <w:sz w:val="20"/>
                <w:szCs w:val="20"/>
                <w:color w:val="auto"/>
              </w:rPr>
            </w:pPr>
            <w:r>
              <w:rPr>
                <w:rFonts w:ascii="Arial" w:cs="Arial" w:eastAsia="Arial" w:hAnsi="Arial"/>
                <w:sz w:val="14"/>
                <w:szCs w:val="14"/>
                <w:color w:val="auto"/>
              </w:rPr>
              <w:t>719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1,277</w:t>
            </w:r>
          </w:p>
        </w:tc>
        <w:tc>
          <w:tcPr>
            <w:tcW w:w="2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231</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Wantagh,</w:t>
            </w:r>
          </w:p>
        </w:tc>
        <w:tc>
          <w:tcPr>
            <w:tcW w:w="6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York</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ENY015</w:t>
            </w:r>
          </w:p>
        </w:tc>
        <w:tc>
          <w:tcPr>
            <w:tcW w:w="138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747</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967</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747</w:t>
            </w:r>
          </w:p>
        </w:tc>
        <w:tc>
          <w:tcPr>
            <w:tcW w:w="120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967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1,714</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309</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880" w:type="dxa"/>
            <w:vAlign w:val="bottom"/>
          </w:tcPr>
          <w:p>
            <w:pPr>
              <w:ind w:left="20"/>
              <w:spacing w:after="0" w:line="157" w:lineRule="exact"/>
              <w:rPr>
                <w:sz w:val="20"/>
                <w:szCs w:val="20"/>
                <w:color w:val="auto"/>
              </w:rPr>
            </w:pPr>
            <w:r>
              <w:rPr>
                <w:rFonts w:ascii="Arial" w:cs="Arial" w:eastAsia="Arial" w:hAnsi="Arial"/>
                <w:sz w:val="14"/>
                <w:szCs w:val="14"/>
                <w:color w:val="auto"/>
                <w:w w:val="95"/>
              </w:rPr>
              <w:t>Webster, New</w:t>
            </w: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80" w:type="dxa"/>
            <w:vAlign w:val="bottom"/>
          </w:tcPr>
          <w:p>
            <w:pPr>
              <w:ind w:left="20"/>
              <w:spacing w:after="0"/>
              <w:rPr>
                <w:sz w:val="20"/>
                <w:szCs w:val="20"/>
                <w:color w:val="auto"/>
              </w:rPr>
            </w:pPr>
            <w:r>
              <w:rPr>
                <w:rFonts w:ascii="Arial" w:cs="Arial" w:eastAsia="Arial" w:hAnsi="Arial"/>
                <w:sz w:val="14"/>
                <w:szCs w:val="14"/>
                <w:color w:val="auto"/>
              </w:rPr>
              <w:t>York</w:t>
            </w:r>
          </w:p>
        </w:tc>
        <w:tc>
          <w:tcPr>
            <w:tcW w:w="640" w:type="dxa"/>
            <w:vAlign w:val="bottom"/>
          </w:tcPr>
          <w:p>
            <w:pPr>
              <w:ind w:left="60"/>
              <w:spacing w:after="0"/>
              <w:rPr>
                <w:sz w:val="20"/>
                <w:szCs w:val="20"/>
                <w:color w:val="auto"/>
              </w:rPr>
            </w:pPr>
            <w:r>
              <w:rPr>
                <w:rFonts w:ascii="Arial" w:cs="Arial" w:eastAsia="Arial" w:hAnsi="Arial"/>
                <w:sz w:val="14"/>
                <w:szCs w:val="14"/>
                <w:color w:val="auto"/>
              </w:rPr>
              <w:t>ENY016</w:t>
            </w:r>
          </w:p>
        </w:tc>
        <w:tc>
          <w:tcPr>
            <w:tcW w:w="138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683</w:t>
            </w:r>
          </w:p>
        </w:tc>
        <w:tc>
          <w:tcPr>
            <w:tcW w:w="10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885</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683</w:t>
            </w:r>
          </w:p>
        </w:tc>
        <w:tc>
          <w:tcPr>
            <w:tcW w:w="1200" w:type="dxa"/>
            <w:vAlign w:val="bottom"/>
            <w:gridSpan w:val="3"/>
          </w:tcPr>
          <w:p>
            <w:pPr>
              <w:jc w:val="right"/>
              <w:ind w:right="28"/>
              <w:spacing w:after="0"/>
              <w:rPr>
                <w:sz w:val="20"/>
                <w:szCs w:val="20"/>
                <w:color w:val="auto"/>
              </w:rPr>
            </w:pPr>
            <w:r>
              <w:rPr>
                <w:rFonts w:ascii="Arial" w:cs="Arial" w:eastAsia="Arial" w:hAnsi="Arial"/>
                <w:sz w:val="14"/>
                <w:szCs w:val="14"/>
                <w:color w:val="auto"/>
              </w:rPr>
              <w:t>880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1,563</w:t>
            </w:r>
          </w:p>
        </w:tc>
        <w:tc>
          <w:tcPr>
            <w:tcW w:w="2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283</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West</w:t>
            </w:r>
          </w:p>
        </w:tc>
        <w:tc>
          <w:tcPr>
            <w:tcW w:w="6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Babylon,</w:t>
            </w:r>
          </w:p>
        </w:tc>
        <w:tc>
          <w:tcPr>
            <w:tcW w:w="6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York</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ENY017</w:t>
            </w:r>
          </w:p>
        </w:tc>
        <w:tc>
          <w:tcPr>
            <w:tcW w:w="138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1,492</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1,933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1,492</w:t>
            </w:r>
          </w:p>
        </w:tc>
        <w:tc>
          <w:tcPr>
            <w:tcW w:w="120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1,931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3,423</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618</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880" w:type="dxa"/>
            <w:vAlign w:val="bottom"/>
          </w:tcPr>
          <w:p>
            <w:pPr>
              <w:ind w:left="20"/>
              <w:spacing w:after="0" w:line="157" w:lineRule="exact"/>
              <w:rPr>
                <w:sz w:val="20"/>
                <w:szCs w:val="20"/>
                <w:color w:val="auto"/>
              </w:rPr>
            </w:pPr>
            <w:r>
              <w:rPr>
                <w:rFonts w:ascii="Arial" w:cs="Arial" w:eastAsia="Arial" w:hAnsi="Arial"/>
                <w:sz w:val="14"/>
                <w:szCs w:val="14"/>
                <w:color w:val="auto"/>
              </w:rPr>
              <w:t>White Plains,</w:t>
            </w: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80" w:type="dxa"/>
            <w:vAlign w:val="bottom"/>
          </w:tcPr>
          <w:p>
            <w:pPr>
              <w:ind w:left="20"/>
              <w:spacing w:after="0"/>
              <w:rPr>
                <w:sz w:val="20"/>
                <w:szCs w:val="20"/>
                <w:color w:val="auto"/>
              </w:rPr>
            </w:pPr>
            <w:r>
              <w:rPr>
                <w:rFonts w:ascii="Arial" w:cs="Arial" w:eastAsia="Arial" w:hAnsi="Arial"/>
                <w:sz w:val="14"/>
                <w:szCs w:val="14"/>
                <w:color w:val="auto"/>
              </w:rPr>
              <w:t>New York</w:t>
            </w:r>
          </w:p>
        </w:tc>
        <w:tc>
          <w:tcPr>
            <w:tcW w:w="640" w:type="dxa"/>
            <w:vAlign w:val="bottom"/>
          </w:tcPr>
          <w:p>
            <w:pPr>
              <w:ind w:left="60"/>
              <w:spacing w:after="0"/>
              <w:rPr>
                <w:sz w:val="20"/>
                <w:szCs w:val="20"/>
                <w:color w:val="auto"/>
              </w:rPr>
            </w:pPr>
            <w:r>
              <w:rPr>
                <w:rFonts w:ascii="Arial" w:cs="Arial" w:eastAsia="Arial" w:hAnsi="Arial"/>
                <w:sz w:val="14"/>
                <w:szCs w:val="14"/>
                <w:color w:val="auto"/>
              </w:rPr>
              <w:t>ENY018</w:t>
            </w:r>
          </w:p>
        </w:tc>
        <w:tc>
          <w:tcPr>
            <w:tcW w:w="138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1,471</w:t>
            </w:r>
          </w:p>
        </w:tc>
        <w:tc>
          <w:tcPr>
            <w:tcW w:w="10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1,904</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1,471</w:t>
            </w:r>
          </w:p>
        </w:tc>
        <w:tc>
          <w:tcPr>
            <w:tcW w:w="1200" w:type="dxa"/>
            <w:vAlign w:val="bottom"/>
            <w:gridSpan w:val="3"/>
          </w:tcPr>
          <w:p>
            <w:pPr>
              <w:jc w:val="right"/>
              <w:ind w:right="28"/>
              <w:spacing w:after="0"/>
              <w:rPr>
                <w:sz w:val="20"/>
                <w:szCs w:val="20"/>
                <w:color w:val="auto"/>
              </w:rPr>
            </w:pPr>
            <w:r>
              <w:rPr>
                <w:rFonts w:ascii="Arial" w:cs="Arial" w:eastAsia="Arial" w:hAnsi="Arial"/>
                <w:sz w:val="14"/>
                <w:szCs w:val="14"/>
                <w:color w:val="auto"/>
              </w:rPr>
              <w:t>1,894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3,365</w:t>
            </w:r>
          </w:p>
        </w:tc>
        <w:tc>
          <w:tcPr>
            <w:tcW w:w="2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610</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Asheville,</w:t>
            </w:r>
          </w:p>
        </w:tc>
        <w:tc>
          <w:tcPr>
            <w:tcW w:w="6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North</w:t>
            </w:r>
          </w:p>
        </w:tc>
        <w:tc>
          <w:tcPr>
            <w:tcW w:w="6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Carolina</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ENC001</w:t>
            </w:r>
          </w:p>
        </w:tc>
        <w:tc>
          <w:tcPr>
            <w:tcW w:w="138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397</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513</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120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513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910</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880" w:type="dxa"/>
            <w:vAlign w:val="bottom"/>
          </w:tcPr>
          <w:p>
            <w:pPr>
              <w:ind w:left="20"/>
              <w:spacing w:after="0" w:line="157" w:lineRule="exact"/>
              <w:rPr>
                <w:sz w:val="20"/>
                <w:szCs w:val="20"/>
                <w:color w:val="auto"/>
              </w:rPr>
            </w:pPr>
            <w:r>
              <w:rPr>
                <w:rFonts w:ascii="Arial" w:cs="Arial" w:eastAsia="Arial" w:hAnsi="Arial"/>
                <w:sz w:val="14"/>
                <w:szCs w:val="14"/>
                <w:color w:val="auto"/>
              </w:rPr>
              <w:t>Cary, North</w:t>
            </w: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880" w:type="dxa"/>
            <w:vAlign w:val="bottom"/>
          </w:tcPr>
          <w:p>
            <w:pPr>
              <w:ind w:left="20"/>
              <w:spacing w:after="0"/>
              <w:rPr>
                <w:sz w:val="20"/>
                <w:szCs w:val="20"/>
                <w:color w:val="auto"/>
              </w:rPr>
            </w:pPr>
            <w:r>
              <w:rPr>
                <w:rFonts w:ascii="Arial" w:cs="Arial" w:eastAsia="Arial" w:hAnsi="Arial"/>
                <w:sz w:val="14"/>
                <w:szCs w:val="14"/>
                <w:color w:val="auto"/>
              </w:rPr>
              <w:t>Carolina</w:t>
            </w:r>
          </w:p>
        </w:tc>
        <w:tc>
          <w:tcPr>
            <w:tcW w:w="640" w:type="dxa"/>
            <w:vAlign w:val="bottom"/>
          </w:tcPr>
          <w:p>
            <w:pPr>
              <w:ind w:left="60"/>
              <w:spacing w:after="0"/>
              <w:rPr>
                <w:sz w:val="20"/>
                <w:szCs w:val="20"/>
                <w:color w:val="auto"/>
              </w:rPr>
            </w:pPr>
            <w:r>
              <w:rPr>
                <w:rFonts w:ascii="Arial" w:cs="Arial" w:eastAsia="Arial" w:hAnsi="Arial"/>
                <w:sz w:val="14"/>
                <w:szCs w:val="14"/>
                <w:color w:val="auto"/>
              </w:rPr>
              <w:t>ENC002</w:t>
            </w:r>
          </w:p>
        </w:tc>
        <w:tc>
          <w:tcPr>
            <w:tcW w:w="138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476</w:t>
            </w:r>
          </w:p>
        </w:tc>
        <w:tc>
          <w:tcPr>
            <w:tcW w:w="100" w:type="dxa"/>
            <w:vAlign w:val="bottom"/>
          </w:tcPr>
          <w:p>
            <w:pPr>
              <w:spacing w:after="0"/>
              <w:rPr>
                <w:sz w:val="15"/>
                <w:szCs w:val="15"/>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615</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476</w:t>
            </w:r>
          </w:p>
        </w:tc>
        <w:tc>
          <w:tcPr>
            <w:tcW w:w="1200" w:type="dxa"/>
            <w:vAlign w:val="bottom"/>
            <w:gridSpan w:val="3"/>
          </w:tcPr>
          <w:p>
            <w:pPr>
              <w:jc w:val="right"/>
              <w:ind w:right="28"/>
              <w:spacing w:after="0"/>
              <w:rPr>
                <w:sz w:val="20"/>
                <w:szCs w:val="20"/>
                <w:color w:val="auto"/>
              </w:rPr>
            </w:pPr>
            <w:r>
              <w:rPr>
                <w:rFonts w:ascii="Arial" w:cs="Arial" w:eastAsia="Arial" w:hAnsi="Arial"/>
                <w:sz w:val="14"/>
                <w:szCs w:val="14"/>
                <w:color w:val="auto"/>
              </w:rPr>
              <w:t>612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1,088</w:t>
            </w:r>
          </w:p>
        </w:tc>
        <w:tc>
          <w:tcPr>
            <w:tcW w:w="22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197</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80"/>
          </w:cols>
          <w:pgMar w:left="260" w:top="742" w:right="25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iStar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III—Real Estate and Accumulated Depreciation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2016</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0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4"/>
              </w:rPr>
              <w:t>Gross Amount Carried</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Initial Cost to Company</w:t>
            </w:r>
          </w:p>
        </w:tc>
        <w:tc>
          <w:tcPr>
            <w:tcW w:w="10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Cost</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2"/>
              </w:rPr>
              <w:t>at Close of Period</w:t>
            </w:r>
          </w:p>
        </w:tc>
        <w:tc>
          <w:tcPr>
            <w:tcW w:w="5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9"/>
              </w:rPr>
              <w:t>Building and</w:t>
            </w:r>
          </w:p>
        </w:tc>
        <w:tc>
          <w:tcPr>
            <w:tcW w:w="100" w:type="dxa"/>
            <w:vAlign w:val="bottom"/>
          </w:tcPr>
          <w:p>
            <w:pPr>
              <w:spacing w:after="0"/>
              <w:rPr>
                <w:sz w:val="11"/>
                <w:szCs w:val="11"/>
                <w:color w:val="auto"/>
              </w:rPr>
            </w:pPr>
          </w:p>
        </w:tc>
        <w:tc>
          <w:tcPr>
            <w:tcW w:w="102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4"/>
              </w:rPr>
              <w:t>Capitalized</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4"/>
              </w:rPr>
              <w:t>Building and</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Depreciable</w:t>
            </w:r>
          </w:p>
        </w:tc>
        <w:tc>
          <w:tcPr>
            <w:tcW w:w="0" w:type="dxa"/>
            <w:vAlign w:val="bottom"/>
          </w:tcPr>
          <w:p>
            <w:pPr>
              <w:spacing w:after="0"/>
              <w:rPr>
                <w:sz w:val="1"/>
                <w:szCs w:val="1"/>
                <w:color w:val="auto"/>
              </w:rPr>
            </w:pPr>
          </w:p>
        </w:tc>
      </w:tr>
      <w:tr>
        <w:trPr>
          <w:trHeight w:val="149"/>
        </w:trPr>
        <w:tc>
          <w:tcPr>
            <w:tcW w:w="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Location</w:t>
            </w:r>
          </w:p>
        </w:tc>
        <w:tc>
          <w:tcPr>
            <w:tcW w:w="660" w:type="dxa"/>
            <w:vAlign w:val="bottom"/>
          </w:tcPr>
          <w:p>
            <w:pPr>
              <w:spacing w:after="0"/>
              <w:rPr>
                <w:sz w:val="12"/>
                <w:szCs w:val="12"/>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Encumbrances</w:t>
            </w:r>
          </w:p>
        </w:tc>
        <w:tc>
          <w:tcPr>
            <w:tcW w:w="8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Land</w:t>
            </w: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Subsequent to</w:t>
            </w:r>
          </w:p>
        </w:tc>
        <w:tc>
          <w:tcPr>
            <w:tcW w:w="6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Land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110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192"/>
        </w:trPr>
        <w:tc>
          <w:tcPr>
            <w:tcW w:w="82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94"/>
              </w:rPr>
              <w:t>Improvements</w:t>
            </w:r>
          </w:p>
        </w:tc>
        <w:tc>
          <w:tcPr>
            <w:tcW w:w="10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Acquisition</w:t>
            </w:r>
            <w:r>
              <w:rPr>
                <w:rFonts w:ascii="Arial" w:cs="Arial" w:eastAsia="Arial" w:hAnsi="Arial"/>
                <w:sz w:val="8"/>
                <w:szCs w:val="8"/>
                <w:b w:val="1"/>
                <w:bCs w:val="1"/>
                <w:color w:val="auto"/>
                <w:w w:val="92"/>
              </w:rPr>
              <w:t>(2)</w:t>
            </w: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Improvements</w:t>
            </w:r>
          </w:p>
        </w:tc>
        <w:tc>
          <w:tcPr>
            <w:tcW w:w="800" w:type="dxa"/>
            <w:vAlign w:val="bottom"/>
            <w:gridSpan w:val="2"/>
            <w:vMerge w:val="continue"/>
          </w:tcPr>
          <w:p>
            <w:pPr>
              <w:spacing w:after="0"/>
              <w:rPr>
                <w:sz w:val="16"/>
                <w:szCs w:val="16"/>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Depreciation</w:t>
            </w: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Acquired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156"/>
        </w:trPr>
        <w:tc>
          <w:tcPr>
            <w:tcW w:w="820" w:type="dxa"/>
            <w:vAlign w:val="bottom"/>
            <w:tcBorders>
              <w:top w:val="single" w:sz="8" w:color="auto"/>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Charlotte,</w:t>
            </w:r>
          </w:p>
        </w:tc>
        <w:tc>
          <w:tcPr>
            <w:tcW w:w="66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North</w:t>
            </w:r>
          </w:p>
        </w:tc>
        <w:tc>
          <w:tcPr>
            <w:tcW w:w="6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Carolina</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ENC003</w:t>
            </w:r>
          </w:p>
        </w:tc>
        <w:tc>
          <w:tcPr>
            <w:tcW w:w="138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410</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w:t>
            </w:r>
          </w:p>
        </w:tc>
        <w:tc>
          <w:tcPr>
            <w:tcW w:w="122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527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937</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820" w:type="dxa"/>
            <w:vAlign w:val="bottom"/>
          </w:tcPr>
          <w:p>
            <w:pPr>
              <w:ind w:left="20"/>
              <w:spacing w:after="0" w:line="157" w:lineRule="exact"/>
              <w:rPr>
                <w:sz w:val="20"/>
                <w:szCs w:val="20"/>
                <w:color w:val="auto"/>
              </w:rPr>
            </w:pPr>
            <w:r>
              <w:rPr>
                <w:rFonts w:ascii="Arial" w:cs="Arial" w:eastAsia="Arial" w:hAnsi="Arial"/>
                <w:sz w:val="14"/>
                <w:szCs w:val="14"/>
                <w:color w:val="auto"/>
              </w:rPr>
              <w:t>Charlotte,</w:t>
            </w: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20" w:type="dxa"/>
            <w:vAlign w:val="bottom"/>
          </w:tcPr>
          <w:p>
            <w:pPr>
              <w:ind w:left="20"/>
              <w:spacing w:after="0" w:line="149" w:lineRule="exact"/>
              <w:rPr>
                <w:sz w:val="20"/>
                <w:szCs w:val="20"/>
                <w:color w:val="auto"/>
              </w:rPr>
            </w:pPr>
            <w:r>
              <w:rPr>
                <w:rFonts w:ascii="Arial" w:cs="Arial" w:eastAsia="Arial" w:hAnsi="Arial"/>
                <w:sz w:val="14"/>
                <w:szCs w:val="14"/>
                <w:color w:val="auto"/>
              </w:rPr>
              <w:t>North</w:t>
            </w: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20" w:type="dxa"/>
            <w:vAlign w:val="bottom"/>
          </w:tcPr>
          <w:p>
            <w:pPr>
              <w:ind w:left="20"/>
              <w:spacing w:after="0"/>
              <w:rPr>
                <w:sz w:val="20"/>
                <w:szCs w:val="20"/>
                <w:color w:val="auto"/>
              </w:rPr>
            </w:pPr>
            <w:r>
              <w:rPr>
                <w:rFonts w:ascii="Arial" w:cs="Arial" w:eastAsia="Arial" w:hAnsi="Arial"/>
                <w:sz w:val="14"/>
                <w:szCs w:val="14"/>
                <w:color w:val="auto"/>
              </w:rPr>
              <w:t>Carolina</w:t>
            </w:r>
          </w:p>
        </w:tc>
        <w:tc>
          <w:tcPr>
            <w:tcW w:w="660" w:type="dxa"/>
            <w:vAlign w:val="bottom"/>
          </w:tcPr>
          <w:p>
            <w:pPr>
              <w:ind w:left="60"/>
              <w:spacing w:after="0"/>
              <w:rPr>
                <w:sz w:val="20"/>
                <w:szCs w:val="20"/>
                <w:color w:val="auto"/>
              </w:rPr>
            </w:pPr>
            <w:r>
              <w:rPr>
                <w:rFonts w:ascii="Arial" w:cs="Arial" w:eastAsia="Arial" w:hAnsi="Arial"/>
                <w:sz w:val="14"/>
                <w:szCs w:val="14"/>
                <w:color w:val="auto"/>
              </w:rPr>
              <w:t>ENC004</w:t>
            </w:r>
          </w:p>
        </w:tc>
        <w:tc>
          <w:tcPr>
            <w:tcW w:w="13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402</w:t>
            </w:r>
          </w:p>
        </w:tc>
        <w:tc>
          <w:tcPr>
            <w:tcW w:w="10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520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402</w:t>
            </w:r>
          </w:p>
        </w:tc>
        <w:tc>
          <w:tcPr>
            <w:tcW w:w="1220" w:type="dxa"/>
            <w:vAlign w:val="bottom"/>
            <w:gridSpan w:val="3"/>
          </w:tcPr>
          <w:p>
            <w:pPr>
              <w:jc w:val="right"/>
              <w:ind w:right="28"/>
              <w:spacing w:after="0"/>
              <w:rPr>
                <w:sz w:val="20"/>
                <w:szCs w:val="20"/>
                <w:color w:val="auto"/>
              </w:rPr>
            </w:pPr>
            <w:r>
              <w:rPr>
                <w:rFonts w:ascii="Arial" w:cs="Arial" w:eastAsia="Arial" w:hAnsi="Arial"/>
                <w:sz w:val="14"/>
                <w:szCs w:val="14"/>
                <w:color w:val="auto"/>
              </w:rPr>
              <w:t>517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919</w:t>
            </w:r>
          </w:p>
        </w:tc>
        <w:tc>
          <w:tcPr>
            <w:tcW w:w="2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167</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Durham,</w:t>
            </w:r>
          </w:p>
        </w:tc>
        <w:tc>
          <w:tcPr>
            <w:tcW w:w="6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North</w:t>
            </w:r>
          </w:p>
        </w:tc>
        <w:tc>
          <w:tcPr>
            <w:tcW w:w="6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Carolina</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ENC005</w:t>
            </w:r>
          </w:p>
        </w:tc>
        <w:tc>
          <w:tcPr>
            <w:tcW w:w="138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948</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948</w:t>
            </w:r>
          </w:p>
        </w:tc>
        <w:tc>
          <w:tcPr>
            <w:tcW w:w="122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1,226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2,174</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392</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820" w:type="dxa"/>
            <w:vAlign w:val="bottom"/>
          </w:tcPr>
          <w:p>
            <w:pPr>
              <w:ind w:left="20"/>
              <w:spacing w:after="0" w:line="157" w:lineRule="exact"/>
              <w:rPr>
                <w:sz w:val="20"/>
                <w:szCs w:val="20"/>
                <w:color w:val="auto"/>
              </w:rPr>
            </w:pPr>
            <w:r>
              <w:rPr>
                <w:rFonts w:ascii="Arial" w:cs="Arial" w:eastAsia="Arial" w:hAnsi="Arial"/>
                <w:sz w:val="14"/>
                <w:szCs w:val="14"/>
                <w:color w:val="auto"/>
              </w:rPr>
              <w:t>Goldsboro,</w:t>
            </w: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20" w:type="dxa"/>
            <w:vAlign w:val="bottom"/>
          </w:tcPr>
          <w:p>
            <w:pPr>
              <w:ind w:left="20"/>
              <w:spacing w:after="0" w:line="149" w:lineRule="exact"/>
              <w:rPr>
                <w:sz w:val="20"/>
                <w:szCs w:val="20"/>
                <w:color w:val="auto"/>
              </w:rPr>
            </w:pPr>
            <w:r>
              <w:rPr>
                <w:rFonts w:ascii="Arial" w:cs="Arial" w:eastAsia="Arial" w:hAnsi="Arial"/>
                <w:sz w:val="14"/>
                <w:szCs w:val="14"/>
                <w:color w:val="auto"/>
              </w:rPr>
              <w:t>North</w:t>
            </w: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20" w:type="dxa"/>
            <w:vAlign w:val="bottom"/>
          </w:tcPr>
          <w:p>
            <w:pPr>
              <w:ind w:left="20"/>
              <w:spacing w:after="0"/>
              <w:rPr>
                <w:sz w:val="20"/>
                <w:szCs w:val="20"/>
                <w:color w:val="auto"/>
              </w:rPr>
            </w:pPr>
            <w:r>
              <w:rPr>
                <w:rFonts w:ascii="Arial" w:cs="Arial" w:eastAsia="Arial" w:hAnsi="Arial"/>
                <w:sz w:val="14"/>
                <w:szCs w:val="14"/>
                <w:color w:val="auto"/>
              </w:rPr>
              <w:t>Carolina</w:t>
            </w:r>
          </w:p>
        </w:tc>
        <w:tc>
          <w:tcPr>
            <w:tcW w:w="660" w:type="dxa"/>
            <w:vAlign w:val="bottom"/>
          </w:tcPr>
          <w:p>
            <w:pPr>
              <w:ind w:left="60"/>
              <w:spacing w:after="0"/>
              <w:rPr>
                <w:sz w:val="20"/>
                <w:szCs w:val="20"/>
                <w:color w:val="auto"/>
              </w:rPr>
            </w:pPr>
            <w:r>
              <w:rPr>
                <w:rFonts w:ascii="Arial" w:cs="Arial" w:eastAsia="Arial" w:hAnsi="Arial"/>
                <w:sz w:val="14"/>
                <w:szCs w:val="14"/>
                <w:color w:val="auto"/>
              </w:rPr>
              <w:t>ENC006</w:t>
            </w:r>
          </w:p>
        </w:tc>
        <w:tc>
          <w:tcPr>
            <w:tcW w:w="13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259</w:t>
            </w:r>
          </w:p>
        </w:tc>
        <w:tc>
          <w:tcPr>
            <w:tcW w:w="10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336</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259</w:t>
            </w:r>
          </w:p>
        </w:tc>
        <w:tc>
          <w:tcPr>
            <w:tcW w:w="1220" w:type="dxa"/>
            <w:vAlign w:val="bottom"/>
            <w:gridSpan w:val="3"/>
          </w:tcPr>
          <w:p>
            <w:pPr>
              <w:jc w:val="right"/>
              <w:ind w:right="28"/>
              <w:spacing w:after="0"/>
              <w:rPr>
                <w:sz w:val="20"/>
                <w:szCs w:val="20"/>
                <w:color w:val="auto"/>
              </w:rPr>
            </w:pPr>
            <w:r>
              <w:rPr>
                <w:rFonts w:ascii="Arial" w:cs="Arial" w:eastAsia="Arial" w:hAnsi="Arial"/>
                <w:sz w:val="14"/>
                <w:szCs w:val="14"/>
                <w:color w:val="auto"/>
              </w:rPr>
              <w:t>334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593</w:t>
            </w:r>
          </w:p>
        </w:tc>
        <w:tc>
          <w:tcPr>
            <w:tcW w:w="2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107</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Greensboro,</w:t>
            </w:r>
          </w:p>
        </w:tc>
        <w:tc>
          <w:tcPr>
            <w:tcW w:w="6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North</w:t>
            </w:r>
          </w:p>
        </w:tc>
        <w:tc>
          <w:tcPr>
            <w:tcW w:w="6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Carolina</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ENC007</w:t>
            </w:r>
          </w:p>
        </w:tc>
        <w:tc>
          <w:tcPr>
            <w:tcW w:w="138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349</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w:t>
            </w:r>
          </w:p>
        </w:tc>
        <w:tc>
          <w:tcPr>
            <w:tcW w:w="122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451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800</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820" w:type="dxa"/>
            <w:vAlign w:val="bottom"/>
          </w:tcPr>
          <w:p>
            <w:pPr>
              <w:ind w:left="20"/>
              <w:spacing w:after="0" w:line="157" w:lineRule="exact"/>
              <w:rPr>
                <w:sz w:val="20"/>
                <w:szCs w:val="20"/>
                <w:color w:val="auto"/>
              </w:rPr>
            </w:pPr>
            <w:r>
              <w:rPr>
                <w:rFonts w:ascii="Arial" w:cs="Arial" w:eastAsia="Arial" w:hAnsi="Arial"/>
                <w:sz w:val="14"/>
                <w:szCs w:val="14"/>
                <w:color w:val="auto"/>
              </w:rPr>
              <w:t>Greenville,</w:t>
            </w: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20" w:type="dxa"/>
            <w:vAlign w:val="bottom"/>
          </w:tcPr>
          <w:p>
            <w:pPr>
              <w:ind w:left="20"/>
              <w:spacing w:after="0" w:line="149" w:lineRule="exact"/>
              <w:rPr>
                <w:sz w:val="20"/>
                <w:szCs w:val="20"/>
                <w:color w:val="auto"/>
              </w:rPr>
            </w:pPr>
            <w:r>
              <w:rPr>
                <w:rFonts w:ascii="Arial" w:cs="Arial" w:eastAsia="Arial" w:hAnsi="Arial"/>
                <w:sz w:val="14"/>
                <w:szCs w:val="14"/>
                <w:color w:val="auto"/>
              </w:rPr>
              <w:t>North</w:t>
            </w: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20" w:type="dxa"/>
            <w:vAlign w:val="bottom"/>
          </w:tcPr>
          <w:p>
            <w:pPr>
              <w:ind w:left="20"/>
              <w:spacing w:after="0"/>
              <w:rPr>
                <w:sz w:val="20"/>
                <w:szCs w:val="20"/>
                <w:color w:val="auto"/>
              </w:rPr>
            </w:pPr>
            <w:r>
              <w:rPr>
                <w:rFonts w:ascii="Arial" w:cs="Arial" w:eastAsia="Arial" w:hAnsi="Arial"/>
                <w:sz w:val="14"/>
                <w:szCs w:val="14"/>
                <w:color w:val="auto"/>
              </w:rPr>
              <w:t>Carolina</w:t>
            </w:r>
          </w:p>
        </w:tc>
        <w:tc>
          <w:tcPr>
            <w:tcW w:w="660" w:type="dxa"/>
            <w:vAlign w:val="bottom"/>
          </w:tcPr>
          <w:p>
            <w:pPr>
              <w:ind w:left="60"/>
              <w:spacing w:after="0"/>
              <w:rPr>
                <w:sz w:val="20"/>
                <w:szCs w:val="20"/>
                <w:color w:val="auto"/>
              </w:rPr>
            </w:pPr>
            <w:r>
              <w:rPr>
                <w:rFonts w:ascii="Arial" w:cs="Arial" w:eastAsia="Arial" w:hAnsi="Arial"/>
                <w:sz w:val="14"/>
                <w:szCs w:val="14"/>
                <w:color w:val="auto"/>
              </w:rPr>
              <w:t>ENC008</w:t>
            </w:r>
          </w:p>
        </w:tc>
        <w:tc>
          <w:tcPr>
            <w:tcW w:w="13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640</w:t>
            </w:r>
          </w:p>
        </w:tc>
        <w:tc>
          <w:tcPr>
            <w:tcW w:w="10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828</w:t>
            </w: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640</w:t>
            </w:r>
          </w:p>
        </w:tc>
        <w:tc>
          <w:tcPr>
            <w:tcW w:w="1220" w:type="dxa"/>
            <w:vAlign w:val="bottom"/>
            <w:gridSpan w:val="3"/>
          </w:tcPr>
          <w:p>
            <w:pPr>
              <w:jc w:val="right"/>
              <w:ind w:right="28"/>
              <w:spacing w:after="0"/>
              <w:rPr>
                <w:sz w:val="20"/>
                <w:szCs w:val="20"/>
                <w:color w:val="auto"/>
              </w:rPr>
            </w:pPr>
            <w:r>
              <w:rPr>
                <w:rFonts w:ascii="Arial" w:cs="Arial" w:eastAsia="Arial" w:hAnsi="Arial"/>
                <w:sz w:val="14"/>
                <w:szCs w:val="14"/>
                <w:color w:val="auto"/>
              </w:rPr>
              <w:t>828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1,468</w:t>
            </w:r>
          </w:p>
        </w:tc>
        <w:tc>
          <w:tcPr>
            <w:tcW w:w="2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265</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Hickory,</w:t>
            </w:r>
          </w:p>
        </w:tc>
        <w:tc>
          <w:tcPr>
            <w:tcW w:w="6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North</w:t>
            </w:r>
          </w:p>
        </w:tc>
        <w:tc>
          <w:tcPr>
            <w:tcW w:w="6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Carolina</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ENC009</w:t>
            </w:r>
          </w:p>
        </w:tc>
        <w:tc>
          <w:tcPr>
            <w:tcW w:w="138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409</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w:t>
            </w:r>
          </w:p>
        </w:tc>
        <w:tc>
          <w:tcPr>
            <w:tcW w:w="122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530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939</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820" w:type="dxa"/>
            <w:vAlign w:val="bottom"/>
          </w:tcPr>
          <w:p>
            <w:pPr>
              <w:ind w:left="20"/>
              <w:spacing w:after="0" w:line="157" w:lineRule="exact"/>
              <w:rPr>
                <w:sz w:val="20"/>
                <w:szCs w:val="20"/>
                <w:color w:val="auto"/>
              </w:rPr>
            </w:pPr>
            <w:r>
              <w:rPr>
                <w:rFonts w:ascii="Arial" w:cs="Arial" w:eastAsia="Arial" w:hAnsi="Arial"/>
                <w:sz w:val="14"/>
                <w:szCs w:val="14"/>
                <w:color w:val="auto"/>
              </w:rPr>
              <w:t>Matthews,</w:t>
            </w: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20" w:type="dxa"/>
            <w:vAlign w:val="bottom"/>
          </w:tcPr>
          <w:p>
            <w:pPr>
              <w:ind w:left="20"/>
              <w:spacing w:after="0" w:line="149" w:lineRule="exact"/>
              <w:rPr>
                <w:sz w:val="20"/>
                <w:szCs w:val="20"/>
                <w:color w:val="auto"/>
              </w:rPr>
            </w:pPr>
            <w:r>
              <w:rPr>
                <w:rFonts w:ascii="Arial" w:cs="Arial" w:eastAsia="Arial" w:hAnsi="Arial"/>
                <w:sz w:val="14"/>
                <w:szCs w:val="14"/>
                <w:color w:val="auto"/>
              </w:rPr>
              <w:t>North</w:t>
            </w: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20" w:type="dxa"/>
            <w:vAlign w:val="bottom"/>
          </w:tcPr>
          <w:p>
            <w:pPr>
              <w:ind w:left="20"/>
              <w:spacing w:after="0"/>
              <w:rPr>
                <w:sz w:val="20"/>
                <w:szCs w:val="20"/>
                <w:color w:val="auto"/>
              </w:rPr>
            </w:pPr>
            <w:r>
              <w:rPr>
                <w:rFonts w:ascii="Arial" w:cs="Arial" w:eastAsia="Arial" w:hAnsi="Arial"/>
                <w:sz w:val="14"/>
                <w:szCs w:val="14"/>
                <w:color w:val="auto"/>
              </w:rPr>
              <w:t>Carolina</w:t>
            </w:r>
          </w:p>
        </w:tc>
        <w:tc>
          <w:tcPr>
            <w:tcW w:w="660" w:type="dxa"/>
            <w:vAlign w:val="bottom"/>
          </w:tcPr>
          <w:p>
            <w:pPr>
              <w:ind w:left="60"/>
              <w:spacing w:after="0"/>
              <w:rPr>
                <w:sz w:val="20"/>
                <w:szCs w:val="20"/>
                <w:color w:val="auto"/>
              </w:rPr>
            </w:pPr>
            <w:r>
              <w:rPr>
                <w:rFonts w:ascii="Arial" w:cs="Arial" w:eastAsia="Arial" w:hAnsi="Arial"/>
                <w:sz w:val="14"/>
                <w:szCs w:val="14"/>
                <w:color w:val="auto"/>
              </w:rPr>
              <w:t>ENC010</w:t>
            </w:r>
          </w:p>
        </w:tc>
        <w:tc>
          <w:tcPr>
            <w:tcW w:w="13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965</w:t>
            </w:r>
          </w:p>
        </w:tc>
        <w:tc>
          <w:tcPr>
            <w:tcW w:w="10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1,249</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965</w:t>
            </w:r>
          </w:p>
        </w:tc>
        <w:tc>
          <w:tcPr>
            <w:tcW w:w="1220" w:type="dxa"/>
            <w:vAlign w:val="bottom"/>
            <w:gridSpan w:val="3"/>
          </w:tcPr>
          <w:p>
            <w:pPr>
              <w:jc w:val="right"/>
              <w:ind w:right="28"/>
              <w:spacing w:after="0"/>
              <w:rPr>
                <w:sz w:val="20"/>
                <w:szCs w:val="20"/>
                <w:color w:val="auto"/>
              </w:rPr>
            </w:pPr>
            <w:r>
              <w:rPr>
                <w:rFonts w:ascii="Arial" w:cs="Arial" w:eastAsia="Arial" w:hAnsi="Arial"/>
                <w:sz w:val="14"/>
                <w:szCs w:val="14"/>
                <w:color w:val="auto"/>
              </w:rPr>
              <w:t>1,242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2,207</w:t>
            </w:r>
          </w:p>
        </w:tc>
        <w:tc>
          <w:tcPr>
            <w:tcW w:w="2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400</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Raleigh,</w:t>
            </w:r>
          </w:p>
        </w:tc>
        <w:tc>
          <w:tcPr>
            <w:tcW w:w="6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North</w:t>
            </w:r>
          </w:p>
        </w:tc>
        <w:tc>
          <w:tcPr>
            <w:tcW w:w="6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Carolina</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ENC011</w:t>
            </w:r>
          </w:p>
        </w:tc>
        <w:tc>
          <w:tcPr>
            <w:tcW w:w="138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475</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w:t>
            </w:r>
          </w:p>
        </w:tc>
        <w:tc>
          <w:tcPr>
            <w:tcW w:w="122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614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1,089</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197</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820" w:type="dxa"/>
            <w:vAlign w:val="bottom"/>
          </w:tcPr>
          <w:p>
            <w:pPr>
              <w:ind w:left="20"/>
              <w:spacing w:after="0" w:line="157" w:lineRule="exact"/>
              <w:rPr>
                <w:sz w:val="20"/>
                <w:szCs w:val="20"/>
                <w:color w:val="auto"/>
              </w:rPr>
            </w:pPr>
            <w:r>
              <w:rPr>
                <w:rFonts w:ascii="Arial" w:cs="Arial" w:eastAsia="Arial" w:hAnsi="Arial"/>
                <w:sz w:val="14"/>
                <w:szCs w:val="14"/>
                <w:color w:val="auto"/>
              </w:rPr>
              <w:t>Winston-</w:t>
            </w: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20" w:type="dxa"/>
            <w:vAlign w:val="bottom"/>
          </w:tcPr>
          <w:p>
            <w:pPr>
              <w:ind w:left="20"/>
              <w:spacing w:after="0" w:line="149" w:lineRule="exact"/>
              <w:rPr>
                <w:sz w:val="20"/>
                <w:szCs w:val="20"/>
                <w:color w:val="auto"/>
              </w:rPr>
            </w:pPr>
            <w:r>
              <w:rPr>
                <w:rFonts w:ascii="Arial" w:cs="Arial" w:eastAsia="Arial" w:hAnsi="Arial"/>
                <w:sz w:val="14"/>
                <w:szCs w:val="14"/>
                <w:color w:val="auto"/>
                <w:w w:val="95"/>
              </w:rPr>
              <w:t>Salem, North</w:t>
            </w: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20" w:type="dxa"/>
            <w:vAlign w:val="bottom"/>
          </w:tcPr>
          <w:p>
            <w:pPr>
              <w:ind w:left="20"/>
              <w:spacing w:after="0"/>
              <w:rPr>
                <w:sz w:val="20"/>
                <w:szCs w:val="20"/>
                <w:color w:val="auto"/>
              </w:rPr>
            </w:pPr>
            <w:r>
              <w:rPr>
                <w:rFonts w:ascii="Arial" w:cs="Arial" w:eastAsia="Arial" w:hAnsi="Arial"/>
                <w:sz w:val="14"/>
                <w:szCs w:val="14"/>
                <w:color w:val="auto"/>
              </w:rPr>
              <w:t>Carolina</w:t>
            </w:r>
          </w:p>
        </w:tc>
        <w:tc>
          <w:tcPr>
            <w:tcW w:w="660" w:type="dxa"/>
            <w:vAlign w:val="bottom"/>
          </w:tcPr>
          <w:p>
            <w:pPr>
              <w:ind w:left="60"/>
              <w:spacing w:after="0"/>
              <w:rPr>
                <w:sz w:val="20"/>
                <w:szCs w:val="20"/>
                <w:color w:val="auto"/>
              </w:rPr>
            </w:pPr>
            <w:r>
              <w:rPr>
                <w:rFonts w:ascii="Arial" w:cs="Arial" w:eastAsia="Arial" w:hAnsi="Arial"/>
                <w:sz w:val="14"/>
                <w:szCs w:val="14"/>
                <w:color w:val="auto"/>
              </w:rPr>
              <w:t>ENC012</w:t>
            </w:r>
          </w:p>
        </w:tc>
        <w:tc>
          <w:tcPr>
            <w:tcW w:w="13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494</w:t>
            </w:r>
          </w:p>
        </w:tc>
        <w:tc>
          <w:tcPr>
            <w:tcW w:w="10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638</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494</w:t>
            </w:r>
          </w:p>
        </w:tc>
        <w:tc>
          <w:tcPr>
            <w:tcW w:w="1220" w:type="dxa"/>
            <w:vAlign w:val="bottom"/>
            <w:gridSpan w:val="3"/>
          </w:tcPr>
          <w:p>
            <w:pPr>
              <w:jc w:val="right"/>
              <w:ind w:right="28"/>
              <w:spacing w:after="0"/>
              <w:rPr>
                <w:sz w:val="20"/>
                <w:szCs w:val="20"/>
                <w:color w:val="auto"/>
              </w:rPr>
            </w:pPr>
            <w:r>
              <w:rPr>
                <w:rFonts w:ascii="Arial" w:cs="Arial" w:eastAsia="Arial" w:hAnsi="Arial"/>
                <w:sz w:val="14"/>
                <w:szCs w:val="14"/>
                <w:color w:val="auto"/>
              </w:rPr>
              <w:t>635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1,129</w:t>
            </w:r>
          </w:p>
        </w:tc>
        <w:tc>
          <w:tcPr>
            <w:tcW w:w="2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205</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Canton,</w:t>
            </w:r>
          </w:p>
        </w:tc>
        <w:tc>
          <w:tcPr>
            <w:tcW w:w="6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Ohio</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EOH001</w:t>
            </w:r>
          </w:p>
        </w:tc>
        <w:tc>
          <w:tcPr>
            <w:tcW w:w="138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434</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562</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w:t>
            </w:r>
          </w:p>
        </w:tc>
        <w:tc>
          <w:tcPr>
            <w:tcW w:w="122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562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996</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180</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820" w:type="dxa"/>
            <w:vAlign w:val="bottom"/>
          </w:tcPr>
          <w:p>
            <w:pPr>
              <w:ind w:left="20"/>
              <w:spacing w:after="0" w:line="157" w:lineRule="exact"/>
              <w:rPr>
                <w:sz w:val="20"/>
                <w:szCs w:val="20"/>
                <w:color w:val="auto"/>
              </w:rPr>
            </w:pPr>
            <w:r>
              <w:rPr>
                <w:rFonts w:ascii="Arial" w:cs="Arial" w:eastAsia="Arial" w:hAnsi="Arial"/>
                <w:sz w:val="14"/>
                <w:szCs w:val="14"/>
                <w:color w:val="auto"/>
              </w:rPr>
              <w:t>Columbus,</w:t>
            </w: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20" w:type="dxa"/>
            <w:vAlign w:val="bottom"/>
          </w:tcPr>
          <w:p>
            <w:pPr>
              <w:ind w:left="20"/>
              <w:spacing w:after="0"/>
              <w:rPr>
                <w:sz w:val="20"/>
                <w:szCs w:val="20"/>
                <w:color w:val="auto"/>
              </w:rPr>
            </w:pPr>
            <w:r>
              <w:rPr>
                <w:rFonts w:ascii="Arial" w:cs="Arial" w:eastAsia="Arial" w:hAnsi="Arial"/>
                <w:sz w:val="14"/>
                <w:szCs w:val="14"/>
                <w:color w:val="auto"/>
              </w:rPr>
              <w:t>Ohio</w:t>
            </w:r>
          </w:p>
        </w:tc>
        <w:tc>
          <w:tcPr>
            <w:tcW w:w="660" w:type="dxa"/>
            <w:vAlign w:val="bottom"/>
          </w:tcPr>
          <w:p>
            <w:pPr>
              <w:ind w:left="60"/>
              <w:spacing w:after="0"/>
              <w:rPr>
                <w:sz w:val="20"/>
                <w:szCs w:val="20"/>
                <w:color w:val="auto"/>
              </w:rPr>
            </w:pPr>
            <w:r>
              <w:rPr>
                <w:rFonts w:ascii="Arial" w:cs="Arial" w:eastAsia="Arial" w:hAnsi="Arial"/>
                <w:sz w:val="14"/>
                <w:szCs w:val="14"/>
                <w:color w:val="auto"/>
              </w:rPr>
              <w:t>EOH002</w:t>
            </w:r>
          </w:p>
        </w:tc>
        <w:tc>
          <w:tcPr>
            <w:tcW w:w="13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967</w:t>
            </w:r>
          </w:p>
        </w:tc>
        <w:tc>
          <w:tcPr>
            <w:tcW w:w="10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1,252</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967</w:t>
            </w:r>
          </w:p>
        </w:tc>
        <w:tc>
          <w:tcPr>
            <w:tcW w:w="1220" w:type="dxa"/>
            <w:vAlign w:val="bottom"/>
            <w:gridSpan w:val="3"/>
          </w:tcPr>
          <w:p>
            <w:pPr>
              <w:jc w:val="right"/>
              <w:ind w:right="28"/>
              <w:spacing w:after="0"/>
              <w:rPr>
                <w:sz w:val="20"/>
                <w:szCs w:val="20"/>
                <w:color w:val="auto"/>
              </w:rPr>
            </w:pPr>
            <w:r>
              <w:rPr>
                <w:rFonts w:ascii="Arial" w:cs="Arial" w:eastAsia="Arial" w:hAnsi="Arial"/>
                <w:sz w:val="14"/>
                <w:szCs w:val="14"/>
                <w:color w:val="auto"/>
              </w:rPr>
              <w:t>1,245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2,212</w:t>
            </w:r>
          </w:p>
        </w:tc>
        <w:tc>
          <w:tcPr>
            <w:tcW w:w="2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401</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Grove City,</w:t>
            </w:r>
          </w:p>
        </w:tc>
        <w:tc>
          <w:tcPr>
            <w:tcW w:w="6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Ohio</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EOH003</w:t>
            </w:r>
          </w:p>
        </w:tc>
        <w:tc>
          <w:tcPr>
            <w:tcW w:w="138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281</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122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363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644</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820" w:type="dxa"/>
            <w:vAlign w:val="bottom"/>
          </w:tcPr>
          <w:p>
            <w:pPr>
              <w:ind w:left="20"/>
              <w:spacing w:after="0" w:line="157" w:lineRule="exact"/>
              <w:rPr>
                <w:sz w:val="20"/>
                <w:szCs w:val="20"/>
                <w:color w:val="auto"/>
              </w:rPr>
            </w:pPr>
            <w:r>
              <w:rPr>
                <w:rFonts w:ascii="Arial" w:cs="Arial" w:eastAsia="Arial" w:hAnsi="Arial"/>
                <w:sz w:val="14"/>
                <w:szCs w:val="14"/>
                <w:color w:val="auto"/>
              </w:rPr>
              <w:t>Medina,</w:t>
            </w: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20" w:type="dxa"/>
            <w:vAlign w:val="bottom"/>
          </w:tcPr>
          <w:p>
            <w:pPr>
              <w:ind w:left="20"/>
              <w:spacing w:after="0"/>
              <w:rPr>
                <w:sz w:val="20"/>
                <w:szCs w:val="20"/>
                <w:color w:val="auto"/>
              </w:rPr>
            </w:pPr>
            <w:r>
              <w:rPr>
                <w:rFonts w:ascii="Arial" w:cs="Arial" w:eastAsia="Arial" w:hAnsi="Arial"/>
                <w:sz w:val="14"/>
                <w:szCs w:val="14"/>
                <w:color w:val="auto"/>
              </w:rPr>
              <w:t>Ohio</w:t>
            </w:r>
          </w:p>
        </w:tc>
        <w:tc>
          <w:tcPr>
            <w:tcW w:w="660" w:type="dxa"/>
            <w:vAlign w:val="bottom"/>
          </w:tcPr>
          <w:p>
            <w:pPr>
              <w:ind w:left="60"/>
              <w:spacing w:after="0"/>
              <w:rPr>
                <w:sz w:val="20"/>
                <w:szCs w:val="20"/>
                <w:color w:val="auto"/>
              </w:rPr>
            </w:pPr>
            <w:r>
              <w:rPr>
                <w:rFonts w:ascii="Arial" w:cs="Arial" w:eastAsia="Arial" w:hAnsi="Arial"/>
                <w:sz w:val="14"/>
                <w:szCs w:val="14"/>
                <w:color w:val="auto"/>
              </w:rPr>
              <w:t>EOH004</w:t>
            </w:r>
          </w:p>
        </w:tc>
        <w:tc>
          <w:tcPr>
            <w:tcW w:w="13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393</w:t>
            </w:r>
          </w:p>
        </w:tc>
        <w:tc>
          <w:tcPr>
            <w:tcW w:w="10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508</w:t>
            </w: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393</w:t>
            </w:r>
          </w:p>
        </w:tc>
        <w:tc>
          <w:tcPr>
            <w:tcW w:w="1220" w:type="dxa"/>
            <w:vAlign w:val="bottom"/>
            <w:gridSpan w:val="3"/>
          </w:tcPr>
          <w:p>
            <w:pPr>
              <w:jc w:val="right"/>
              <w:ind w:right="28"/>
              <w:spacing w:after="0"/>
              <w:rPr>
                <w:sz w:val="20"/>
                <w:szCs w:val="20"/>
                <w:color w:val="auto"/>
              </w:rPr>
            </w:pPr>
            <w:r>
              <w:rPr>
                <w:rFonts w:ascii="Arial" w:cs="Arial" w:eastAsia="Arial" w:hAnsi="Arial"/>
                <w:sz w:val="14"/>
                <w:szCs w:val="14"/>
                <w:color w:val="auto"/>
              </w:rPr>
              <w:t>508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901</w:t>
            </w:r>
          </w:p>
        </w:tc>
        <w:tc>
          <w:tcPr>
            <w:tcW w:w="2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163</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Edmond,</w:t>
            </w:r>
          </w:p>
        </w:tc>
        <w:tc>
          <w:tcPr>
            <w:tcW w:w="6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Oklahoma</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EOK001</w:t>
            </w:r>
          </w:p>
        </w:tc>
        <w:tc>
          <w:tcPr>
            <w:tcW w:w="138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431</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w:t>
            </w:r>
          </w:p>
        </w:tc>
        <w:tc>
          <w:tcPr>
            <w:tcW w:w="122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554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985</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178</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820" w:type="dxa"/>
            <w:vAlign w:val="bottom"/>
          </w:tcPr>
          <w:p>
            <w:pPr>
              <w:ind w:left="20"/>
              <w:spacing w:after="0" w:line="157" w:lineRule="exact"/>
              <w:rPr>
                <w:sz w:val="20"/>
                <w:szCs w:val="20"/>
                <w:color w:val="auto"/>
              </w:rPr>
            </w:pPr>
            <w:r>
              <w:rPr>
                <w:rFonts w:ascii="Arial" w:cs="Arial" w:eastAsia="Arial" w:hAnsi="Arial"/>
                <w:sz w:val="14"/>
                <w:szCs w:val="14"/>
                <w:color w:val="auto"/>
              </w:rPr>
              <w:t>Tulsa,</w:t>
            </w: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20" w:type="dxa"/>
            <w:vAlign w:val="bottom"/>
          </w:tcPr>
          <w:p>
            <w:pPr>
              <w:ind w:left="20"/>
              <w:spacing w:after="0"/>
              <w:rPr>
                <w:sz w:val="20"/>
                <w:szCs w:val="20"/>
                <w:color w:val="auto"/>
              </w:rPr>
            </w:pPr>
            <w:r>
              <w:rPr>
                <w:rFonts w:ascii="Arial" w:cs="Arial" w:eastAsia="Arial" w:hAnsi="Arial"/>
                <w:sz w:val="14"/>
                <w:szCs w:val="14"/>
                <w:color w:val="auto"/>
              </w:rPr>
              <w:t>Oklahoma</w:t>
            </w:r>
          </w:p>
        </w:tc>
        <w:tc>
          <w:tcPr>
            <w:tcW w:w="660" w:type="dxa"/>
            <w:vAlign w:val="bottom"/>
          </w:tcPr>
          <w:p>
            <w:pPr>
              <w:ind w:left="60"/>
              <w:spacing w:after="0"/>
              <w:rPr>
                <w:sz w:val="20"/>
                <w:szCs w:val="20"/>
                <w:color w:val="auto"/>
              </w:rPr>
            </w:pPr>
            <w:r>
              <w:rPr>
                <w:rFonts w:ascii="Arial" w:cs="Arial" w:eastAsia="Arial" w:hAnsi="Arial"/>
                <w:sz w:val="14"/>
                <w:szCs w:val="14"/>
                <w:color w:val="auto"/>
              </w:rPr>
              <w:t>EOK002</w:t>
            </w:r>
          </w:p>
        </w:tc>
        <w:tc>
          <w:tcPr>
            <w:tcW w:w="13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954</w:t>
            </w:r>
          </w:p>
        </w:tc>
        <w:tc>
          <w:tcPr>
            <w:tcW w:w="10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1,235</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954</w:t>
            </w:r>
          </w:p>
        </w:tc>
        <w:tc>
          <w:tcPr>
            <w:tcW w:w="1220" w:type="dxa"/>
            <w:vAlign w:val="bottom"/>
            <w:gridSpan w:val="3"/>
          </w:tcPr>
          <w:p>
            <w:pPr>
              <w:jc w:val="right"/>
              <w:ind w:right="28"/>
              <w:spacing w:after="0"/>
              <w:rPr>
                <w:sz w:val="20"/>
                <w:szCs w:val="20"/>
                <w:color w:val="auto"/>
              </w:rPr>
            </w:pPr>
            <w:r>
              <w:rPr>
                <w:rFonts w:ascii="Arial" w:cs="Arial" w:eastAsia="Arial" w:hAnsi="Arial"/>
                <w:sz w:val="14"/>
                <w:szCs w:val="14"/>
                <w:color w:val="auto"/>
              </w:rPr>
              <w:t>1,234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2,188</w:t>
            </w:r>
          </w:p>
        </w:tc>
        <w:tc>
          <w:tcPr>
            <w:tcW w:w="2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395</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Salem,</w:t>
            </w:r>
          </w:p>
        </w:tc>
        <w:tc>
          <w:tcPr>
            <w:tcW w:w="6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Oregon</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EOR002</w:t>
            </w:r>
          </w:p>
        </w:tc>
        <w:tc>
          <w:tcPr>
            <w:tcW w:w="138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393</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w:t>
            </w:r>
          </w:p>
        </w:tc>
        <w:tc>
          <w:tcPr>
            <w:tcW w:w="122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505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898</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163</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820" w:type="dxa"/>
            <w:vAlign w:val="bottom"/>
          </w:tcPr>
          <w:p>
            <w:pPr>
              <w:ind w:left="20"/>
              <w:spacing w:after="0" w:line="157" w:lineRule="exact"/>
              <w:rPr>
                <w:sz w:val="20"/>
                <w:szCs w:val="20"/>
                <w:color w:val="auto"/>
              </w:rPr>
            </w:pPr>
            <w:r>
              <w:rPr>
                <w:rFonts w:ascii="Arial" w:cs="Arial" w:eastAsia="Arial" w:hAnsi="Arial"/>
                <w:sz w:val="14"/>
                <w:szCs w:val="14"/>
                <w:color w:val="auto"/>
              </w:rPr>
              <w:t>Boothwyn,</w:t>
            </w: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20" w:type="dxa"/>
            <w:vAlign w:val="bottom"/>
          </w:tcPr>
          <w:p>
            <w:pPr>
              <w:ind w:left="20"/>
              <w:spacing w:after="0"/>
              <w:rPr>
                <w:sz w:val="20"/>
                <w:szCs w:val="20"/>
                <w:color w:val="auto"/>
              </w:rPr>
            </w:pPr>
            <w:r>
              <w:rPr>
                <w:rFonts w:ascii="Arial" w:cs="Arial" w:eastAsia="Arial" w:hAnsi="Arial"/>
                <w:sz w:val="14"/>
                <w:szCs w:val="14"/>
                <w:color w:val="auto"/>
                <w:w w:val="93"/>
              </w:rPr>
              <w:t>Pennsylvania</w:t>
            </w:r>
          </w:p>
        </w:tc>
        <w:tc>
          <w:tcPr>
            <w:tcW w:w="660" w:type="dxa"/>
            <w:vAlign w:val="bottom"/>
          </w:tcPr>
          <w:p>
            <w:pPr>
              <w:ind w:left="60"/>
              <w:spacing w:after="0"/>
              <w:rPr>
                <w:sz w:val="20"/>
                <w:szCs w:val="20"/>
                <w:color w:val="auto"/>
              </w:rPr>
            </w:pPr>
            <w:r>
              <w:rPr>
                <w:rFonts w:ascii="Arial" w:cs="Arial" w:eastAsia="Arial" w:hAnsi="Arial"/>
                <w:sz w:val="14"/>
                <w:szCs w:val="14"/>
                <w:color w:val="auto"/>
              </w:rPr>
              <w:t>EPA001</w:t>
            </w:r>
          </w:p>
        </w:tc>
        <w:tc>
          <w:tcPr>
            <w:tcW w:w="13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407</w:t>
            </w:r>
          </w:p>
        </w:tc>
        <w:tc>
          <w:tcPr>
            <w:tcW w:w="10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527</w:t>
            </w: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407</w:t>
            </w:r>
          </w:p>
        </w:tc>
        <w:tc>
          <w:tcPr>
            <w:tcW w:w="1220" w:type="dxa"/>
            <w:vAlign w:val="bottom"/>
            <w:gridSpan w:val="3"/>
          </w:tcPr>
          <w:p>
            <w:pPr>
              <w:jc w:val="right"/>
              <w:ind w:right="28"/>
              <w:spacing w:after="0"/>
              <w:rPr>
                <w:sz w:val="20"/>
                <w:szCs w:val="20"/>
                <w:color w:val="auto"/>
              </w:rPr>
            </w:pPr>
            <w:r>
              <w:rPr>
                <w:rFonts w:ascii="Arial" w:cs="Arial" w:eastAsia="Arial" w:hAnsi="Arial"/>
                <w:sz w:val="14"/>
                <w:szCs w:val="14"/>
                <w:color w:val="auto"/>
              </w:rPr>
              <w:t>527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934</w:t>
            </w:r>
          </w:p>
        </w:tc>
        <w:tc>
          <w:tcPr>
            <w:tcW w:w="2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168</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Croydon,</w:t>
            </w:r>
          </w:p>
        </w:tc>
        <w:tc>
          <w:tcPr>
            <w:tcW w:w="6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3"/>
              </w:rPr>
              <w:t>Pennsylvania</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EPA002</w:t>
            </w:r>
          </w:p>
        </w:tc>
        <w:tc>
          <w:tcPr>
            <w:tcW w:w="138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421</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544</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w:t>
            </w:r>
          </w:p>
        </w:tc>
        <w:tc>
          <w:tcPr>
            <w:tcW w:w="122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544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965</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174</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820" w:type="dxa"/>
            <w:vAlign w:val="bottom"/>
          </w:tcPr>
          <w:p>
            <w:pPr>
              <w:ind w:left="20"/>
              <w:spacing w:after="0" w:line="157" w:lineRule="exact"/>
              <w:rPr>
                <w:sz w:val="20"/>
                <w:szCs w:val="20"/>
                <w:color w:val="auto"/>
              </w:rPr>
            </w:pPr>
            <w:r>
              <w:rPr>
                <w:rFonts w:ascii="Arial" w:cs="Arial" w:eastAsia="Arial" w:hAnsi="Arial"/>
                <w:sz w:val="14"/>
                <w:szCs w:val="14"/>
                <w:color w:val="auto"/>
              </w:rPr>
              <w:t>Pittsburgh,</w:t>
            </w: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20" w:type="dxa"/>
            <w:vAlign w:val="bottom"/>
          </w:tcPr>
          <w:p>
            <w:pPr>
              <w:ind w:left="20"/>
              <w:spacing w:after="0"/>
              <w:rPr>
                <w:sz w:val="20"/>
                <w:szCs w:val="20"/>
                <w:color w:val="auto"/>
              </w:rPr>
            </w:pPr>
            <w:r>
              <w:rPr>
                <w:rFonts w:ascii="Arial" w:cs="Arial" w:eastAsia="Arial" w:hAnsi="Arial"/>
                <w:sz w:val="14"/>
                <w:szCs w:val="14"/>
                <w:color w:val="auto"/>
                <w:w w:val="93"/>
              </w:rPr>
              <w:t>Pennsylvania</w:t>
            </w:r>
          </w:p>
        </w:tc>
        <w:tc>
          <w:tcPr>
            <w:tcW w:w="660" w:type="dxa"/>
            <w:vAlign w:val="bottom"/>
          </w:tcPr>
          <w:p>
            <w:pPr>
              <w:ind w:left="60"/>
              <w:spacing w:after="0"/>
              <w:rPr>
                <w:sz w:val="20"/>
                <w:szCs w:val="20"/>
                <w:color w:val="auto"/>
              </w:rPr>
            </w:pPr>
            <w:r>
              <w:rPr>
                <w:rFonts w:ascii="Arial" w:cs="Arial" w:eastAsia="Arial" w:hAnsi="Arial"/>
                <w:sz w:val="14"/>
                <w:szCs w:val="14"/>
                <w:color w:val="auto"/>
              </w:rPr>
              <w:t>EPA003</w:t>
            </w:r>
          </w:p>
        </w:tc>
        <w:tc>
          <w:tcPr>
            <w:tcW w:w="13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409</w:t>
            </w:r>
          </w:p>
        </w:tc>
        <w:tc>
          <w:tcPr>
            <w:tcW w:w="10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528</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409</w:t>
            </w:r>
          </w:p>
        </w:tc>
        <w:tc>
          <w:tcPr>
            <w:tcW w:w="1220" w:type="dxa"/>
            <w:vAlign w:val="bottom"/>
            <w:gridSpan w:val="3"/>
          </w:tcPr>
          <w:p>
            <w:pPr>
              <w:jc w:val="right"/>
              <w:ind w:right="28"/>
              <w:spacing w:after="0"/>
              <w:rPr>
                <w:sz w:val="20"/>
                <w:szCs w:val="20"/>
                <w:color w:val="auto"/>
              </w:rPr>
            </w:pPr>
            <w:r>
              <w:rPr>
                <w:rFonts w:ascii="Arial" w:cs="Arial" w:eastAsia="Arial" w:hAnsi="Arial"/>
                <w:sz w:val="14"/>
                <w:szCs w:val="14"/>
                <w:color w:val="auto"/>
              </w:rPr>
              <w:t>526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935</w:t>
            </w:r>
          </w:p>
        </w:tc>
        <w:tc>
          <w:tcPr>
            <w:tcW w:w="2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Pittsburgh,</w:t>
            </w:r>
          </w:p>
        </w:tc>
        <w:tc>
          <w:tcPr>
            <w:tcW w:w="6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3"/>
              </w:rPr>
              <w:t>Pennsylvania</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EPA004</w:t>
            </w:r>
          </w:p>
        </w:tc>
        <w:tc>
          <w:tcPr>
            <w:tcW w:w="138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407</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122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525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932</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80"/>
          </w:cols>
          <w:pgMar w:left="260" w:top="742" w:right="25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iStar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III—Real Estate and Accumulated Depreciation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2016</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4"/>
              </w:rPr>
              <w:t>Gross Amount Carried</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Initial Cost to Company</w:t>
            </w:r>
          </w:p>
        </w:tc>
        <w:tc>
          <w:tcPr>
            <w:tcW w:w="10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Cost</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2"/>
              </w:rPr>
              <w:t>at Close of Period</w:t>
            </w:r>
          </w:p>
        </w:tc>
        <w:tc>
          <w:tcPr>
            <w:tcW w:w="5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9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9"/>
              </w:rPr>
              <w:t>Building and</w:t>
            </w:r>
          </w:p>
        </w:tc>
        <w:tc>
          <w:tcPr>
            <w:tcW w:w="100" w:type="dxa"/>
            <w:vAlign w:val="bottom"/>
          </w:tcPr>
          <w:p>
            <w:pPr>
              <w:spacing w:after="0"/>
              <w:rPr>
                <w:sz w:val="11"/>
                <w:szCs w:val="11"/>
                <w:color w:val="auto"/>
              </w:rPr>
            </w:pPr>
          </w:p>
        </w:tc>
        <w:tc>
          <w:tcPr>
            <w:tcW w:w="102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4"/>
              </w:rPr>
              <w:t>Capitalized</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4"/>
              </w:rPr>
              <w:t>Building and</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Depreciable</w:t>
            </w:r>
          </w:p>
        </w:tc>
        <w:tc>
          <w:tcPr>
            <w:tcW w:w="0" w:type="dxa"/>
            <w:vAlign w:val="bottom"/>
          </w:tcPr>
          <w:p>
            <w:pPr>
              <w:spacing w:after="0"/>
              <w:rPr>
                <w:sz w:val="1"/>
                <w:szCs w:val="1"/>
                <w:color w:val="auto"/>
              </w:rPr>
            </w:pPr>
          </w:p>
        </w:tc>
      </w:tr>
      <w:tr>
        <w:trPr>
          <w:trHeight w:val="149"/>
        </w:trPr>
        <w:tc>
          <w:tcPr>
            <w:tcW w:w="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Location</w:t>
            </w:r>
          </w:p>
        </w:tc>
        <w:tc>
          <w:tcPr>
            <w:tcW w:w="640" w:type="dxa"/>
            <w:vAlign w:val="bottom"/>
          </w:tcPr>
          <w:p>
            <w:pPr>
              <w:spacing w:after="0"/>
              <w:rPr>
                <w:sz w:val="12"/>
                <w:szCs w:val="12"/>
                <w:color w:val="auto"/>
              </w:rPr>
            </w:pPr>
          </w:p>
        </w:tc>
        <w:tc>
          <w:tcPr>
            <w:tcW w:w="13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Encumbrances</w:t>
            </w:r>
          </w:p>
        </w:tc>
        <w:tc>
          <w:tcPr>
            <w:tcW w:w="8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Land</w:t>
            </w: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Subsequent to</w:t>
            </w: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Land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10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192"/>
        </w:trPr>
        <w:tc>
          <w:tcPr>
            <w:tcW w:w="96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94"/>
              </w:rPr>
              <w:t>Improvements</w:t>
            </w:r>
          </w:p>
        </w:tc>
        <w:tc>
          <w:tcPr>
            <w:tcW w:w="10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Acquisition</w:t>
            </w:r>
            <w:r>
              <w:rPr>
                <w:rFonts w:ascii="Arial" w:cs="Arial" w:eastAsia="Arial" w:hAnsi="Arial"/>
                <w:sz w:val="8"/>
                <w:szCs w:val="8"/>
                <w:b w:val="1"/>
                <w:bCs w:val="1"/>
                <w:color w:val="auto"/>
                <w:w w:val="92"/>
              </w:rPr>
              <w:t>(2)</w:t>
            </w: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Improvements</w:t>
            </w:r>
          </w:p>
        </w:tc>
        <w:tc>
          <w:tcPr>
            <w:tcW w:w="780" w:type="dxa"/>
            <w:vAlign w:val="bottom"/>
            <w:gridSpan w:val="2"/>
            <w:vMerge w:val="continue"/>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Depreciation</w:t>
            </w: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Acquired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156"/>
        </w:trPr>
        <w:tc>
          <w:tcPr>
            <w:tcW w:w="960" w:type="dxa"/>
            <w:vAlign w:val="bottom"/>
            <w:tcBorders>
              <w:top w:val="single" w:sz="8" w:color="auto"/>
            </w:tcBorders>
          </w:tcPr>
          <w:p>
            <w:pPr>
              <w:ind w:left="20"/>
              <w:spacing w:after="0" w:line="157" w:lineRule="exact"/>
              <w:rPr>
                <w:sz w:val="20"/>
                <w:szCs w:val="20"/>
                <w:color w:val="auto"/>
              </w:rPr>
            </w:pPr>
            <w:r>
              <w:rPr>
                <w:rFonts w:ascii="Arial" w:cs="Arial" w:eastAsia="Arial" w:hAnsi="Arial"/>
                <w:sz w:val="14"/>
                <w:szCs w:val="14"/>
                <w:color w:val="auto"/>
              </w:rPr>
              <w:t>San Juan,</w:t>
            </w:r>
          </w:p>
        </w:tc>
        <w:tc>
          <w:tcPr>
            <w:tcW w:w="64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60" w:type="dxa"/>
            <w:vAlign w:val="bottom"/>
          </w:tcPr>
          <w:p>
            <w:pPr>
              <w:ind w:left="20"/>
              <w:spacing w:after="0"/>
              <w:rPr>
                <w:sz w:val="20"/>
                <w:szCs w:val="20"/>
                <w:color w:val="auto"/>
              </w:rPr>
            </w:pPr>
            <w:r>
              <w:rPr>
                <w:rFonts w:ascii="Arial" w:cs="Arial" w:eastAsia="Arial" w:hAnsi="Arial"/>
                <w:sz w:val="14"/>
                <w:szCs w:val="14"/>
                <w:color w:val="auto"/>
              </w:rPr>
              <w:t>Puerto Rico</w:t>
            </w:r>
          </w:p>
        </w:tc>
        <w:tc>
          <w:tcPr>
            <w:tcW w:w="640" w:type="dxa"/>
            <w:vAlign w:val="bottom"/>
          </w:tcPr>
          <w:p>
            <w:pPr>
              <w:ind w:left="60"/>
              <w:spacing w:after="0"/>
              <w:rPr>
                <w:sz w:val="20"/>
                <w:szCs w:val="20"/>
                <w:color w:val="auto"/>
              </w:rPr>
            </w:pPr>
            <w:r>
              <w:rPr>
                <w:rFonts w:ascii="Arial" w:cs="Arial" w:eastAsia="Arial" w:hAnsi="Arial"/>
                <w:sz w:val="14"/>
                <w:szCs w:val="14"/>
                <w:color w:val="auto"/>
              </w:rPr>
              <w:t>EPR001</w:t>
            </w:r>
          </w:p>
        </w:tc>
        <w:tc>
          <w:tcPr>
            <w:tcW w:w="138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950</w:t>
            </w:r>
          </w:p>
        </w:tc>
        <w:tc>
          <w:tcPr>
            <w:tcW w:w="10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1,230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950</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1,229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2,179</w:t>
            </w:r>
          </w:p>
        </w:tc>
        <w:tc>
          <w:tcPr>
            <w:tcW w:w="2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393</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Cranston,</w:t>
            </w:r>
          </w:p>
        </w:tc>
        <w:tc>
          <w:tcPr>
            <w:tcW w:w="6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Rhode Island</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ERI001</w:t>
            </w:r>
          </w:p>
        </w:tc>
        <w:tc>
          <w:tcPr>
            <w:tcW w:w="138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850</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1,095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1,945</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352</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960" w:type="dxa"/>
            <w:vAlign w:val="bottom"/>
          </w:tcPr>
          <w:p>
            <w:pPr>
              <w:ind w:left="20"/>
              <w:spacing w:after="0" w:line="157" w:lineRule="exact"/>
              <w:rPr>
                <w:sz w:val="20"/>
                <w:szCs w:val="20"/>
                <w:color w:val="auto"/>
              </w:rPr>
            </w:pPr>
            <w:r>
              <w:rPr>
                <w:rFonts w:ascii="Arial" w:cs="Arial" w:eastAsia="Arial" w:hAnsi="Arial"/>
                <w:sz w:val="14"/>
                <w:szCs w:val="14"/>
                <w:color w:val="auto"/>
              </w:rPr>
              <w:t>Greenville,</w:t>
            </w: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60" w:type="dxa"/>
            <w:vAlign w:val="bottom"/>
          </w:tcPr>
          <w:p>
            <w:pPr>
              <w:ind w:left="20"/>
              <w:spacing w:after="0"/>
              <w:rPr>
                <w:sz w:val="20"/>
                <w:szCs w:val="20"/>
                <w:color w:val="auto"/>
              </w:rPr>
            </w:pPr>
            <w:r>
              <w:rPr>
                <w:rFonts w:ascii="Arial" w:cs="Arial" w:eastAsia="Arial" w:hAnsi="Arial"/>
                <w:sz w:val="14"/>
                <w:szCs w:val="14"/>
                <w:color w:val="auto"/>
                <w:w w:val="99"/>
              </w:rPr>
              <w:t>South Carolina</w:t>
            </w:r>
          </w:p>
        </w:tc>
        <w:tc>
          <w:tcPr>
            <w:tcW w:w="640" w:type="dxa"/>
            <w:vAlign w:val="bottom"/>
          </w:tcPr>
          <w:p>
            <w:pPr>
              <w:ind w:left="60"/>
              <w:spacing w:after="0"/>
              <w:rPr>
                <w:sz w:val="20"/>
                <w:szCs w:val="20"/>
                <w:color w:val="auto"/>
              </w:rPr>
            </w:pPr>
            <w:r>
              <w:rPr>
                <w:rFonts w:ascii="Arial" w:cs="Arial" w:eastAsia="Arial" w:hAnsi="Arial"/>
                <w:sz w:val="14"/>
                <w:szCs w:val="14"/>
                <w:color w:val="auto"/>
              </w:rPr>
              <w:t>ESC002</w:t>
            </w:r>
          </w:p>
        </w:tc>
        <w:tc>
          <w:tcPr>
            <w:tcW w:w="138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332</w:t>
            </w:r>
          </w:p>
        </w:tc>
        <w:tc>
          <w:tcPr>
            <w:tcW w:w="10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429</w:t>
            </w: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332</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429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761</w:t>
            </w:r>
          </w:p>
        </w:tc>
        <w:tc>
          <w:tcPr>
            <w:tcW w:w="2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137</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9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Addison, Texas</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ETX001</w:t>
            </w:r>
          </w:p>
        </w:tc>
        <w:tc>
          <w:tcPr>
            <w:tcW w:w="138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1,045</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1,045</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1,352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2,397</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433</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960" w:type="dxa"/>
            <w:vAlign w:val="bottom"/>
          </w:tcPr>
          <w:p>
            <w:pPr>
              <w:ind w:left="20"/>
              <w:spacing w:after="0" w:line="157" w:lineRule="exact"/>
              <w:rPr>
                <w:sz w:val="20"/>
                <w:szCs w:val="20"/>
                <w:color w:val="auto"/>
              </w:rPr>
            </w:pPr>
            <w:r>
              <w:rPr>
                <w:rFonts w:ascii="Arial" w:cs="Arial" w:eastAsia="Arial" w:hAnsi="Arial"/>
                <w:sz w:val="14"/>
                <w:szCs w:val="14"/>
                <w:color w:val="auto"/>
              </w:rPr>
              <w:t>Arlington,</w:t>
            </w: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60" w:type="dxa"/>
            <w:vAlign w:val="bottom"/>
          </w:tcPr>
          <w:p>
            <w:pPr>
              <w:ind w:left="20"/>
              <w:spacing w:after="0"/>
              <w:rPr>
                <w:sz w:val="20"/>
                <w:szCs w:val="20"/>
                <w:color w:val="auto"/>
              </w:rPr>
            </w:pPr>
            <w:r>
              <w:rPr>
                <w:rFonts w:ascii="Arial" w:cs="Arial" w:eastAsia="Arial" w:hAnsi="Arial"/>
                <w:sz w:val="14"/>
                <w:szCs w:val="14"/>
                <w:color w:val="auto"/>
              </w:rPr>
              <w:t>Texas</w:t>
            </w:r>
          </w:p>
        </w:tc>
        <w:tc>
          <w:tcPr>
            <w:tcW w:w="640" w:type="dxa"/>
            <w:vAlign w:val="bottom"/>
          </w:tcPr>
          <w:p>
            <w:pPr>
              <w:ind w:left="60"/>
              <w:spacing w:after="0"/>
              <w:rPr>
                <w:sz w:val="20"/>
                <w:szCs w:val="20"/>
                <w:color w:val="auto"/>
              </w:rPr>
            </w:pPr>
            <w:r>
              <w:rPr>
                <w:rFonts w:ascii="Arial" w:cs="Arial" w:eastAsia="Arial" w:hAnsi="Arial"/>
                <w:sz w:val="14"/>
                <w:szCs w:val="14"/>
                <w:color w:val="auto"/>
              </w:rPr>
              <w:t>ETX002</w:t>
            </w:r>
          </w:p>
        </w:tc>
        <w:tc>
          <w:tcPr>
            <w:tcW w:w="138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593</w:t>
            </w:r>
          </w:p>
        </w:tc>
        <w:tc>
          <w:tcPr>
            <w:tcW w:w="10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767</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593</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763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1,356</w:t>
            </w:r>
          </w:p>
        </w:tc>
        <w:tc>
          <w:tcPr>
            <w:tcW w:w="2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246</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Conroe, Texas</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ETX004</w:t>
            </w:r>
          </w:p>
        </w:tc>
        <w:tc>
          <w:tcPr>
            <w:tcW w:w="138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838</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1,078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1,916</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347</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960" w:type="dxa"/>
            <w:vAlign w:val="bottom"/>
          </w:tcPr>
          <w:p>
            <w:pPr>
              <w:ind w:left="20"/>
              <w:spacing w:after="0" w:line="157" w:lineRule="exact"/>
              <w:rPr>
                <w:sz w:val="20"/>
                <w:szCs w:val="20"/>
                <w:color w:val="auto"/>
              </w:rPr>
            </w:pPr>
            <w:r>
              <w:rPr>
                <w:rFonts w:ascii="Arial" w:cs="Arial" w:eastAsia="Arial" w:hAnsi="Arial"/>
                <w:sz w:val="14"/>
                <w:szCs w:val="14"/>
                <w:color w:val="auto"/>
                <w:w w:val="99"/>
              </w:rPr>
              <w:t>Corpus Christi,</w:t>
            </w: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60" w:type="dxa"/>
            <w:vAlign w:val="bottom"/>
          </w:tcPr>
          <w:p>
            <w:pPr>
              <w:ind w:left="20"/>
              <w:spacing w:after="0"/>
              <w:rPr>
                <w:sz w:val="20"/>
                <w:szCs w:val="20"/>
                <w:color w:val="auto"/>
              </w:rPr>
            </w:pPr>
            <w:r>
              <w:rPr>
                <w:rFonts w:ascii="Arial" w:cs="Arial" w:eastAsia="Arial" w:hAnsi="Arial"/>
                <w:sz w:val="14"/>
                <w:szCs w:val="14"/>
                <w:color w:val="auto"/>
              </w:rPr>
              <w:t>Texas</w:t>
            </w:r>
          </w:p>
        </w:tc>
        <w:tc>
          <w:tcPr>
            <w:tcW w:w="640" w:type="dxa"/>
            <w:vAlign w:val="bottom"/>
          </w:tcPr>
          <w:p>
            <w:pPr>
              <w:ind w:left="60"/>
              <w:spacing w:after="0"/>
              <w:rPr>
                <w:sz w:val="20"/>
                <w:szCs w:val="20"/>
                <w:color w:val="auto"/>
              </w:rPr>
            </w:pPr>
            <w:r>
              <w:rPr>
                <w:rFonts w:ascii="Arial" w:cs="Arial" w:eastAsia="Arial" w:hAnsi="Arial"/>
                <w:sz w:val="14"/>
                <w:szCs w:val="14"/>
                <w:color w:val="auto"/>
              </w:rPr>
              <w:t>ETX005</w:t>
            </w:r>
          </w:p>
        </w:tc>
        <w:tc>
          <w:tcPr>
            <w:tcW w:w="138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528</w:t>
            </w:r>
          </w:p>
        </w:tc>
        <w:tc>
          <w:tcPr>
            <w:tcW w:w="10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682</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528</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679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1,207</w:t>
            </w:r>
          </w:p>
        </w:tc>
        <w:tc>
          <w:tcPr>
            <w:tcW w:w="2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219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Desota, Texas</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ETX006</w:t>
            </w:r>
          </w:p>
        </w:tc>
        <w:tc>
          <w:tcPr>
            <w:tcW w:w="138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480</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619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1,099</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960" w:type="dxa"/>
            <w:vAlign w:val="bottom"/>
          </w:tcPr>
          <w:p>
            <w:pPr>
              <w:ind w:left="20"/>
              <w:spacing w:after="0"/>
              <w:rPr>
                <w:sz w:val="20"/>
                <w:szCs w:val="20"/>
                <w:color w:val="auto"/>
              </w:rPr>
            </w:pPr>
            <w:r>
              <w:rPr>
                <w:rFonts w:ascii="Arial" w:cs="Arial" w:eastAsia="Arial" w:hAnsi="Arial"/>
                <w:sz w:val="14"/>
                <w:szCs w:val="14"/>
                <w:color w:val="auto"/>
              </w:rPr>
              <w:t>Euless, Texas</w:t>
            </w:r>
          </w:p>
        </w:tc>
        <w:tc>
          <w:tcPr>
            <w:tcW w:w="640" w:type="dxa"/>
            <w:vAlign w:val="bottom"/>
          </w:tcPr>
          <w:p>
            <w:pPr>
              <w:ind w:left="60"/>
              <w:spacing w:after="0"/>
              <w:rPr>
                <w:sz w:val="20"/>
                <w:szCs w:val="20"/>
                <w:color w:val="auto"/>
              </w:rPr>
            </w:pPr>
            <w:r>
              <w:rPr>
                <w:rFonts w:ascii="Arial" w:cs="Arial" w:eastAsia="Arial" w:hAnsi="Arial"/>
                <w:sz w:val="14"/>
                <w:szCs w:val="14"/>
                <w:color w:val="auto"/>
              </w:rPr>
              <w:t>ETX007</w:t>
            </w:r>
          </w:p>
        </w:tc>
        <w:tc>
          <w:tcPr>
            <w:tcW w:w="138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975</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1,261</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975</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1,254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2,229</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404</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9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Garland, Texas</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ETX008</w:t>
            </w:r>
          </w:p>
        </w:tc>
        <w:tc>
          <w:tcPr>
            <w:tcW w:w="138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1,108</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1,108</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1,426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2,534</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459</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960" w:type="dxa"/>
            <w:vAlign w:val="bottom"/>
          </w:tcPr>
          <w:p>
            <w:pPr>
              <w:ind w:left="20"/>
              <w:spacing w:after="0"/>
              <w:rPr>
                <w:sz w:val="20"/>
                <w:szCs w:val="20"/>
                <w:color w:val="auto"/>
              </w:rPr>
            </w:pPr>
            <w:r>
              <w:rPr>
                <w:rFonts w:ascii="Arial" w:cs="Arial" w:eastAsia="Arial" w:hAnsi="Arial"/>
                <w:sz w:val="14"/>
                <w:szCs w:val="14"/>
                <w:color w:val="auto"/>
                <w:w w:val="93"/>
              </w:rPr>
              <w:t>Houston, Texas</w:t>
            </w:r>
          </w:p>
        </w:tc>
        <w:tc>
          <w:tcPr>
            <w:tcW w:w="640" w:type="dxa"/>
            <w:vAlign w:val="bottom"/>
          </w:tcPr>
          <w:p>
            <w:pPr>
              <w:ind w:left="60"/>
              <w:spacing w:after="0"/>
              <w:rPr>
                <w:sz w:val="20"/>
                <w:szCs w:val="20"/>
                <w:color w:val="auto"/>
              </w:rPr>
            </w:pPr>
            <w:r>
              <w:rPr>
                <w:rFonts w:ascii="Arial" w:cs="Arial" w:eastAsia="Arial" w:hAnsi="Arial"/>
                <w:sz w:val="14"/>
                <w:szCs w:val="14"/>
                <w:color w:val="auto"/>
              </w:rPr>
              <w:t>ETX009</w:t>
            </w:r>
          </w:p>
        </w:tc>
        <w:tc>
          <w:tcPr>
            <w:tcW w:w="138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425</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549</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425</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491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916</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165</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9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3"/>
              </w:rPr>
              <w:t>Houston, Texas</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ETX010</w:t>
            </w:r>
          </w:p>
        </w:tc>
        <w:tc>
          <w:tcPr>
            <w:tcW w:w="138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518</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671</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671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1,189</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960" w:type="dxa"/>
            <w:vAlign w:val="bottom"/>
          </w:tcPr>
          <w:p>
            <w:pPr>
              <w:ind w:left="20"/>
              <w:spacing w:after="0"/>
              <w:rPr>
                <w:sz w:val="20"/>
                <w:szCs w:val="20"/>
                <w:color w:val="auto"/>
              </w:rPr>
            </w:pPr>
            <w:r>
              <w:rPr>
                <w:rFonts w:ascii="Arial" w:cs="Arial" w:eastAsia="Arial" w:hAnsi="Arial"/>
                <w:sz w:val="14"/>
                <w:szCs w:val="14"/>
                <w:color w:val="auto"/>
                <w:w w:val="93"/>
              </w:rPr>
              <w:t>Houston, Texas</w:t>
            </w:r>
          </w:p>
        </w:tc>
        <w:tc>
          <w:tcPr>
            <w:tcW w:w="640" w:type="dxa"/>
            <w:vAlign w:val="bottom"/>
          </w:tcPr>
          <w:p>
            <w:pPr>
              <w:ind w:left="60"/>
              <w:spacing w:after="0"/>
              <w:rPr>
                <w:sz w:val="20"/>
                <w:szCs w:val="20"/>
                <w:color w:val="auto"/>
              </w:rPr>
            </w:pPr>
            <w:r>
              <w:rPr>
                <w:rFonts w:ascii="Arial" w:cs="Arial" w:eastAsia="Arial" w:hAnsi="Arial"/>
                <w:sz w:val="14"/>
                <w:szCs w:val="14"/>
                <w:color w:val="auto"/>
              </w:rPr>
              <w:t>ETX011</w:t>
            </w:r>
          </w:p>
        </w:tc>
        <w:tc>
          <w:tcPr>
            <w:tcW w:w="138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758</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981</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758</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981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1,739</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314</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9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3"/>
              </w:rPr>
              <w:t>Houston, Texas</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ETX013</w:t>
            </w:r>
          </w:p>
        </w:tc>
        <w:tc>
          <w:tcPr>
            <w:tcW w:w="138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375</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483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858</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960" w:type="dxa"/>
            <w:vAlign w:val="bottom"/>
          </w:tcPr>
          <w:p>
            <w:pPr>
              <w:ind w:left="20"/>
              <w:spacing w:after="0"/>
              <w:rPr>
                <w:sz w:val="20"/>
                <w:szCs w:val="20"/>
                <w:color w:val="auto"/>
              </w:rPr>
            </w:pPr>
            <w:r>
              <w:rPr>
                <w:rFonts w:ascii="Arial" w:cs="Arial" w:eastAsia="Arial" w:hAnsi="Arial"/>
                <w:sz w:val="14"/>
                <w:szCs w:val="14"/>
                <w:color w:val="auto"/>
                <w:w w:val="97"/>
              </w:rPr>
              <w:t>Humble, Texas</w:t>
            </w:r>
          </w:p>
        </w:tc>
        <w:tc>
          <w:tcPr>
            <w:tcW w:w="640" w:type="dxa"/>
            <w:vAlign w:val="bottom"/>
          </w:tcPr>
          <w:p>
            <w:pPr>
              <w:ind w:left="60"/>
              <w:spacing w:after="0"/>
              <w:rPr>
                <w:sz w:val="20"/>
                <w:szCs w:val="20"/>
                <w:color w:val="auto"/>
              </w:rPr>
            </w:pPr>
            <w:r>
              <w:rPr>
                <w:rFonts w:ascii="Arial" w:cs="Arial" w:eastAsia="Arial" w:hAnsi="Arial"/>
                <w:sz w:val="14"/>
                <w:szCs w:val="14"/>
                <w:color w:val="auto"/>
              </w:rPr>
              <w:t>ETX014</w:t>
            </w:r>
          </w:p>
        </w:tc>
        <w:tc>
          <w:tcPr>
            <w:tcW w:w="138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438</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567</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438</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564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1,002</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182</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Lewisville,</w:t>
            </w:r>
          </w:p>
        </w:tc>
        <w:tc>
          <w:tcPr>
            <w:tcW w:w="6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Texas</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ETX017</w:t>
            </w:r>
          </w:p>
        </w:tc>
        <w:tc>
          <w:tcPr>
            <w:tcW w:w="138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561</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726</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726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1,287</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232</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960" w:type="dxa"/>
            <w:vAlign w:val="bottom"/>
          </w:tcPr>
          <w:p>
            <w:pPr>
              <w:ind w:left="20"/>
              <w:spacing w:after="0" w:line="157" w:lineRule="exact"/>
              <w:rPr>
                <w:sz w:val="20"/>
                <w:szCs w:val="20"/>
                <w:color w:val="auto"/>
              </w:rPr>
            </w:pPr>
            <w:r>
              <w:rPr>
                <w:rFonts w:ascii="Arial" w:cs="Arial" w:eastAsia="Arial" w:hAnsi="Arial"/>
                <w:sz w:val="14"/>
                <w:szCs w:val="14"/>
                <w:color w:val="auto"/>
              </w:rPr>
              <w:t>Richardson,</w:t>
            </w: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60" w:type="dxa"/>
            <w:vAlign w:val="bottom"/>
          </w:tcPr>
          <w:p>
            <w:pPr>
              <w:ind w:left="20"/>
              <w:spacing w:after="0"/>
              <w:rPr>
                <w:sz w:val="20"/>
                <w:szCs w:val="20"/>
                <w:color w:val="auto"/>
              </w:rPr>
            </w:pPr>
            <w:r>
              <w:rPr>
                <w:rFonts w:ascii="Arial" w:cs="Arial" w:eastAsia="Arial" w:hAnsi="Arial"/>
                <w:sz w:val="14"/>
                <w:szCs w:val="14"/>
                <w:color w:val="auto"/>
              </w:rPr>
              <w:t>Texas</w:t>
            </w:r>
          </w:p>
        </w:tc>
        <w:tc>
          <w:tcPr>
            <w:tcW w:w="640" w:type="dxa"/>
            <w:vAlign w:val="bottom"/>
          </w:tcPr>
          <w:p>
            <w:pPr>
              <w:ind w:left="60"/>
              <w:spacing w:after="0"/>
              <w:rPr>
                <w:sz w:val="20"/>
                <w:szCs w:val="20"/>
                <w:color w:val="auto"/>
              </w:rPr>
            </w:pPr>
            <w:r>
              <w:rPr>
                <w:rFonts w:ascii="Arial" w:cs="Arial" w:eastAsia="Arial" w:hAnsi="Arial"/>
                <w:sz w:val="14"/>
                <w:szCs w:val="14"/>
                <w:color w:val="auto"/>
              </w:rPr>
              <w:t>ETX018</w:t>
            </w:r>
          </w:p>
        </w:tc>
        <w:tc>
          <w:tcPr>
            <w:tcW w:w="138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753</w:t>
            </w:r>
          </w:p>
        </w:tc>
        <w:tc>
          <w:tcPr>
            <w:tcW w:w="10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976</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753</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975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1,728</w:t>
            </w:r>
          </w:p>
        </w:tc>
        <w:tc>
          <w:tcPr>
            <w:tcW w:w="2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312</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San Antonio,</w:t>
            </w:r>
          </w:p>
        </w:tc>
        <w:tc>
          <w:tcPr>
            <w:tcW w:w="6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Texas</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ETX019</w:t>
            </w:r>
          </w:p>
        </w:tc>
        <w:tc>
          <w:tcPr>
            <w:tcW w:w="138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521</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675</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675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1,196</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216</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960" w:type="dxa"/>
            <w:vAlign w:val="bottom"/>
          </w:tcPr>
          <w:p>
            <w:pPr>
              <w:ind w:left="20"/>
              <w:spacing w:after="0"/>
              <w:rPr>
                <w:sz w:val="20"/>
                <w:szCs w:val="20"/>
                <w:color w:val="auto"/>
              </w:rPr>
            </w:pPr>
            <w:r>
              <w:rPr>
                <w:rFonts w:ascii="Arial" w:cs="Arial" w:eastAsia="Arial" w:hAnsi="Arial"/>
                <w:sz w:val="14"/>
                <w:szCs w:val="14"/>
                <w:color w:val="auto"/>
                <w:w w:val="96"/>
              </w:rPr>
              <w:t>Stafford, Texas</w:t>
            </w:r>
          </w:p>
        </w:tc>
        <w:tc>
          <w:tcPr>
            <w:tcW w:w="640" w:type="dxa"/>
            <w:vAlign w:val="bottom"/>
          </w:tcPr>
          <w:p>
            <w:pPr>
              <w:ind w:left="60"/>
              <w:spacing w:after="0"/>
              <w:rPr>
                <w:sz w:val="20"/>
                <w:szCs w:val="20"/>
                <w:color w:val="auto"/>
              </w:rPr>
            </w:pPr>
            <w:r>
              <w:rPr>
                <w:rFonts w:ascii="Arial" w:cs="Arial" w:eastAsia="Arial" w:hAnsi="Arial"/>
                <w:sz w:val="14"/>
                <w:szCs w:val="14"/>
                <w:color w:val="auto"/>
              </w:rPr>
              <w:t>ETX020</w:t>
            </w:r>
          </w:p>
        </w:tc>
        <w:tc>
          <w:tcPr>
            <w:tcW w:w="138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634</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821</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634</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817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1,451</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263</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Waco, Texas</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ETX021</w:t>
            </w:r>
          </w:p>
        </w:tc>
        <w:tc>
          <w:tcPr>
            <w:tcW w:w="138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379</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488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867</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64"/>
        </w:trPr>
        <w:tc>
          <w:tcPr>
            <w:tcW w:w="960" w:type="dxa"/>
            <w:vAlign w:val="bottom"/>
          </w:tcPr>
          <w:p>
            <w:pPr>
              <w:ind w:left="20"/>
              <w:spacing w:after="0"/>
              <w:rPr>
                <w:sz w:val="20"/>
                <w:szCs w:val="20"/>
                <w:color w:val="auto"/>
              </w:rPr>
            </w:pPr>
            <w:r>
              <w:rPr>
                <w:rFonts w:ascii="Arial" w:cs="Arial" w:eastAsia="Arial" w:hAnsi="Arial"/>
                <w:sz w:val="14"/>
                <w:szCs w:val="14"/>
                <w:color w:val="auto"/>
                <w:w w:val="93"/>
              </w:rPr>
              <w:t>Webster, Texas</w:t>
            </w:r>
          </w:p>
        </w:tc>
        <w:tc>
          <w:tcPr>
            <w:tcW w:w="640" w:type="dxa"/>
            <w:vAlign w:val="bottom"/>
          </w:tcPr>
          <w:p>
            <w:pPr>
              <w:ind w:left="60"/>
              <w:spacing w:after="0"/>
              <w:rPr>
                <w:sz w:val="20"/>
                <w:szCs w:val="20"/>
                <w:color w:val="auto"/>
              </w:rPr>
            </w:pPr>
            <w:r>
              <w:rPr>
                <w:rFonts w:ascii="Arial" w:cs="Arial" w:eastAsia="Arial" w:hAnsi="Arial"/>
                <w:sz w:val="14"/>
                <w:szCs w:val="14"/>
                <w:color w:val="auto"/>
              </w:rPr>
              <w:t>ETX022</w:t>
            </w:r>
          </w:p>
        </w:tc>
        <w:tc>
          <w:tcPr>
            <w:tcW w:w="138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592</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766</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592</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766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1,358</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245</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Centreville,</w:t>
            </w:r>
          </w:p>
        </w:tc>
        <w:tc>
          <w:tcPr>
            <w:tcW w:w="6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Virginia</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EVA001</w:t>
            </w:r>
          </w:p>
        </w:tc>
        <w:tc>
          <w:tcPr>
            <w:tcW w:w="138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1,134</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1,134</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1,466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2,600</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469</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960" w:type="dxa"/>
            <w:vAlign w:val="bottom"/>
          </w:tcPr>
          <w:p>
            <w:pPr>
              <w:ind w:left="20"/>
              <w:spacing w:after="0" w:line="157" w:lineRule="exact"/>
              <w:rPr>
                <w:sz w:val="20"/>
                <w:szCs w:val="20"/>
                <w:color w:val="auto"/>
              </w:rPr>
            </w:pPr>
            <w:r>
              <w:rPr>
                <w:rFonts w:ascii="Arial" w:cs="Arial" w:eastAsia="Arial" w:hAnsi="Arial"/>
                <w:sz w:val="14"/>
                <w:szCs w:val="14"/>
                <w:color w:val="auto"/>
              </w:rPr>
              <w:t>Chesapeake,</w:t>
            </w: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60" w:type="dxa"/>
            <w:vAlign w:val="bottom"/>
          </w:tcPr>
          <w:p>
            <w:pPr>
              <w:ind w:left="20"/>
              <w:spacing w:after="0"/>
              <w:rPr>
                <w:sz w:val="20"/>
                <w:szCs w:val="20"/>
                <w:color w:val="auto"/>
              </w:rPr>
            </w:pPr>
            <w:r>
              <w:rPr>
                <w:rFonts w:ascii="Arial" w:cs="Arial" w:eastAsia="Arial" w:hAnsi="Arial"/>
                <w:sz w:val="14"/>
                <w:szCs w:val="14"/>
                <w:color w:val="auto"/>
              </w:rPr>
              <w:t>Virginia</w:t>
            </w:r>
          </w:p>
        </w:tc>
        <w:tc>
          <w:tcPr>
            <w:tcW w:w="640" w:type="dxa"/>
            <w:vAlign w:val="bottom"/>
          </w:tcPr>
          <w:p>
            <w:pPr>
              <w:ind w:left="60"/>
              <w:spacing w:after="0"/>
              <w:rPr>
                <w:sz w:val="20"/>
                <w:szCs w:val="20"/>
                <w:color w:val="auto"/>
              </w:rPr>
            </w:pPr>
            <w:r>
              <w:rPr>
                <w:rFonts w:ascii="Arial" w:cs="Arial" w:eastAsia="Arial" w:hAnsi="Arial"/>
                <w:sz w:val="14"/>
                <w:szCs w:val="14"/>
                <w:color w:val="auto"/>
              </w:rPr>
              <w:t>EVA002</w:t>
            </w:r>
          </w:p>
        </w:tc>
        <w:tc>
          <w:tcPr>
            <w:tcW w:w="138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845</w:t>
            </w:r>
          </w:p>
        </w:tc>
        <w:tc>
          <w:tcPr>
            <w:tcW w:w="10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1,094</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845</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1,093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1,938</w:t>
            </w:r>
          </w:p>
        </w:tc>
        <w:tc>
          <w:tcPr>
            <w:tcW w:w="2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350</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Chesapeake,</w:t>
            </w:r>
          </w:p>
        </w:tc>
        <w:tc>
          <w:tcPr>
            <w:tcW w:w="6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Virginia</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EVA003</w:t>
            </w:r>
          </w:p>
        </w:tc>
        <w:tc>
          <w:tcPr>
            <w:tcW w:w="138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884</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884</w:t>
            </w:r>
          </w:p>
        </w:tc>
        <w:tc>
          <w:tcPr>
            <w:tcW w:w="1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1,139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2,023</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367</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960" w:type="dxa"/>
            <w:vAlign w:val="bottom"/>
          </w:tcPr>
          <w:p>
            <w:pPr>
              <w:ind w:left="20"/>
              <w:spacing w:after="0" w:line="157" w:lineRule="exact"/>
              <w:rPr>
                <w:sz w:val="20"/>
                <w:szCs w:val="20"/>
                <w:color w:val="auto"/>
              </w:rPr>
            </w:pPr>
            <w:r>
              <w:rPr>
                <w:rFonts w:ascii="Arial" w:cs="Arial" w:eastAsia="Arial" w:hAnsi="Arial"/>
                <w:sz w:val="14"/>
                <w:szCs w:val="14"/>
                <w:color w:val="auto"/>
                <w:w w:val="94"/>
              </w:rPr>
              <w:t>Fredericksburg,</w:t>
            </w: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960" w:type="dxa"/>
            <w:vAlign w:val="bottom"/>
          </w:tcPr>
          <w:p>
            <w:pPr>
              <w:ind w:left="20"/>
              <w:spacing w:after="0"/>
              <w:rPr>
                <w:sz w:val="20"/>
                <w:szCs w:val="20"/>
                <w:color w:val="auto"/>
              </w:rPr>
            </w:pPr>
            <w:r>
              <w:rPr>
                <w:rFonts w:ascii="Arial" w:cs="Arial" w:eastAsia="Arial" w:hAnsi="Arial"/>
                <w:sz w:val="14"/>
                <w:szCs w:val="14"/>
                <w:color w:val="auto"/>
              </w:rPr>
              <w:t>Virginia</w:t>
            </w:r>
          </w:p>
        </w:tc>
        <w:tc>
          <w:tcPr>
            <w:tcW w:w="640" w:type="dxa"/>
            <w:vAlign w:val="bottom"/>
          </w:tcPr>
          <w:p>
            <w:pPr>
              <w:ind w:left="60"/>
              <w:spacing w:after="0"/>
              <w:rPr>
                <w:sz w:val="20"/>
                <w:szCs w:val="20"/>
                <w:color w:val="auto"/>
              </w:rPr>
            </w:pPr>
            <w:r>
              <w:rPr>
                <w:rFonts w:ascii="Arial" w:cs="Arial" w:eastAsia="Arial" w:hAnsi="Arial"/>
                <w:sz w:val="14"/>
                <w:szCs w:val="14"/>
                <w:color w:val="auto"/>
              </w:rPr>
              <w:t>EVA004</w:t>
            </w:r>
          </w:p>
        </w:tc>
        <w:tc>
          <w:tcPr>
            <w:tcW w:w="138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953</w:t>
            </w:r>
          </w:p>
        </w:tc>
        <w:tc>
          <w:tcPr>
            <w:tcW w:w="10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1,233</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953</w:t>
            </w:r>
          </w:p>
        </w:tc>
        <w:tc>
          <w:tcPr>
            <w:tcW w:w="1220" w:type="dxa"/>
            <w:vAlign w:val="bottom"/>
            <w:gridSpan w:val="3"/>
          </w:tcPr>
          <w:p>
            <w:pPr>
              <w:jc w:val="right"/>
              <w:ind w:right="48"/>
              <w:spacing w:after="0"/>
              <w:rPr>
                <w:sz w:val="20"/>
                <w:szCs w:val="20"/>
                <w:color w:val="auto"/>
              </w:rPr>
            </w:pPr>
            <w:r>
              <w:rPr>
                <w:rFonts w:ascii="Arial" w:cs="Arial" w:eastAsia="Arial" w:hAnsi="Arial"/>
                <w:sz w:val="14"/>
                <w:szCs w:val="14"/>
                <w:color w:val="auto"/>
              </w:rPr>
              <w:t>1,226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2,179</w:t>
            </w:r>
          </w:p>
        </w:tc>
        <w:tc>
          <w:tcPr>
            <w:tcW w:w="22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395</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80"/>
          </w:cols>
          <w:pgMar w:left="260" w:top="742" w:right="25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iStar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III—Real Estate and Accumulated Depreciation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2016</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6"/>
          </w:tcPr>
          <w:p>
            <w:pPr>
              <w:jc w:val="center"/>
              <w:ind w:left="528"/>
              <w:spacing w:after="0"/>
              <w:rPr>
                <w:sz w:val="20"/>
                <w:szCs w:val="20"/>
                <w:color w:val="auto"/>
              </w:rPr>
            </w:pPr>
            <w:r>
              <w:rPr>
                <w:rFonts w:ascii="Arial" w:cs="Arial" w:eastAsia="Arial" w:hAnsi="Arial"/>
                <w:sz w:val="14"/>
                <w:szCs w:val="14"/>
                <w:b w:val="1"/>
                <w:bCs w:val="1"/>
                <w:color w:val="auto"/>
                <w:w w:val="95"/>
              </w:rPr>
              <w:t>Gross Amount Carried</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4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Initial Cost to Company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Cost</w:t>
            </w:r>
          </w:p>
        </w:tc>
        <w:tc>
          <w:tcPr>
            <w:tcW w:w="7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at Close of Period</w:t>
            </w: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9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Building and</w:t>
            </w:r>
          </w:p>
        </w:tc>
        <w:tc>
          <w:tcPr>
            <w:tcW w:w="100" w:type="dxa"/>
            <w:vAlign w:val="bottom"/>
          </w:tcPr>
          <w:p>
            <w:pPr>
              <w:spacing w:after="0"/>
              <w:rPr>
                <w:sz w:val="11"/>
                <w:szCs w:val="11"/>
                <w:color w:val="auto"/>
              </w:rPr>
            </w:pPr>
          </w:p>
        </w:tc>
        <w:tc>
          <w:tcPr>
            <w:tcW w:w="9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4"/>
              </w:rPr>
              <w:t>Capitalized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Building and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Accumulated</w:t>
            </w:r>
          </w:p>
        </w:tc>
        <w:tc>
          <w:tcPr>
            <w:tcW w:w="180" w:type="dxa"/>
            <w:vAlign w:val="bottom"/>
          </w:tcPr>
          <w:p>
            <w:pPr>
              <w:spacing w:after="0"/>
              <w:rPr>
                <w:sz w:val="11"/>
                <w:szCs w:val="11"/>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Depreciable</w:t>
            </w:r>
          </w:p>
        </w:tc>
        <w:tc>
          <w:tcPr>
            <w:tcW w:w="0" w:type="dxa"/>
            <w:vAlign w:val="bottom"/>
          </w:tcPr>
          <w:p>
            <w:pPr>
              <w:spacing w:after="0"/>
              <w:rPr>
                <w:sz w:val="1"/>
                <w:szCs w:val="1"/>
                <w:color w:val="auto"/>
              </w:rPr>
            </w:pPr>
          </w:p>
        </w:tc>
      </w:tr>
      <w:tr>
        <w:trPr>
          <w:trHeight w:val="149"/>
        </w:trPr>
        <w:tc>
          <w:tcPr>
            <w:tcW w:w="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Location</w:t>
            </w:r>
          </w:p>
        </w:tc>
        <w:tc>
          <w:tcPr>
            <w:tcW w:w="640" w:type="dxa"/>
            <w:vAlign w:val="bottom"/>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Encumbrances</w:t>
            </w:r>
          </w:p>
        </w:tc>
        <w:tc>
          <w:tcPr>
            <w:tcW w:w="420" w:type="dxa"/>
            <w:vAlign w:val="bottom"/>
          </w:tcPr>
          <w:p>
            <w:pPr>
              <w:spacing w:after="0"/>
              <w:rPr>
                <w:sz w:val="12"/>
                <w:szCs w:val="12"/>
                <w:color w:val="auto"/>
              </w:rPr>
            </w:pPr>
          </w:p>
        </w:tc>
        <w:tc>
          <w:tcPr>
            <w:tcW w:w="8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Land</w:t>
            </w:r>
          </w:p>
        </w:tc>
        <w:tc>
          <w:tcPr>
            <w:tcW w:w="1040" w:type="dxa"/>
            <w:vAlign w:val="bottom"/>
            <w:gridSpan w:val="3"/>
            <w:vMerge w:val="continue"/>
          </w:tcPr>
          <w:p>
            <w:pPr>
              <w:spacing w:after="0"/>
              <w:rPr>
                <w:sz w:val="12"/>
                <w:szCs w:val="12"/>
                <w:color w:val="auto"/>
              </w:rPr>
            </w:pPr>
          </w:p>
        </w:tc>
        <w:tc>
          <w:tcPr>
            <w:tcW w:w="10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Subsequent to</w:t>
            </w:r>
          </w:p>
        </w:tc>
        <w:tc>
          <w:tcPr>
            <w:tcW w:w="7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Land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9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192"/>
        </w:trPr>
        <w:tc>
          <w:tcPr>
            <w:tcW w:w="98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Improvements</w:t>
            </w: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Acquisition</w:t>
            </w:r>
            <w:r>
              <w:rPr>
                <w:rFonts w:ascii="Arial" w:cs="Arial" w:eastAsia="Arial" w:hAnsi="Arial"/>
                <w:sz w:val="8"/>
                <w:szCs w:val="8"/>
                <w:b w:val="1"/>
                <w:bCs w:val="1"/>
                <w:color w:val="auto"/>
                <w:w w:val="92"/>
              </w:rPr>
              <w:t>(2)</w:t>
            </w: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Improvements</w:t>
            </w: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96"/>
              </w:rPr>
              <w:t>Depreciation</w:t>
            </w:r>
          </w:p>
        </w:tc>
        <w:tc>
          <w:tcPr>
            <w:tcW w:w="180" w:type="dxa"/>
            <w:vAlign w:val="bottom"/>
          </w:tcPr>
          <w:p>
            <w:pPr>
              <w:spacing w:after="0"/>
              <w:rPr>
                <w:sz w:val="16"/>
                <w:szCs w:val="16"/>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Acquired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156"/>
        </w:trPr>
        <w:tc>
          <w:tcPr>
            <w:tcW w:w="980" w:type="dxa"/>
            <w:vAlign w:val="bottom"/>
            <w:tcBorders>
              <w:top w:val="single" w:sz="8" w:color="auto"/>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Grafton,</w:t>
            </w:r>
          </w:p>
        </w:tc>
        <w:tc>
          <w:tcPr>
            <w:tcW w:w="64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Virginia</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EVA005</w:t>
            </w:r>
          </w:p>
        </w:tc>
        <w:tc>
          <w:tcPr>
            <w:tcW w:w="400" w:type="dxa"/>
            <w:vAlign w:val="bottom"/>
            <w:shd w:val="clear" w:color="auto" w:fill="CCEEFF"/>
          </w:tcPr>
          <w:p>
            <w:pPr>
              <w:spacing w:after="0"/>
              <w:rPr>
                <w:sz w:val="16"/>
                <w:szCs w:val="16"/>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1,118</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980" w:type="dxa"/>
            <w:vAlign w:val="bottom"/>
          </w:tcPr>
          <w:p>
            <w:pPr>
              <w:ind w:left="20"/>
              <w:spacing w:after="0" w:line="157" w:lineRule="exact"/>
              <w:rPr>
                <w:sz w:val="20"/>
                <w:szCs w:val="20"/>
                <w:color w:val="auto"/>
              </w:rPr>
            </w:pPr>
            <w:r>
              <w:rPr>
                <w:rFonts w:ascii="Arial" w:cs="Arial" w:eastAsia="Arial" w:hAnsi="Arial"/>
                <w:sz w:val="14"/>
                <w:szCs w:val="14"/>
                <w:color w:val="auto"/>
              </w:rPr>
              <w:t>Lynchburg,</w:t>
            </w: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80" w:type="dxa"/>
            <w:vAlign w:val="bottom"/>
          </w:tcPr>
          <w:p>
            <w:pPr>
              <w:ind w:left="20"/>
              <w:spacing w:after="0"/>
              <w:rPr>
                <w:sz w:val="20"/>
                <w:szCs w:val="20"/>
                <w:color w:val="auto"/>
              </w:rPr>
            </w:pPr>
            <w:r>
              <w:rPr>
                <w:rFonts w:ascii="Arial" w:cs="Arial" w:eastAsia="Arial" w:hAnsi="Arial"/>
                <w:sz w:val="14"/>
                <w:szCs w:val="14"/>
                <w:color w:val="auto"/>
              </w:rPr>
              <w:t>Virginia</w:t>
            </w:r>
          </w:p>
        </w:tc>
        <w:tc>
          <w:tcPr>
            <w:tcW w:w="640" w:type="dxa"/>
            <w:vAlign w:val="bottom"/>
          </w:tcPr>
          <w:p>
            <w:pPr>
              <w:ind w:left="60"/>
              <w:spacing w:after="0"/>
              <w:rPr>
                <w:sz w:val="20"/>
                <w:szCs w:val="20"/>
                <w:color w:val="auto"/>
              </w:rPr>
            </w:pPr>
            <w:r>
              <w:rPr>
                <w:rFonts w:ascii="Arial" w:cs="Arial" w:eastAsia="Arial" w:hAnsi="Arial"/>
                <w:sz w:val="14"/>
                <w:szCs w:val="14"/>
                <w:color w:val="auto"/>
              </w:rPr>
              <w:t>EVA006</w:t>
            </w:r>
          </w:p>
        </w:tc>
        <w:tc>
          <w:tcPr>
            <w:tcW w:w="400" w:type="dxa"/>
            <w:vAlign w:val="bottom"/>
          </w:tcPr>
          <w:p>
            <w:pPr>
              <w:spacing w:after="0"/>
              <w:rPr>
                <w:sz w:val="16"/>
                <w:szCs w:val="16"/>
                <w:color w:val="auto"/>
              </w:rPr>
            </w:pPr>
          </w:p>
        </w:tc>
        <w:tc>
          <w:tcPr>
            <w:tcW w:w="580" w:type="dxa"/>
            <w:vAlign w:val="bottom"/>
          </w:tcPr>
          <w:p>
            <w:pPr>
              <w:ind w:left="3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547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972</w:t>
            </w:r>
          </w:p>
        </w:tc>
        <w:tc>
          <w:tcPr>
            <w:tcW w:w="18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176</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9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8"/>
              </w:rPr>
              <w:t>Mechanicsville,</w:t>
            </w: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Virginia</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EVA007</w:t>
            </w:r>
          </w:p>
        </w:tc>
        <w:tc>
          <w:tcPr>
            <w:tcW w:w="400" w:type="dxa"/>
            <w:vAlign w:val="bottom"/>
            <w:shd w:val="clear" w:color="auto" w:fill="CCEEFF"/>
          </w:tcPr>
          <w:p>
            <w:pPr>
              <w:spacing w:after="0"/>
              <w:rPr>
                <w:sz w:val="16"/>
                <w:szCs w:val="16"/>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2,633</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980" w:type="dxa"/>
            <w:vAlign w:val="bottom"/>
          </w:tcPr>
          <w:p>
            <w:pPr>
              <w:ind w:left="20"/>
              <w:spacing w:after="0" w:line="157" w:lineRule="exact"/>
              <w:rPr>
                <w:sz w:val="20"/>
                <w:szCs w:val="20"/>
                <w:color w:val="auto"/>
              </w:rPr>
            </w:pPr>
            <w:r>
              <w:rPr>
                <w:rFonts w:ascii="Arial" w:cs="Arial" w:eastAsia="Arial" w:hAnsi="Arial"/>
                <w:sz w:val="14"/>
                <w:szCs w:val="14"/>
                <w:color w:val="auto"/>
              </w:rPr>
              <w:t>Norfolk,</w:t>
            </w: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80" w:type="dxa"/>
            <w:vAlign w:val="bottom"/>
          </w:tcPr>
          <w:p>
            <w:pPr>
              <w:ind w:left="20"/>
              <w:spacing w:after="0"/>
              <w:rPr>
                <w:sz w:val="20"/>
                <w:szCs w:val="20"/>
                <w:color w:val="auto"/>
              </w:rPr>
            </w:pPr>
            <w:r>
              <w:rPr>
                <w:rFonts w:ascii="Arial" w:cs="Arial" w:eastAsia="Arial" w:hAnsi="Arial"/>
                <w:sz w:val="14"/>
                <w:szCs w:val="14"/>
                <w:color w:val="auto"/>
              </w:rPr>
              <w:t>Virginia</w:t>
            </w:r>
          </w:p>
        </w:tc>
        <w:tc>
          <w:tcPr>
            <w:tcW w:w="640" w:type="dxa"/>
            <w:vAlign w:val="bottom"/>
          </w:tcPr>
          <w:p>
            <w:pPr>
              <w:ind w:left="60"/>
              <w:spacing w:after="0"/>
              <w:rPr>
                <w:sz w:val="20"/>
                <w:szCs w:val="20"/>
                <w:color w:val="auto"/>
              </w:rPr>
            </w:pPr>
            <w:r>
              <w:rPr>
                <w:rFonts w:ascii="Arial" w:cs="Arial" w:eastAsia="Arial" w:hAnsi="Arial"/>
                <w:sz w:val="14"/>
                <w:szCs w:val="14"/>
                <w:color w:val="auto"/>
              </w:rPr>
              <w:t>EVA008</w:t>
            </w:r>
          </w:p>
        </w:tc>
        <w:tc>
          <w:tcPr>
            <w:tcW w:w="400" w:type="dxa"/>
            <w:vAlign w:val="bottom"/>
          </w:tcPr>
          <w:p>
            <w:pPr>
              <w:spacing w:after="0"/>
              <w:rPr>
                <w:sz w:val="16"/>
                <w:szCs w:val="16"/>
                <w:color w:val="auto"/>
              </w:rPr>
            </w:pPr>
          </w:p>
        </w:tc>
        <w:tc>
          <w:tcPr>
            <w:tcW w:w="580" w:type="dxa"/>
            <w:vAlign w:val="bottom"/>
          </w:tcPr>
          <w:p>
            <w:pPr>
              <w:ind w:left="3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546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707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546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707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1,253</w:t>
            </w:r>
          </w:p>
        </w:tc>
        <w:tc>
          <w:tcPr>
            <w:tcW w:w="18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226</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Petersburg,</w:t>
            </w: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Virginia</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EVA009</w:t>
            </w:r>
          </w:p>
        </w:tc>
        <w:tc>
          <w:tcPr>
            <w:tcW w:w="400" w:type="dxa"/>
            <w:vAlign w:val="bottom"/>
            <w:shd w:val="clear" w:color="auto" w:fill="CCEEFF"/>
          </w:tcPr>
          <w:p>
            <w:pPr>
              <w:spacing w:after="0"/>
              <w:rPr>
                <w:sz w:val="16"/>
                <w:szCs w:val="16"/>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851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851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1,953</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980" w:type="dxa"/>
            <w:vAlign w:val="bottom"/>
          </w:tcPr>
          <w:p>
            <w:pPr>
              <w:ind w:left="20"/>
              <w:spacing w:after="0" w:line="157" w:lineRule="exact"/>
              <w:rPr>
                <w:sz w:val="20"/>
                <w:szCs w:val="20"/>
                <w:color w:val="auto"/>
              </w:rPr>
            </w:pPr>
            <w:r>
              <w:rPr>
                <w:rFonts w:ascii="Arial" w:cs="Arial" w:eastAsia="Arial" w:hAnsi="Arial"/>
                <w:sz w:val="14"/>
                <w:szCs w:val="14"/>
                <w:color w:val="auto"/>
              </w:rPr>
              <w:t>Richmond,</w:t>
            </w: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80" w:type="dxa"/>
            <w:vAlign w:val="bottom"/>
          </w:tcPr>
          <w:p>
            <w:pPr>
              <w:ind w:left="20"/>
              <w:spacing w:after="0"/>
              <w:rPr>
                <w:sz w:val="20"/>
                <w:szCs w:val="20"/>
                <w:color w:val="auto"/>
              </w:rPr>
            </w:pPr>
            <w:r>
              <w:rPr>
                <w:rFonts w:ascii="Arial" w:cs="Arial" w:eastAsia="Arial" w:hAnsi="Arial"/>
                <w:sz w:val="14"/>
                <w:szCs w:val="14"/>
                <w:color w:val="auto"/>
              </w:rPr>
              <w:t>Virginia</w:t>
            </w:r>
          </w:p>
        </w:tc>
        <w:tc>
          <w:tcPr>
            <w:tcW w:w="640" w:type="dxa"/>
            <w:vAlign w:val="bottom"/>
          </w:tcPr>
          <w:p>
            <w:pPr>
              <w:ind w:left="60"/>
              <w:spacing w:after="0"/>
              <w:rPr>
                <w:sz w:val="20"/>
                <w:szCs w:val="20"/>
                <w:color w:val="auto"/>
              </w:rPr>
            </w:pPr>
            <w:r>
              <w:rPr>
                <w:rFonts w:ascii="Arial" w:cs="Arial" w:eastAsia="Arial" w:hAnsi="Arial"/>
                <w:sz w:val="14"/>
                <w:szCs w:val="14"/>
                <w:color w:val="auto"/>
              </w:rPr>
              <w:t>EVA010</w:t>
            </w:r>
          </w:p>
        </w:tc>
        <w:tc>
          <w:tcPr>
            <w:tcW w:w="400" w:type="dxa"/>
            <w:vAlign w:val="bottom"/>
          </w:tcPr>
          <w:p>
            <w:pPr>
              <w:spacing w:after="0"/>
              <w:rPr>
                <w:sz w:val="16"/>
                <w:szCs w:val="16"/>
                <w:color w:val="auto"/>
              </w:rPr>
            </w:pPr>
          </w:p>
        </w:tc>
        <w:tc>
          <w:tcPr>
            <w:tcW w:w="580" w:type="dxa"/>
            <w:vAlign w:val="bottom"/>
          </w:tcPr>
          <w:p>
            <w:pPr>
              <w:ind w:left="3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819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1,061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819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1,060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1,879</w:t>
            </w:r>
          </w:p>
        </w:tc>
        <w:tc>
          <w:tcPr>
            <w:tcW w:w="18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339</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Richmond,</w:t>
            </w: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Virginia</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EVA011</w:t>
            </w:r>
          </w:p>
        </w:tc>
        <w:tc>
          <w:tcPr>
            <w:tcW w:w="400" w:type="dxa"/>
            <w:vAlign w:val="bottom"/>
            <w:shd w:val="clear" w:color="auto" w:fill="CCEEFF"/>
          </w:tcPr>
          <w:p>
            <w:pPr>
              <w:spacing w:after="0"/>
              <w:rPr>
                <w:sz w:val="16"/>
                <w:szCs w:val="16"/>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2,198</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980" w:type="dxa"/>
            <w:vAlign w:val="bottom"/>
          </w:tcPr>
          <w:p>
            <w:pPr>
              <w:ind w:left="20"/>
              <w:spacing w:after="0" w:line="157" w:lineRule="exact"/>
              <w:rPr>
                <w:sz w:val="20"/>
                <w:szCs w:val="20"/>
                <w:color w:val="auto"/>
              </w:rPr>
            </w:pPr>
            <w:r>
              <w:rPr>
                <w:rFonts w:ascii="Arial" w:cs="Arial" w:eastAsia="Arial" w:hAnsi="Arial"/>
                <w:sz w:val="14"/>
                <w:szCs w:val="14"/>
                <w:color w:val="auto"/>
                <w:w w:val="99"/>
              </w:rPr>
              <w:t>Virginia Beach,</w:t>
            </w: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80" w:type="dxa"/>
            <w:vAlign w:val="bottom"/>
          </w:tcPr>
          <w:p>
            <w:pPr>
              <w:ind w:left="20"/>
              <w:spacing w:after="0"/>
              <w:rPr>
                <w:sz w:val="20"/>
                <w:szCs w:val="20"/>
                <w:color w:val="auto"/>
              </w:rPr>
            </w:pPr>
            <w:r>
              <w:rPr>
                <w:rFonts w:ascii="Arial" w:cs="Arial" w:eastAsia="Arial" w:hAnsi="Arial"/>
                <w:sz w:val="14"/>
                <w:szCs w:val="14"/>
                <w:color w:val="auto"/>
              </w:rPr>
              <w:t>Virginia</w:t>
            </w:r>
          </w:p>
        </w:tc>
        <w:tc>
          <w:tcPr>
            <w:tcW w:w="640" w:type="dxa"/>
            <w:vAlign w:val="bottom"/>
          </w:tcPr>
          <w:p>
            <w:pPr>
              <w:ind w:left="60"/>
              <w:spacing w:after="0"/>
              <w:rPr>
                <w:sz w:val="20"/>
                <w:szCs w:val="20"/>
                <w:color w:val="auto"/>
              </w:rPr>
            </w:pPr>
            <w:r>
              <w:rPr>
                <w:rFonts w:ascii="Arial" w:cs="Arial" w:eastAsia="Arial" w:hAnsi="Arial"/>
                <w:sz w:val="14"/>
                <w:szCs w:val="14"/>
                <w:color w:val="auto"/>
              </w:rPr>
              <w:t>EVA012</w:t>
            </w:r>
          </w:p>
        </w:tc>
        <w:tc>
          <w:tcPr>
            <w:tcW w:w="400" w:type="dxa"/>
            <w:vAlign w:val="bottom"/>
          </w:tcPr>
          <w:p>
            <w:pPr>
              <w:spacing w:after="0"/>
              <w:rPr>
                <w:sz w:val="16"/>
                <w:szCs w:val="16"/>
                <w:color w:val="auto"/>
              </w:rPr>
            </w:pPr>
          </w:p>
        </w:tc>
        <w:tc>
          <w:tcPr>
            <w:tcW w:w="580" w:type="dxa"/>
            <w:vAlign w:val="bottom"/>
          </w:tcPr>
          <w:p>
            <w:pPr>
              <w:ind w:left="3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788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1,020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788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1,803</w:t>
            </w:r>
          </w:p>
        </w:tc>
        <w:tc>
          <w:tcPr>
            <w:tcW w:w="18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327</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Williamsburg,</w:t>
            </w: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Virginia</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EVA013</w:t>
            </w:r>
          </w:p>
        </w:tc>
        <w:tc>
          <w:tcPr>
            <w:tcW w:w="400" w:type="dxa"/>
            <w:vAlign w:val="bottom"/>
            <w:shd w:val="clear" w:color="auto" w:fill="CCEEFF"/>
          </w:tcPr>
          <w:p>
            <w:pPr>
              <w:spacing w:after="0"/>
              <w:rPr>
                <w:sz w:val="16"/>
                <w:szCs w:val="16"/>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1,266</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980" w:type="dxa"/>
            <w:vAlign w:val="bottom"/>
          </w:tcPr>
          <w:p>
            <w:pPr>
              <w:ind w:left="20"/>
              <w:spacing w:after="0" w:line="157" w:lineRule="exact"/>
              <w:rPr>
                <w:sz w:val="20"/>
                <w:szCs w:val="20"/>
                <w:color w:val="auto"/>
              </w:rPr>
            </w:pPr>
            <w:r>
              <w:rPr>
                <w:rFonts w:ascii="Arial" w:cs="Arial" w:eastAsia="Arial" w:hAnsi="Arial"/>
                <w:sz w:val="14"/>
                <w:szCs w:val="14"/>
                <w:color w:val="auto"/>
              </w:rPr>
              <w:t>Quincy,</w:t>
            </w: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80" w:type="dxa"/>
            <w:vAlign w:val="bottom"/>
          </w:tcPr>
          <w:p>
            <w:pPr>
              <w:ind w:left="20"/>
              <w:spacing w:after="0"/>
              <w:rPr>
                <w:sz w:val="20"/>
                <w:szCs w:val="20"/>
                <w:color w:val="auto"/>
              </w:rPr>
            </w:pPr>
            <w:r>
              <w:rPr>
                <w:rFonts w:ascii="Arial" w:cs="Arial" w:eastAsia="Arial" w:hAnsi="Arial"/>
                <w:sz w:val="14"/>
                <w:szCs w:val="14"/>
                <w:color w:val="auto"/>
              </w:rPr>
              <w:t>Washington</w:t>
            </w:r>
          </w:p>
        </w:tc>
        <w:tc>
          <w:tcPr>
            <w:tcW w:w="640" w:type="dxa"/>
            <w:vAlign w:val="bottom"/>
          </w:tcPr>
          <w:p>
            <w:pPr>
              <w:ind w:left="60"/>
              <w:spacing w:after="0"/>
              <w:rPr>
                <w:sz w:val="20"/>
                <w:szCs w:val="20"/>
                <w:color w:val="auto"/>
              </w:rPr>
            </w:pPr>
            <w:r>
              <w:rPr>
                <w:rFonts w:ascii="Arial" w:cs="Arial" w:eastAsia="Arial" w:hAnsi="Arial"/>
                <w:sz w:val="14"/>
                <w:szCs w:val="14"/>
                <w:color w:val="auto"/>
              </w:rPr>
              <w:t>EWA001</w:t>
            </w:r>
          </w:p>
        </w:tc>
        <w:tc>
          <w:tcPr>
            <w:tcW w:w="400" w:type="dxa"/>
            <w:vAlign w:val="bottom"/>
          </w:tcPr>
          <w:p>
            <w:pPr>
              <w:spacing w:after="0"/>
              <w:rPr>
                <w:sz w:val="16"/>
                <w:szCs w:val="16"/>
                <w:color w:val="auto"/>
              </w:rPr>
            </w:pPr>
          </w:p>
        </w:tc>
        <w:tc>
          <w:tcPr>
            <w:tcW w:w="580" w:type="dxa"/>
            <w:vAlign w:val="bottom"/>
          </w:tcPr>
          <w:p>
            <w:pPr>
              <w:ind w:left="30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1,500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6,500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1,500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6,500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8,000</w:t>
            </w:r>
          </w:p>
        </w:tc>
        <w:tc>
          <w:tcPr>
            <w:tcW w:w="18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2,493</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2003</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Milwaukee,</w:t>
            </w: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Wisconsin</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EWI001</w:t>
            </w:r>
          </w:p>
        </w:tc>
        <w:tc>
          <w:tcPr>
            <w:tcW w:w="400" w:type="dxa"/>
            <w:vAlign w:val="bottom"/>
            <w:shd w:val="clear" w:color="auto" w:fill="CCEEFF"/>
          </w:tcPr>
          <w:p>
            <w:pPr>
              <w:spacing w:after="0"/>
              <w:rPr>
                <w:sz w:val="16"/>
                <w:szCs w:val="16"/>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1,196</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980" w:type="dxa"/>
            <w:vAlign w:val="bottom"/>
          </w:tcPr>
          <w:p>
            <w:pPr>
              <w:ind w:left="20"/>
              <w:spacing w:after="0" w:line="157" w:lineRule="exact"/>
              <w:rPr>
                <w:sz w:val="20"/>
                <w:szCs w:val="20"/>
                <w:color w:val="auto"/>
              </w:rPr>
            </w:pPr>
            <w:r>
              <w:rPr>
                <w:rFonts w:ascii="Arial" w:cs="Arial" w:eastAsia="Arial" w:hAnsi="Arial"/>
                <w:sz w:val="14"/>
                <w:szCs w:val="14"/>
                <w:color w:val="auto"/>
              </w:rPr>
              <w:t>S. Milwaukee,</w:t>
            </w: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80" w:type="dxa"/>
            <w:vAlign w:val="bottom"/>
          </w:tcPr>
          <w:p>
            <w:pPr>
              <w:ind w:left="20"/>
              <w:spacing w:after="0"/>
              <w:rPr>
                <w:sz w:val="20"/>
                <w:szCs w:val="20"/>
                <w:color w:val="auto"/>
              </w:rPr>
            </w:pPr>
            <w:r>
              <w:rPr>
                <w:rFonts w:ascii="Arial" w:cs="Arial" w:eastAsia="Arial" w:hAnsi="Arial"/>
                <w:sz w:val="14"/>
                <w:szCs w:val="14"/>
                <w:color w:val="auto"/>
              </w:rPr>
              <w:t>Wisconsin</w:t>
            </w:r>
          </w:p>
        </w:tc>
        <w:tc>
          <w:tcPr>
            <w:tcW w:w="640" w:type="dxa"/>
            <w:vAlign w:val="bottom"/>
          </w:tcPr>
          <w:p>
            <w:pPr>
              <w:ind w:left="60"/>
              <w:spacing w:after="0"/>
              <w:rPr>
                <w:sz w:val="20"/>
                <w:szCs w:val="20"/>
                <w:color w:val="auto"/>
              </w:rPr>
            </w:pPr>
            <w:r>
              <w:rPr>
                <w:rFonts w:ascii="Arial" w:cs="Arial" w:eastAsia="Arial" w:hAnsi="Arial"/>
                <w:sz w:val="14"/>
                <w:szCs w:val="14"/>
                <w:color w:val="auto"/>
              </w:rPr>
              <w:t>EWI002</w:t>
            </w:r>
          </w:p>
        </w:tc>
        <w:tc>
          <w:tcPr>
            <w:tcW w:w="400" w:type="dxa"/>
            <w:vAlign w:val="bottom"/>
          </w:tcPr>
          <w:p>
            <w:pPr>
              <w:spacing w:after="0"/>
              <w:rPr>
                <w:sz w:val="16"/>
                <w:szCs w:val="16"/>
                <w:color w:val="auto"/>
              </w:rPr>
            </w:pPr>
          </w:p>
        </w:tc>
        <w:tc>
          <w:tcPr>
            <w:tcW w:w="580" w:type="dxa"/>
            <w:vAlign w:val="bottom"/>
          </w:tcPr>
          <w:p>
            <w:pPr>
              <w:ind w:left="3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413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535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413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535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948</w:t>
            </w:r>
          </w:p>
        </w:tc>
        <w:tc>
          <w:tcPr>
            <w:tcW w:w="18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171</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Wauwatosa,</w:t>
            </w: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Wisconsin</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EWI004</w:t>
            </w:r>
          </w:p>
        </w:tc>
        <w:tc>
          <w:tcPr>
            <w:tcW w:w="400" w:type="dxa"/>
            <w:vAlign w:val="bottom"/>
            <w:shd w:val="clear" w:color="auto" w:fill="CCEEFF"/>
          </w:tcPr>
          <w:p>
            <w:pPr>
              <w:spacing w:after="0"/>
              <w:rPr>
                <w:sz w:val="16"/>
                <w:szCs w:val="16"/>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1,813</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980" w:type="dxa"/>
            <w:vAlign w:val="bottom"/>
          </w:tcPr>
          <w:p>
            <w:pPr>
              <w:ind w:left="20"/>
              <w:spacing w:after="0" w:line="157" w:lineRule="exact"/>
              <w:rPr>
                <w:sz w:val="20"/>
                <w:szCs w:val="20"/>
                <w:color w:val="auto"/>
              </w:rPr>
            </w:pPr>
            <w:r>
              <w:rPr>
                <w:rFonts w:ascii="Arial" w:cs="Arial" w:eastAsia="Arial" w:hAnsi="Arial"/>
                <w:sz w:val="14"/>
                <w:szCs w:val="14"/>
                <w:color w:val="auto"/>
              </w:rPr>
              <w:t>West Allis,</w:t>
            </w: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Wisconsin</w:t>
            </w:r>
          </w:p>
        </w:tc>
        <w:tc>
          <w:tcPr>
            <w:tcW w:w="640" w:type="dxa"/>
            <w:vAlign w:val="bottom"/>
            <w:tcBorders>
              <w:bottom w:val="single" w:sz="8" w:color="CCEEFF"/>
            </w:tcBorders>
          </w:tcPr>
          <w:p>
            <w:pPr>
              <w:ind w:left="60"/>
              <w:spacing w:after="0"/>
              <w:rPr>
                <w:sz w:val="20"/>
                <w:szCs w:val="20"/>
                <w:color w:val="auto"/>
              </w:rPr>
            </w:pPr>
            <w:r>
              <w:rPr>
                <w:rFonts w:ascii="Arial" w:cs="Arial" w:eastAsia="Arial" w:hAnsi="Arial"/>
                <w:sz w:val="14"/>
                <w:szCs w:val="14"/>
                <w:color w:val="auto"/>
              </w:rPr>
              <w:t>EWI005</w:t>
            </w:r>
          </w:p>
        </w:tc>
        <w:tc>
          <w:tcPr>
            <w:tcW w:w="4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1,455</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1,124</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1,455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2,579</w:t>
            </w:r>
          </w:p>
        </w:tc>
        <w:tc>
          <w:tcPr>
            <w:tcW w:w="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465</w:t>
            </w:r>
          </w:p>
        </w:tc>
        <w:tc>
          <w:tcPr>
            <w:tcW w:w="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56"/>
        </w:trPr>
        <w:tc>
          <w:tcPr>
            <w:tcW w:w="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Subtotal</w:t>
            </w:r>
          </w:p>
        </w:tc>
        <w:tc>
          <w:tcPr>
            <w:tcW w:w="640" w:type="dxa"/>
            <w:vAlign w:val="bottom"/>
            <w:shd w:val="clear" w:color="auto" w:fill="CCEEFF"/>
          </w:tcPr>
          <w:p>
            <w:pPr>
              <w:spacing w:after="0"/>
              <w:rPr>
                <w:sz w:val="22"/>
                <w:szCs w:val="22"/>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6"/>
              </w:rPr>
              <w:t>$ 121,208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237,284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92,223</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9"/>
              </w:rPr>
              <w:t>$ 121,191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329,524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4"/>
              </w:rPr>
              <w:t>450,715</w:t>
            </w: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   101,006</w:t>
            </w: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980" w:type="dxa"/>
            <w:vAlign w:val="bottom"/>
          </w:tcPr>
          <w:p>
            <w:pPr>
              <w:ind w:left="20"/>
              <w:spacing w:after="0"/>
              <w:rPr>
                <w:sz w:val="20"/>
                <w:szCs w:val="20"/>
                <w:color w:val="auto"/>
              </w:rPr>
            </w:pPr>
            <w:r>
              <w:rPr>
                <w:rFonts w:ascii="Arial" w:cs="Arial" w:eastAsia="Arial" w:hAnsi="Arial"/>
                <w:sz w:val="14"/>
                <w:szCs w:val="14"/>
                <w:b w:val="1"/>
                <w:bCs w:val="1"/>
                <w:color w:val="auto"/>
              </w:rPr>
              <w:t>RETAIL:</w:t>
            </w:r>
          </w:p>
        </w:tc>
        <w:tc>
          <w:tcPr>
            <w:tcW w:w="64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Scottsdale,</w:t>
            </w: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Arizona</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RAZ003</w:t>
            </w:r>
          </w:p>
        </w:tc>
        <w:tc>
          <w:tcPr>
            <w:tcW w:w="400" w:type="dxa"/>
            <w:vAlign w:val="bottom"/>
            <w:shd w:val="clear" w:color="auto" w:fill="CCEEFF"/>
          </w:tcPr>
          <w:p>
            <w:pPr>
              <w:spacing w:after="0"/>
              <w:rPr>
                <w:sz w:val="16"/>
                <w:szCs w:val="16"/>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2,625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4,875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2,569</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2,625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7,444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10,069</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980" w:type="dxa"/>
            <w:vAlign w:val="bottom"/>
          </w:tcPr>
          <w:p>
            <w:pPr>
              <w:ind w:left="20"/>
              <w:spacing w:after="0" w:line="157" w:lineRule="exact"/>
              <w:rPr>
                <w:sz w:val="20"/>
                <w:szCs w:val="20"/>
                <w:color w:val="auto"/>
              </w:rPr>
            </w:pPr>
            <w:r>
              <w:rPr>
                <w:rFonts w:ascii="Arial" w:cs="Arial" w:eastAsia="Arial" w:hAnsi="Arial"/>
                <w:sz w:val="14"/>
                <w:szCs w:val="14"/>
                <w:color w:val="auto"/>
              </w:rPr>
              <w:t>Scottsdale,</w:t>
            </w: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80" w:type="dxa"/>
            <w:vAlign w:val="bottom"/>
          </w:tcPr>
          <w:p>
            <w:pPr>
              <w:ind w:left="20"/>
              <w:spacing w:after="0"/>
              <w:rPr>
                <w:sz w:val="20"/>
                <w:szCs w:val="20"/>
                <w:color w:val="auto"/>
              </w:rPr>
            </w:pPr>
            <w:r>
              <w:rPr>
                <w:rFonts w:ascii="Arial" w:cs="Arial" w:eastAsia="Arial" w:hAnsi="Arial"/>
                <w:sz w:val="14"/>
                <w:szCs w:val="14"/>
                <w:color w:val="auto"/>
              </w:rPr>
              <w:t>Arizona</w:t>
            </w:r>
          </w:p>
        </w:tc>
        <w:tc>
          <w:tcPr>
            <w:tcW w:w="640" w:type="dxa"/>
            <w:vAlign w:val="bottom"/>
          </w:tcPr>
          <w:p>
            <w:pPr>
              <w:ind w:left="60"/>
              <w:spacing w:after="0"/>
              <w:rPr>
                <w:sz w:val="20"/>
                <w:szCs w:val="20"/>
                <w:color w:val="auto"/>
              </w:rPr>
            </w:pPr>
            <w:r>
              <w:rPr>
                <w:rFonts w:ascii="Arial" w:cs="Arial" w:eastAsia="Arial" w:hAnsi="Arial"/>
                <w:sz w:val="14"/>
                <w:szCs w:val="14"/>
                <w:color w:val="auto"/>
              </w:rPr>
              <w:t>RAZ004</w:t>
            </w:r>
          </w:p>
        </w:tc>
        <w:tc>
          <w:tcPr>
            <w:tcW w:w="400" w:type="dxa"/>
            <w:vAlign w:val="bottom"/>
          </w:tcPr>
          <w:p>
            <w:pPr>
              <w:spacing w:after="0"/>
              <w:rPr>
                <w:sz w:val="16"/>
                <w:szCs w:val="16"/>
                <w:color w:val="auto"/>
              </w:rPr>
            </w:pPr>
          </w:p>
        </w:tc>
        <w:tc>
          <w:tcPr>
            <w:tcW w:w="580" w:type="dxa"/>
            <w:vAlign w:val="bottom"/>
          </w:tcPr>
          <w:p>
            <w:pPr>
              <w:ind w:left="3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2,184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4,056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(1,588)</w:t>
            </w:r>
          </w:p>
        </w:tc>
        <w:tc>
          <w:tcPr>
            <w:tcW w:w="12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2,184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2,468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4,652</w:t>
            </w:r>
          </w:p>
        </w:tc>
        <w:tc>
          <w:tcPr>
            <w:tcW w:w="18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313</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Scottsdale,</w:t>
            </w: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Arizona</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RAZ005</w:t>
            </w:r>
          </w:p>
        </w:tc>
        <w:tc>
          <w:tcPr>
            <w:tcW w:w="400" w:type="dxa"/>
            <w:vAlign w:val="bottom"/>
            <w:shd w:val="clear" w:color="auto" w:fill="CCEEFF"/>
          </w:tcPr>
          <w:p>
            <w:pPr>
              <w:spacing w:after="0"/>
              <w:rPr>
                <w:sz w:val="16"/>
                <w:szCs w:val="16"/>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2,657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2,666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2,657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2,416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5,073</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2011</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980" w:type="dxa"/>
            <w:vAlign w:val="bottom"/>
          </w:tcPr>
          <w:p>
            <w:pPr>
              <w:ind w:left="20"/>
              <w:spacing w:after="0" w:line="157" w:lineRule="exact"/>
              <w:rPr>
                <w:sz w:val="20"/>
                <w:szCs w:val="20"/>
                <w:color w:val="auto"/>
              </w:rPr>
            </w:pPr>
            <w:r>
              <w:rPr>
                <w:rFonts w:ascii="Arial" w:cs="Arial" w:eastAsia="Arial" w:hAnsi="Arial"/>
                <w:sz w:val="14"/>
                <w:szCs w:val="14"/>
                <w:color w:val="auto"/>
              </w:rPr>
              <w:t>Colorado</w:t>
            </w: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20"/>
              <w:spacing w:after="0" w:line="149" w:lineRule="exact"/>
              <w:rPr>
                <w:sz w:val="20"/>
                <w:szCs w:val="20"/>
                <w:color w:val="auto"/>
              </w:rPr>
            </w:pPr>
            <w:r>
              <w:rPr>
                <w:rFonts w:ascii="Arial" w:cs="Arial" w:eastAsia="Arial" w:hAnsi="Arial"/>
                <w:sz w:val="14"/>
                <w:szCs w:val="14"/>
                <w:color w:val="auto"/>
              </w:rPr>
              <w:t>Springs,</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980" w:type="dxa"/>
            <w:vAlign w:val="bottom"/>
          </w:tcPr>
          <w:p>
            <w:pPr>
              <w:ind w:left="20"/>
              <w:spacing w:after="0"/>
              <w:rPr>
                <w:sz w:val="20"/>
                <w:szCs w:val="20"/>
                <w:color w:val="auto"/>
              </w:rPr>
            </w:pPr>
            <w:r>
              <w:rPr>
                <w:rFonts w:ascii="Arial" w:cs="Arial" w:eastAsia="Arial" w:hAnsi="Arial"/>
                <w:sz w:val="14"/>
                <w:szCs w:val="14"/>
                <w:color w:val="auto"/>
              </w:rPr>
              <w:t>Colorado</w:t>
            </w:r>
          </w:p>
        </w:tc>
        <w:tc>
          <w:tcPr>
            <w:tcW w:w="640" w:type="dxa"/>
            <w:vAlign w:val="bottom"/>
          </w:tcPr>
          <w:p>
            <w:pPr>
              <w:ind w:left="60"/>
              <w:spacing w:after="0"/>
              <w:rPr>
                <w:sz w:val="20"/>
                <w:szCs w:val="20"/>
                <w:color w:val="auto"/>
              </w:rPr>
            </w:pPr>
            <w:r>
              <w:rPr>
                <w:rFonts w:ascii="Arial" w:cs="Arial" w:eastAsia="Arial" w:hAnsi="Arial"/>
                <w:sz w:val="14"/>
                <w:szCs w:val="14"/>
                <w:color w:val="auto"/>
              </w:rPr>
              <w:t>RCO001</w:t>
            </w:r>
          </w:p>
        </w:tc>
        <w:tc>
          <w:tcPr>
            <w:tcW w:w="400" w:type="dxa"/>
            <w:vAlign w:val="bottom"/>
          </w:tcPr>
          <w:p>
            <w:pPr>
              <w:spacing w:after="0"/>
              <w:rPr>
                <w:sz w:val="15"/>
                <w:szCs w:val="15"/>
                <w:color w:val="auto"/>
              </w:rPr>
            </w:pPr>
          </w:p>
        </w:tc>
        <w:tc>
          <w:tcPr>
            <w:tcW w:w="580" w:type="dxa"/>
            <w:vAlign w:val="bottom"/>
          </w:tcPr>
          <w:p>
            <w:pPr>
              <w:ind w:left="30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2,631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5,195</w:t>
            </w:r>
          </w:p>
        </w:tc>
        <w:tc>
          <w:tcPr>
            <w:tcW w:w="12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2,607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5,498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8,105</w:t>
            </w:r>
          </w:p>
        </w:tc>
        <w:tc>
          <w:tcPr>
            <w:tcW w:w="18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1,315</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80"/>
          </w:cols>
          <w:pgMar w:left="260" w:top="742" w:right="25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iStar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III—Real Estate and Accumulated Depreciation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2016</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60" w:type="dxa"/>
            <w:vAlign w:val="bottom"/>
            <w:gridSpan w:val="6"/>
          </w:tcPr>
          <w:p>
            <w:pPr>
              <w:jc w:val="center"/>
              <w:spacing w:after="0"/>
              <w:rPr>
                <w:sz w:val="20"/>
                <w:szCs w:val="20"/>
                <w:color w:val="auto"/>
              </w:rPr>
            </w:pPr>
            <w:r>
              <w:rPr>
                <w:rFonts w:ascii="Arial" w:cs="Arial" w:eastAsia="Arial" w:hAnsi="Arial"/>
                <w:sz w:val="14"/>
                <w:szCs w:val="14"/>
                <w:b w:val="1"/>
                <w:bCs w:val="1"/>
                <w:color w:val="auto"/>
                <w:w w:val="94"/>
              </w:rPr>
              <w:t>Gross Amount Carried</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w w:val="95"/>
              </w:rPr>
              <w:t>Initial Cost to Company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at Close of Period</w:t>
            </w: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Building and</w:t>
            </w:r>
          </w:p>
        </w:tc>
        <w:tc>
          <w:tcPr>
            <w:tcW w:w="100" w:type="dxa"/>
            <w:vAlign w:val="bottom"/>
          </w:tcPr>
          <w:p>
            <w:pPr>
              <w:spacing w:after="0"/>
              <w:rPr>
                <w:sz w:val="11"/>
                <w:szCs w:val="11"/>
                <w:color w:val="auto"/>
              </w:rPr>
            </w:pPr>
          </w:p>
        </w:tc>
        <w:tc>
          <w:tcPr>
            <w:tcW w:w="92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7"/>
              </w:rPr>
              <w:t>Capitalized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Building and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1"/>
                <w:szCs w:val="11"/>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Depreciable</w:t>
            </w:r>
          </w:p>
        </w:tc>
        <w:tc>
          <w:tcPr>
            <w:tcW w:w="0" w:type="dxa"/>
            <w:vAlign w:val="bottom"/>
          </w:tcPr>
          <w:p>
            <w:pPr>
              <w:spacing w:after="0"/>
              <w:rPr>
                <w:sz w:val="1"/>
                <w:szCs w:val="1"/>
                <w:color w:val="auto"/>
              </w:rPr>
            </w:pPr>
          </w:p>
        </w:tc>
      </w:tr>
      <w:tr>
        <w:trPr>
          <w:trHeight w:val="149"/>
        </w:trPr>
        <w:tc>
          <w:tcPr>
            <w:tcW w:w="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Location</w:t>
            </w:r>
          </w:p>
        </w:tc>
        <w:tc>
          <w:tcPr>
            <w:tcW w:w="640" w:type="dxa"/>
            <w:vAlign w:val="bottom"/>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Encumbrances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Land</w:t>
            </w:r>
          </w:p>
        </w:tc>
        <w:tc>
          <w:tcPr>
            <w:tcW w:w="1040" w:type="dxa"/>
            <w:vAlign w:val="bottom"/>
            <w:gridSpan w:val="3"/>
            <w:vMerge w:val="continue"/>
          </w:tcPr>
          <w:p>
            <w:pPr>
              <w:spacing w:after="0"/>
              <w:rPr>
                <w:sz w:val="12"/>
                <w:szCs w:val="12"/>
                <w:color w:val="auto"/>
              </w:rPr>
            </w:pPr>
          </w:p>
        </w:tc>
        <w:tc>
          <w:tcPr>
            <w:tcW w:w="10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Subsequent to</w:t>
            </w:r>
          </w:p>
        </w:tc>
        <w:tc>
          <w:tcPr>
            <w:tcW w:w="160" w:type="dxa"/>
            <w:vAlign w:val="bottom"/>
          </w:tcPr>
          <w:p>
            <w:pPr>
              <w:spacing w:after="0"/>
              <w:rPr>
                <w:sz w:val="12"/>
                <w:szCs w:val="12"/>
                <w:color w:val="auto"/>
              </w:rPr>
            </w:pPr>
          </w:p>
        </w:tc>
        <w:tc>
          <w:tcPr>
            <w:tcW w:w="5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Land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8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192"/>
        </w:trPr>
        <w:tc>
          <w:tcPr>
            <w:tcW w:w="86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Improvements</w:t>
            </w: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Acquisition</w:t>
            </w:r>
            <w:r>
              <w:rPr>
                <w:rFonts w:ascii="Arial" w:cs="Arial" w:eastAsia="Arial" w:hAnsi="Arial"/>
                <w:sz w:val="8"/>
                <w:szCs w:val="8"/>
                <w:b w:val="1"/>
                <w:bCs w:val="1"/>
                <w:color w:val="auto"/>
                <w:w w:val="92"/>
              </w:rPr>
              <w:t>(2)</w:t>
            </w:r>
          </w:p>
        </w:tc>
        <w:tc>
          <w:tcPr>
            <w:tcW w:w="16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Improvements</w:t>
            </w: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Depreciation</w:t>
            </w:r>
          </w:p>
        </w:tc>
        <w:tc>
          <w:tcPr>
            <w:tcW w:w="200" w:type="dxa"/>
            <w:vAlign w:val="bottom"/>
          </w:tcPr>
          <w:p>
            <w:pPr>
              <w:spacing w:after="0"/>
              <w:rPr>
                <w:sz w:val="16"/>
                <w:szCs w:val="16"/>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Acquired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156"/>
        </w:trPr>
        <w:tc>
          <w:tcPr>
            <w:tcW w:w="860" w:type="dxa"/>
            <w:vAlign w:val="bottom"/>
            <w:tcBorders>
              <w:top w:val="single" w:sz="8" w:color="auto"/>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St.</w:t>
            </w:r>
          </w:p>
        </w:tc>
        <w:tc>
          <w:tcPr>
            <w:tcW w:w="6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Augustine,</w:t>
            </w:r>
          </w:p>
        </w:tc>
        <w:tc>
          <w:tcPr>
            <w:tcW w:w="6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Florida</w:t>
            </w:r>
          </w:p>
        </w:tc>
        <w:tc>
          <w:tcPr>
            <w:tcW w:w="12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RFL003</w:t>
            </w:r>
          </w:p>
        </w:tc>
        <w:tc>
          <w:tcPr>
            <w:tcW w:w="36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3,950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10,285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10,327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14,235</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2,649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2005</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860" w:type="dxa"/>
            <w:vAlign w:val="bottom"/>
          </w:tcPr>
          <w:p>
            <w:pPr>
              <w:ind w:left="20"/>
              <w:spacing w:after="0" w:line="157" w:lineRule="exact"/>
              <w:rPr>
                <w:sz w:val="20"/>
                <w:szCs w:val="20"/>
                <w:color w:val="auto"/>
              </w:rPr>
            </w:pPr>
            <w:r>
              <w:rPr>
                <w:rFonts w:ascii="Arial" w:cs="Arial" w:eastAsia="Arial" w:hAnsi="Arial"/>
                <w:sz w:val="14"/>
                <w:szCs w:val="14"/>
                <w:color w:val="auto"/>
              </w:rPr>
              <w:t>Honolulu,</w:t>
            </w: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60" w:type="dxa"/>
            <w:vAlign w:val="bottom"/>
          </w:tcPr>
          <w:p>
            <w:pPr>
              <w:ind w:left="20"/>
              <w:spacing w:after="0"/>
              <w:rPr>
                <w:sz w:val="20"/>
                <w:szCs w:val="20"/>
                <w:color w:val="auto"/>
              </w:rPr>
            </w:pPr>
            <w:r>
              <w:rPr>
                <w:rFonts w:ascii="Arial" w:cs="Arial" w:eastAsia="Arial" w:hAnsi="Arial"/>
                <w:sz w:val="14"/>
                <w:szCs w:val="14"/>
                <w:color w:val="auto"/>
              </w:rPr>
              <w:t>Hawaii</w:t>
            </w:r>
          </w:p>
        </w:tc>
        <w:tc>
          <w:tcPr>
            <w:tcW w:w="1260" w:type="dxa"/>
            <w:vAlign w:val="bottom"/>
            <w:gridSpan w:val="2"/>
          </w:tcPr>
          <w:p>
            <w:pPr>
              <w:ind w:left="60"/>
              <w:spacing w:after="0"/>
              <w:rPr>
                <w:sz w:val="20"/>
                <w:szCs w:val="20"/>
                <w:color w:val="auto"/>
              </w:rPr>
            </w:pPr>
            <w:r>
              <w:rPr>
                <w:rFonts w:ascii="Arial" w:cs="Arial" w:eastAsia="Arial" w:hAnsi="Arial"/>
                <w:sz w:val="14"/>
                <w:szCs w:val="14"/>
                <w:color w:val="auto"/>
              </w:rPr>
              <w:t>RHI001</w:t>
            </w:r>
          </w:p>
        </w:tc>
        <w:tc>
          <w:tcPr>
            <w:tcW w:w="360" w:type="dxa"/>
            <w:vAlign w:val="bottom"/>
          </w:tcPr>
          <w:p>
            <w:pPr>
              <w:ind w:left="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3,393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21,155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(9,143)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3,393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12,012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15,405</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2,634</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Chicago,</w:t>
            </w:r>
          </w:p>
        </w:tc>
        <w:tc>
          <w:tcPr>
            <w:tcW w:w="6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Illinois</w:t>
            </w:r>
          </w:p>
        </w:tc>
        <w:tc>
          <w:tcPr>
            <w:tcW w:w="12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RIL002</w:t>
            </w:r>
          </w:p>
        </w:tc>
        <w:tc>
          <w:tcPr>
            <w:tcW w:w="36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14,934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29,675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19,353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14,934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49,028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63,962</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5,099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2012</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860" w:type="dxa"/>
            <w:vAlign w:val="bottom"/>
          </w:tcPr>
          <w:p>
            <w:pPr>
              <w:ind w:left="20"/>
              <w:spacing w:after="0" w:line="157" w:lineRule="exact"/>
              <w:rPr>
                <w:sz w:val="20"/>
                <w:szCs w:val="20"/>
                <w:color w:val="auto"/>
              </w:rPr>
            </w:pPr>
            <w:r>
              <w:rPr>
                <w:rFonts w:ascii="Arial" w:cs="Arial" w:eastAsia="Arial" w:hAnsi="Arial"/>
                <w:sz w:val="14"/>
                <w:szCs w:val="14"/>
                <w:color w:val="auto"/>
              </w:rPr>
              <w:t>Chicago,</w:t>
            </w: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60" w:type="dxa"/>
            <w:vAlign w:val="bottom"/>
          </w:tcPr>
          <w:p>
            <w:pPr>
              <w:ind w:left="20"/>
              <w:spacing w:after="0"/>
              <w:rPr>
                <w:sz w:val="20"/>
                <w:szCs w:val="20"/>
                <w:color w:val="auto"/>
              </w:rPr>
            </w:pPr>
            <w:r>
              <w:rPr>
                <w:rFonts w:ascii="Arial" w:cs="Arial" w:eastAsia="Arial" w:hAnsi="Arial"/>
                <w:sz w:val="14"/>
                <w:szCs w:val="14"/>
                <w:color w:val="auto"/>
              </w:rPr>
              <w:t>Illinois</w:t>
            </w:r>
          </w:p>
        </w:tc>
        <w:tc>
          <w:tcPr>
            <w:tcW w:w="1260" w:type="dxa"/>
            <w:vAlign w:val="bottom"/>
            <w:gridSpan w:val="2"/>
          </w:tcPr>
          <w:p>
            <w:pPr>
              <w:ind w:left="60"/>
              <w:spacing w:after="0"/>
              <w:rPr>
                <w:sz w:val="20"/>
                <w:szCs w:val="20"/>
                <w:color w:val="auto"/>
              </w:rPr>
            </w:pPr>
            <w:r>
              <w:rPr>
                <w:rFonts w:ascii="Arial" w:cs="Arial" w:eastAsia="Arial" w:hAnsi="Arial"/>
                <w:sz w:val="14"/>
                <w:szCs w:val="14"/>
                <w:color w:val="auto"/>
              </w:rPr>
              <w:t>RIL001</w:t>
            </w:r>
          </w:p>
        </w:tc>
        <w:tc>
          <w:tcPr>
            <w:tcW w:w="360" w:type="dxa"/>
            <w:vAlign w:val="bottom"/>
          </w:tcPr>
          <w:p>
            <w:pPr>
              <w:ind w:left="8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336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1,572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1,908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1,908</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875</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8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8"/>
              </w:rPr>
              <w:t>Albuquerque,</w:t>
            </w:r>
          </w:p>
        </w:tc>
        <w:tc>
          <w:tcPr>
            <w:tcW w:w="6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Mexico</w:t>
            </w:r>
          </w:p>
        </w:tc>
        <w:tc>
          <w:tcPr>
            <w:tcW w:w="12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RNM001</w:t>
            </w:r>
          </w:p>
        </w:tc>
        <w:tc>
          <w:tcPr>
            <w:tcW w:w="36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1,733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8,728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8,756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10,461</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2005</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860" w:type="dxa"/>
            <w:vAlign w:val="bottom"/>
          </w:tcPr>
          <w:p>
            <w:pPr>
              <w:ind w:left="20"/>
              <w:spacing w:after="0" w:line="157" w:lineRule="exact"/>
              <w:rPr>
                <w:sz w:val="20"/>
                <w:szCs w:val="20"/>
                <w:color w:val="auto"/>
              </w:rPr>
            </w:pPr>
            <w:r>
              <w:rPr>
                <w:rFonts w:ascii="Arial" w:cs="Arial" w:eastAsia="Arial" w:hAnsi="Arial"/>
                <w:sz w:val="14"/>
                <w:szCs w:val="14"/>
                <w:color w:val="auto"/>
              </w:rPr>
              <w:t>Hamburg,</w:t>
            </w: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60" w:type="dxa"/>
            <w:vAlign w:val="bottom"/>
          </w:tcPr>
          <w:p>
            <w:pPr>
              <w:ind w:left="20"/>
              <w:spacing w:after="0"/>
              <w:rPr>
                <w:sz w:val="20"/>
                <w:szCs w:val="20"/>
                <w:color w:val="auto"/>
              </w:rPr>
            </w:pPr>
            <w:r>
              <w:rPr>
                <w:rFonts w:ascii="Arial" w:cs="Arial" w:eastAsia="Arial" w:hAnsi="Arial"/>
                <w:sz w:val="14"/>
                <w:szCs w:val="14"/>
                <w:color w:val="auto"/>
              </w:rPr>
              <w:t>New York</w:t>
            </w:r>
          </w:p>
        </w:tc>
        <w:tc>
          <w:tcPr>
            <w:tcW w:w="1260" w:type="dxa"/>
            <w:vAlign w:val="bottom"/>
            <w:gridSpan w:val="2"/>
          </w:tcPr>
          <w:p>
            <w:pPr>
              <w:ind w:left="60"/>
              <w:spacing w:after="0"/>
              <w:rPr>
                <w:sz w:val="20"/>
                <w:szCs w:val="20"/>
                <w:color w:val="auto"/>
              </w:rPr>
            </w:pPr>
            <w:r>
              <w:rPr>
                <w:rFonts w:ascii="Arial" w:cs="Arial" w:eastAsia="Arial" w:hAnsi="Arial"/>
                <w:sz w:val="14"/>
                <w:szCs w:val="14"/>
                <w:color w:val="auto"/>
              </w:rPr>
              <w:t>RNY001</w:t>
            </w:r>
          </w:p>
        </w:tc>
        <w:tc>
          <w:tcPr>
            <w:tcW w:w="360" w:type="dxa"/>
            <w:vAlign w:val="bottom"/>
          </w:tcPr>
          <w:p>
            <w:pPr>
              <w:ind w:left="8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10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731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6,073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699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711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6,792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7,503</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2,099</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Columbia,</w:t>
            </w:r>
          </w:p>
        </w:tc>
        <w:tc>
          <w:tcPr>
            <w:tcW w:w="6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South</w:t>
            </w:r>
          </w:p>
        </w:tc>
        <w:tc>
          <w:tcPr>
            <w:tcW w:w="6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Carolina</w:t>
            </w:r>
          </w:p>
        </w:tc>
        <w:tc>
          <w:tcPr>
            <w:tcW w:w="12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RSC001</w:t>
            </w:r>
          </w:p>
        </w:tc>
        <w:tc>
          <w:tcPr>
            <w:tcW w:w="36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2,126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2,351</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860" w:type="dxa"/>
            <w:vAlign w:val="bottom"/>
          </w:tcPr>
          <w:p>
            <w:pPr>
              <w:ind w:left="20"/>
              <w:spacing w:after="0" w:line="157" w:lineRule="exact"/>
              <w:rPr>
                <w:sz w:val="20"/>
                <w:szCs w:val="20"/>
                <w:color w:val="auto"/>
              </w:rPr>
            </w:pPr>
            <w:r>
              <w:rPr>
                <w:rFonts w:ascii="Arial" w:cs="Arial" w:eastAsia="Arial" w:hAnsi="Arial"/>
                <w:sz w:val="14"/>
                <w:szCs w:val="14"/>
                <w:color w:val="auto"/>
              </w:rPr>
              <w:t>Anthony,</w:t>
            </w: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60" w:type="dxa"/>
            <w:vAlign w:val="bottom"/>
          </w:tcPr>
          <w:p>
            <w:pPr>
              <w:ind w:left="20"/>
              <w:spacing w:after="0"/>
              <w:rPr>
                <w:sz w:val="20"/>
                <w:szCs w:val="20"/>
                <w:color w:val="auto"/>
              </w:rPr>
            </w:pPr>
            <w:r>
              <w:rPr>
                <w:rFonts w:ascii="Arial" w:cs="Arial" w:eastAsia="Arial" w:hAnsi="Arial"/>
                <w:sz w:val="14"/>
                <w:szCs w:val="14"/>
                <w:color w:val="auto"/>
              </w:rPr>
              <w:t>Texas</w:t>
            </w:r>
          </w:p>
        </w:tc>
        <w:tc>
          <w:tcPr>
            <w:tcW w:w="1260" w:type="dxa"/>
            <w:vAlign w:val="bottom"/>
            <w:gridSpan w:val="2"/>
          </w:tcPr>
          <w:p>
            <w:pPr>
              <w:ind w:left="60"/>
              <w:spacing w:after="0"/>
              <w:rPr>
                <w:sz w:val="20"/>
                <w:szCs w:val="20"/>
                <w:color w:val="auto"/>
              </w:rPr>
            </w:pPr>
            <w:r>
              <w:rPr>
                <w:rFonts w:ascii="Arial" w:cs="Arial" w:eastAsia="Arial" w:hAnsi="Arial"/>
                <w:sz w:val="14"/>
                <w:szCs w:val="14"/>
                <w:color w:val="auto"/>
              </w:rPr>
              <w:t>RTX001</w:t>
            </w:r>
          </w:p>
        </w:tc>
        <w:tc>
          <w:tcPr>
            <w:tcW w:w="360" w:type="dxa"/>
            <w:vAlign w:val="bottom"/>
          </w:tcPr>
          <w:p>
            <w:pPr>
              <w:ind w:left="8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3,538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4,215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3,514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4,052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7,566</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1,101</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76"/>
        </w:trPr>
        <w:tc>
          <w:tcPr>
            <w:tcW w:w="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Draper, Utah</w:t>
            </w:r>
          </w:p>
        </w:tc>
        <w:tc>
          <w:tcPr>
            <w:tcW w:w="12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RUT001</w:t>
            </w:r>
          </w:p>
        </w:tc>
        <w:tc>
          <w:tcPr>
            <w:tcW w:w="36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3,502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5,975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3,502</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5,975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9,477</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860" w:type="dxa"/>
            <w:vAlign w:val="bottom"/>
          </w:tcPr>
          <w:p>
            <w:pPr>
              <w:ind w:left="20"/>
              <w:spacing w:after="0" w:line="157" w:lineRule="exact"/>
              <w:rPr>
                <w:sz w:val="20"/>
                <w:szCs w:val="20"/>
                <w:color w:val="auto"/>
              </w:rPr>
            </w:pPr>
            <w:r>
              <w:rPr>
                <w:rFonts w:ascii="Arial" w:cs="Arial" w:eastAsia="Arial" w:hAnsi="Arial"/>
                <w:sz w:val="14"/>
                <w:szCs w:val="14"/>
                <w:color w:val="auto"/>
              </w:rPr>
              <w:t>Ashburn,</w:t>
            </w: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Virginia</w:t>
            </w:r>
          </w:p>
        </w:tc>
        <w:tc>
          <w:tcPr>
            <w:tcW w:w="640" w:type="dxa"/>
            <w:vAlign w:val="bottom"/>
            <w:tcBorders>
              <w:bottom w:val="single" w:sz="8" w:color="CCEEFF"/>
            </w:tcBorders>
          </w:tcPr>
          <w:p>
            <w:pPr>
              <w:ind w:left="60"/>
              <w:spacing w:after="0"/>
              <w:rPr>
                <w:sz w:val="20"/>
                <w:szCs w:val="20"/>
                <w:color w:val="auto"/>
              </w:rPr>
            </w:pPr>
            <w:r>
              <w:rPr>
                <w:rFonts w:ascii="Arial" w:cs="Arial" w:eastAsia="Arial" w:hAnsi="Arial"/>
                <w:sz w:val="14"/>
                <w:szCs w:val="14"/>
                <w:color w:val="auto"/>
              </w:rPr>
              <w:t>RVA001</w:t>
            </w:r>
          </w:p>
        </w:tc>
        <w:tc>
          <w:tcPr>
            <w:tcW w:w="6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tcPr>
          <w:p>
            <w:pPr>
              <w:jc w:val="right"/>
              <w:ind w:right="10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16,711</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4,720</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16,711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21,431</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1,684</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2011</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56"/>
        </w:trPr>
        <w:tc>
          <w:tcPr>
            <w:tcW w:w="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Subtotal</w:t>
            </w:r>
          </w:p>
        </w:tc>
        <w:tc>
          <w:tcPr>
            <w:tcW w:w="12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48,724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90,989</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42,485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47,797</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134,401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8"/>
              </w:rPr>
              <w:t>182,198</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23,606</w:t>
            </w: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860" w:type="dxa"/>
            <w:vAlign w:val="bottom"/>
          </w:tcPr>
          <w:p>
            <w:pPr>
              <w:ind w:left="20"/>
              <w:spacing w:after="0"/>
              <w:rPr>
                <w:sz w:val="20"/>
                <w:szCs w:val="20"/>
                <w:color w:val="auto"/>
              </w:rPr>
            </w:pPr>
            <w:r>
              <w:rPr>
                <w:rFonts w:ascii="Arial" w:cs="Arial" w:eastAsia="Arial" w:hAnsi="Arial"/>
                <w:sz w:val="14"/>
                <w:szCs w:val="14"/>
                <w:b w:val="1"/>
                <w:bCs w:val="1"/>
                <w:color w:val="auto"/>
              </w:rPr>
              <w:t>HOTEL:</w:t>
            </w:r>
          </w:p>
        </w:tc>
        <w:tc>
          <w:tcPr>
            <w:tcW w:w="640" w:type="dxa"/>
            <w:vAlign w:val="bottom"/>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San Diego,</w:t>
            </w:r>
          </w:p>
        </w:tc>
        <w:tc>
          <w:tcPr>
            <w:tcW w:w="6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12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HCA002</w:t>
            </w:r>
          </w:p>
        </w:tc>
        <w:tc>
          <w:tcPr>
            <w:tcW w:w="36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4,394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27,030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26,159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30,553</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12,636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1998</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860" w:type="dxa"/>
            <w:vAlign w:val="bottom"/>
          </w:tcPr>
          <w:p>
            <w:pPr>
              <w:ind w:left="20"/>
              <w:spacing w:after="0" w:line="157" w:lineRule="exact"/>
              <w:rPr>
                <w:sz w:val="20"/>
                <w:szCs w:val="20"/>
                <w:color w:val="auto"/>
              </w:rPr>
            </w:pPr>
            <w:r>
              <w:rPr>
                <w:rFonts w:ascii="Arial" w:cs="Arial" w:eastAsia="Arial" w:hAnsi="Arial"/>
                <w:sz w:val="14"/>
                <w:szCs w:val="14"/>
                <w:color w:val="auto"/>
              </w:rPr>
              <w:t>Sonoma,</w:t>
            </w: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60" w:type="dxa"/>
            <w:vAlign w:val="bottom"/>
          </w:tcPr>
          <w:p>
            <w:pPr>
              <w:ind w:left="20"/>
              <w:spacing w:after="0"/>
              <w:rPr>
                <w:sz w:val="20"/>
                <w:szCs w:val="20"/>
                <w:color w:val="auto"/>
              </w:rPr>
            </w:pPr>
            <w:r>
              <w:rPr>
                <w:rFonts w:ascii="Arial" w:cs="Arial" w:eastAsia="Arial" w:hAnsi="Arial"/>
                <w:sz w:val="14"/>
                <w:szCs w:val="14"/>
                <w:color w:val="auto"/>
              </w:rPr>
              <w:t>California</w:t>
            </w:r>
          </w:p>
        </w:tc>
        <w:tc>
          <w:tcPr>
            <w:tcW w:w="1260" w:type="dxa"/>
            <w:vAlign w:val="bottom"/>
            <w:gridSpan w:val="2"/>
          </w:tcPr>
          <w:p>
            <w:pPr>
              <w:ind w:left="60"/>
              <w:spacing w:after="0"/>
              <w:rPr>
                <w:sz w:val="20"/>
                <w:szCs w:val="20"/>
                <w:color w:val="auto"/>
              </w:rPr>
            </w:pPr>
            <w:r>
              <w:rPr>
                <w:rFonts w:ascii="Arial" w:cs="Arial" w:eastAsia="Arial" w:hAnsi="Arial"/>
                <w:sz w:val="14"/>
                <w:szCs w:val="14"/>
                <w:color w:val="auto"/>
              </w:rPr>
              <w:t>HCA003</w:t>
            </w:r>
          </w:p>
        </w:tc>
        <w:tc>
          <w:tcPr>
            <w:tcW w:w="360" w:type="dxa"/>
            <w:vAlign w:val="bottom"/>
          </w:tcPr>
          <w:p>
            <w:pPr>
              <w:ind w:left="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3,308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20,623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(664)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3,308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19,959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23,267</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9,623</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1998</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Durango,</w:t>
            </w:r>
          </w:p>
        </w:tc>
        <w:tc>
          <w:tcPr>
            <w:tcW w:w="6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Colorado</w:t>
            </w:r>
          </w:p>
        </w:tc>
        <w:tc>
          <w:tcPr>
            <w:tcW w:w="12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HCO001</w:t>
            </w:r>
          </w:p>
        </w:tc>
        <w:tc>
          <w:tcPr>
            <w:tcW w:w="36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1,242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7,865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7,612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8,854</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3,662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1998</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860" w:type="dxa"/>
            <w:vAlign w:val="bottom"/>
          </w:tcPr>
          <w:p>
            <w:pPr>
              <w:ind w:left="20"/>
              <w:spacing w:after="0" w:line="157" w:lineRule="exact"/>
              <w:rPr>
                <w:sz w:val="20"/>
                <w:szCs w:val="20"/>
                <w:color w:val="auto"/>
              </w:rPr>
            </w:pPr>
            <w:r>
              <w:rPr>
                <w:rFonts w:ascii="Arial" w:cs="Arial" w:eastAsia="Arial" w:hAnsi="Arial"/>
                <w:sz w:val="14"/>
                <w:szCs w:val="14"/>
                <w:color w:val="auto"/>
              </w:rPr>
              <w:t>Atlanta,</w:t>
            </w: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60" w:type="dxa"/>
            <w:vAlign w:val="bottom"/>
          </w:tcPr>
          <w:p>
            <w:pPr>
              <w:ind w:left="20"/>
              <w:spacing w:after="0"/>
              <w:rPr>
                <w:sz w:val="20"/>
                <w:szCs w:val="20"/>
                <w:color w:val="auto"/>
              </w:rPr>
            </w:pPr>
            <w:r>
              <w:rPr>
                <w:rFonts w:ascii="Arial" w:cs="Arial" w:eastAsia="Arial" w:hAnsi="Arial"/>
                <w:sz w:val="14"/>
                <w:szCs w:val="14"/>
                <w:color w:val="auto"/>
              </w:rPr>
              <w:t>Georgia</w:t>
            </w:r>
          </w:p>
        </w:tc>
        <w:tc>
          <w:tcPr>
            <w:tcW w:w="1260" w:type="dxa"/>
            <w:vAlign w:val="bottom"/>
            <w:gridSpan w:val="2"/>
          </w:tcPr>
          <w:p>
            <w:pPr>
              <w:ind w:left="60"/>
              <w:spacing w:after="0"/>
              <w:rPr>
                <w:sz w:val="20"/>
                <w:szCs w:val="20"/>
                <w:color w:val="auto"/>
              </w:rPr>
            </w:pPr>
            <w:r>
              <w:rPr>
                <w:rFonts w:ascii="Arial" w:cs="Arial" w:eastAsia="Arial" w:hAnsi="Arial"/>
                <w:sz w:val="14"/>
                <w:szCs w:val="14"/>
                <w:color w:val="auto"/>
              </w:rPr>
              <w:t>HGA001</w:t>
            </w:r>
          </w:p>
        </w:tc>
        <w:tc>
          <w:tcPr>
            <w:tcW w:w="360" w:type="dxa"/>
            <w:vAlign w:val="bottom"/>
          </w:tcPr>
          <w:p>
            <w:pPr>
              <w:ind w:left="8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6,378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25,514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3,533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6,378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29,047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35,425</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5,588</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Honolulu,</w:t>
            </w:r>
          </w:p>
        </w:tc>
        <w:tc>
          <w:tcPr>
            <w:tcW w:w="6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Hawaii</w:t>
            </w:r>
          </w:p>
        </w:tc>
        <w:tc>
          <w:tcPr>
            <w:tcW w:w="12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HHI001</w:t>
            </w:r>
          </w:p>
        </w:tc>
        <w:tc>
          <w:tcPr>
            <w:tcW w:w="36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17,996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17,996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(31,160)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4,832</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4,531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860" w:type="dxa"/>
            <w:vAlign w:val="bottom"/>
          </w:tcPr>
          <w:p>
            <w:pPr>
              <w:ind w:left="20"/>
              <w:spacing w:after="0" w:line="157" w:lineRule="exact"/>
              <w:rPr>
                <w:sz w:val="20"/>
                <w:szCs w:val="20"/>
                <w:color w:val="auto"/>
              </w:rPr>
            </w:pPr>
            <w:r>
              <w:rPr>
                <w:rFonts w:ascii="Arial" w:cs="Arial" w:eastAsia="Arial" w:hAnsi="Arial"/>
                <w:sz w:val="14"/>
                <w:szCs w:val="14"/>
                <w:color w:val="auto"/>
              </w:rPr>
              <w:t>Lihue,</w:t>
            </w: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60" w:type="dxa"/>
            <w:vAlign w:val="bottom"/>
          </w:tcPr>
          <w:p>
            <w:pPr>
              <w:ind w:left="20"/>
              <w:spacing w:after="0"/>
              <w:rPr>
                <w:sz w:val="20"/>
                <w:szCs w:val="20"/>
                <w:color w:val="auto"/>
              </w:rPr>
            </w:pPr>
            <w:r>
              <w:rPr>
                <w:rFonts w:ascii="Arial" w:cs="Arial" w:eastAsia="Arial" w:hAnsi="Arial"/>
                <w:sz w:val="14"/>
                <w:szCs w:val="14"/>
                <w:color w:val="auto"/>
              </w:rPr>
              <w:t>Hawaii</w:t>
            </w:r>
          </w:p>
        </w:tc>
        <w:tc>
          <w:tcPr>
            <w:tcW w:w="1260" w:type="dxa"/>
            <w:vAlign w:val="bottom"/>
            <w:gridSpan w:val="2"/>
          </w:tcPr>
          <w:p>
            <w:pPr>
              <w:ind w:left="60"/>
              <w:spacing w:after="0"/>
              <w:rPr>
                <w:sz w:val="20"/>
                <w:szCs w:val="20"/>
                <w:color w:val="auto"/>
              </w:rPr>
            </w:pPr>
            <w:r>
              <w:rPr>
                <w:rFonts w:ascii="Arial" w:cs="Arial" w:eastAsia="Arial" w:hAnsi="Arial"/>
                <w:sz w:val="14"/>
                <w:szCs w:val="14"/>
                <w:color w:val="auto"/>
              </w:rPr>
              <w:t>HHI002</w:t>
            </w:r>
          </w:p>
        </w:tc>
        <w:tc>
          <w:tcPr>
            <w:tcW w:w="360" w:type="dxa"/>
            <w:vAlign w:val="bottom"/>
          </w:tcPr>
          <w:p>
            <w:pPr>
              <w:ind w:left="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3,000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12,000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5,071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3,000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17,071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20,071</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2,298</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Asbury Park,</w:t>
            </w:r>
          </w:p>
        </w:tc>
        <w:tc>
          <w:tcPr>
            <w:tcW w:w="6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Jersey</w:t>
            </w:r>
          </w:p>
        </w:tc>
        <w:tc>
          <w:tcPr>
            <w:tcW w:w="12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HNJ001</w:t>
            </w:r>
          </w:p>
        </w:tc>
        <w:tc>
          <w:tcPr>
            <w:tcW w:w="3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3,815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40,194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2,828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43,022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46,837</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2016</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860" w:type="dxa"/>
            <w:vAlign w:val="bottom"/>
          </w:tcPr>
          <w:p>
            <w:pPr>
              <w:ind w:left="20"/>
              <w:spacing w:after="0" w:line="157" w:lineRule="exact"/>
              <w:rPr>
                <w:sz w:val="20"/>
                <w:szCs w:val="20"/>
                <w:color w:val="auto"/>
              </w:rPr>
            </w:pPr>
            <w:r>
              <w:rPr>
                <w:rFonts w:ascii="Arial" w:cs="Arial" w:eastAsia="Arial" w:hAnsi="Arial"/>
                <w:sz w:val="14"/>
                <w:szCs w:val="14"/>
                <w:color w:val="auto"/>
              </w:rPr>
              <w:t>Salt Lake</w:t>
            </w: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60" w:type="dxa"/>
            <w:vAlign w:val="bottom"/>
          </w:tcPr>
          <w:p>
            <w:pPr>
              <w:ind w:left="20"/>
              <w:spacing w:after="0"/>
              <w:rPr>
                <w:sz w:val="20"/>
                <w:szCs w:val="20"/>
                <w:color w:val="auto"/>
              </w:rPr>
            </w:pPr>
            <w:r>
              <w:rPr>
                <w:rFonts w:ascii="Arial" w:cs="Arial" w:eastAsia="Arial" w:hAnsi="Arial"/>
                <w:sz w:val="14"/>
                <w:szCs w:val="14"/>
                <w:color w:val="auto"/>
              </w:rPr>
              <w:t>City, Utah</w:t>
            </w:r>
          </w:p>
        </w:tc>
        <w:tc>
          <w:tcPr>
            <w:tcW w:w="1260" w:type="dxa"/>
            <w:vAlign w:val="bottom"/>
            <w:gridSpan w:val="2"/>
          </w:tcPr>
          <w:p>
            <w:pPr>
              <w:ind w:left="60"/>
              <w:spacing w:after="0"/>
              <w:rPr>
                <w:sz w:val="20"/>
                <w:szCs w:val="20"/>
                <w:color w:val="auto"/>
              </w:rPr>
            </w:pPr>
            <w:r>
              <w:rPr>
                <w:rFonts w:ascii="Arial" w:cs="Arial" w:eastAsia="Arial" w:hAnsi="Arial"/>
                <w:sz w:val="14"/>
                <w:szCs w:val="14"/>
                <w:color w:val="auto"/>
              </w:rPr>
              <w:t>HUT001</w:t>
            </w:r>
          </w:p>
        </w:tc>
        <w:tc>
          <w:tcPr>
            <w:tcW w:w="360" w:type="dxa"/>
            <w:vAlign w:val="bottom"/>
          </w:tcPr>
          <w:p>
            <w:pPr>
              <w:ind w:left="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5,620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32,695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(1,058)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5,620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31,637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37,257</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15,407</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1998</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Seattle,</w:t>
            </w:r>
          </w:p>
        </w:tc>
        <w:tc>
          <w:tcPr>
            <w:tcW w:w="6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Washington</w:t>
            </w:r>
          </w:p>
        </w:tc>
        <w:tc>
          <w:tcPr>
            <w:tcW w:w="640" w:type="dxa"/>
            <w:vAlign w:val="bottom"/>
            <w:shd w:val="clear" w:color="auto" w:fill="CCEEFF"/>
          </w:tcPr>
          <w:p>
            <w:pPr>
              <w:ind w:left="60"/>
              <w:spacing w:after="0"/>
              <w:rPr>
                <w:sz w:val="20"/>
                <w:szCs w:val="20"/>
                <w:color w:val="auto"/>
              </w:rPr>
            </w:pPr>
            <w:r>
              <w:rPr>
                <w:rFonts w:ascii="Arial" w:cs="Arial" w:eastAsia="Arial" w:hAnsi="Arial"/>
                <w:sz w:val="14"/>
                <w:szCs w:val="14"/>
                <w:color w:val="auto"/>
                <w:w w:val="99"/>
              </w:rPr>
              <w:t>HWA004</w:t>
            </w:r>
          </w:p>
        </w:tc>
        <w:tc>
          <w:tcPr>
            <w:tcW w:w="62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5,101</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32,080</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(1,031)</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5,101</w:t>
            </w: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31,049</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36,150</w:t>
            </w:r>
          </w:p>
        </w:tc>
        <w:tc>
          <w:tcPr>
            <w:tcW w:w="2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14,951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1998</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50"/>
        </w:trPr>
        <w:tc>
          <w:tcPr>
            <w:tcW w:w="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Subtotal</w:t>
            </w:r>
          </w:p>
        </w:tc>
        <w:tc>
          <w:tcPr>
            <w:tcW w:w="64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50,854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215,997</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(23,605)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36,277</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206,969</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8"/>
              </w:rPr>
              <w:t>243,246</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69,605</w:t>
            </w:r>
          </w:p>
        </w:tc>
        <w:tc>
          <w:tcPr>
            <w:tcW w:w="20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12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APARTMENT/RESIDENTIAL:</w:t>
            </w:r>
          </w:p>
        </w:tc>
        <w:tc>
          <w:tcPr>
            <w:tcW w:w="3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860" w:type="dxa"/>
            <w:vAlign w:val="bottom"/>
          </w:tcPr>
          <w:p>
            <w:pPr>
              <w:ind w:left="20"/>
              <w:spacing w:after="0" w:line="157" w:lineRule="exact"/>
              <w:rPr>
                <w:sz w:val="20"/>
                <w:szCs w:val="20"/>
                <w:color w:val="auto"/>
              </w:rPr>
            </w:pPr>
            <w:r>
              <w:rPr>
                <w:rFonts w:ascii="Arial" w:cs="Arial" w:eastAsia="Arial" w:hAnsi="Arial"/>
                <w:sz w:val="14"/>
                <w:szCs w:val="14"/>
                <w:color w:val="auto"/>
              </w:rPr>
              <w:t>Scottsdale,</w:t>
            </w: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860" w:type="dxa"/>
            <w:vAlign w:val="bottom"/>
          </w:tcPr>
          <w:p>
            <w:pPr>
              <w:ind w:left="20"/>
              <w:spacing w:after="0"/>
              <w:rPr>
                <w:sz w:val="20"/>
                <w:szCs w:val="20"/>
                <w:color w:val="auto"/>
              </w:rPr>
            </w:pPr>
            <w:r>
              <w:rPr>
                <w:rFonts w:ascii="Arial" w:cs="Arial" w:eastAsia="Arial" w:hAnsi="Arial"/>
                <w:sz w:val="14"/>
                <w:szCs w:val="14"/>
                <w:color w:val="auto"/>
              </w:rPr>
              <w:t>Arizona</w:t>
            </w:r>
          </w:p>
        </w:tc>
        <w:tc>
          <w:tcPr>
            <w:tcW w:w="1260" w:type="dxa"/>
            <w:vAlign w:val="bottom"/>
            <w:gridSpan w:val="2"/>
          </w:tcPr>
          <w:p>
            <w:pPr>
              <w:ind w:left="40"/>
              <w:spacing w:after="0"/>
              <w:rPr>
                <w:sz w:val="20"/>
                <w:szCs w:val="20"/>
                <w:color w:val="auto"/>
              </w:rPr>
            </w:pPr>
            <w:r>
              <w:rPr>
                <w:rFonts w:ascii="Arial" w:cs="Arial" w:eastAsia="Arial" w:hAnsi="Arial"/>
                <w:sz w:val="14"/>
                <w:szCs w:val="14"/>
                <w:color w:val="auto"/>
              </w:rPr>
              <w:t>AAZ001</w:t>
            </w: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2,423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5,126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2,423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5,126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7,549</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80"/>
          </w:cols>
          <w:pgMar w:left="260" w:top="742" w:right="259"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18"/>
          <w:szCs w:val="18"/>
          <w:b w:val="1"/>
          <w:bCs w:val="1"/>
          <w:color w:val="auto"/>
        </w:rPr>
        <w:t>iStar Inc.</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III—Real Estate and Accumulated Depreciation (Continued)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December 31, 2016</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in thousands)</w:t>
      </w:r>
    </w:p>
    <w:p>
      <w:pPr>
        <w:spacing w:after="0" w:line="200" w:lineRule="exact"/>
        <w:rPr>
          <w:sz w:val="20"/>
          <w:szCs w:val="20"/>
          <w:color w:val="auto"/>
        </w:rPr>
      </w:pP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7"/>
          </w:tcPr>
          <w:p>
            <w:pPr>
              <w:jc w:val="center"/>
              <w:ind w:right="8"/>
              <w:spacing w:after="0"/>
              <w:rPr>
                <w:sz w:val="20"/>
                <w:szCs w:val="20"/>
                <w:color w:val="auto"/>
              </w:rPr>
            </w:pPr>
            <w:r>
              <w:rPr>
                <w:rFonts w:ascii="Arial" w:cs="Arial" w:eastAsia="Arial" w:hAnsi="Arial"/>
                <w:sz w:val="14"/>
                <w:szCs w:val="14"/>
                <w:b w:val="1"/>
                <w:bCs w:val="1"/>
                <w:color w:val="auto"/>
                <w:w w:val="94"/>
              </w:rPr>
              <w:t>Gross Amount Carried</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b w:val="1"/>
                <w:bCs w:val="1"/>
                <w:color w:val="auto"/>
                <w:w w:val="97"/>
              </w:rPr>
              <w:t>Initial Cost to Company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at Close of Period</w:t>
            </w: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Building and</w:t>
            </w:r>
          </w:p>
        </w:tc>
        <w:tc>
          <w:tcPr>
            <w:tcW w:w="100" w:type="dxa"/>
            <w:vAlign w:val="bottom"/>
          </w:tcPr>
          <w:p>
            <w:pPr>
              <w:spacing w:after="0"/>
              <w:rPr>
                <w:sz w:val="11"/>
                <w:szCs w:val="11"/>
                <w:color w:val="auto"/>
              </w:rPr>
            </w:pPr>
          </w:p>
        </w:tc>
        <w:tc>
          <w:tcPr>
            <w:tcW w:w="92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7"/>
              </w:rPr>
              <w:t>Capitalized</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Building and</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1"/>
                <w:szCs w:val="11"/>
                <w:color w:val="auto"/>
              </w:rPr>
            </w:pP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Date</w:t>
            </w:r>
          </w:p>
        </w:tc>
        <w:tc>
          <w:tcPr>
            <w:tcW w:w="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Depreciable</w:t>
            </w:r>
          </w:p>
        </w:tc>
        <w:tc>
          <w:tcPr>
            <w:tcW w:w="0" w:type="dxa"/>
            <w:vAlign w:val="bottom"/>
          </w:tcPr>
          <w:p>
            <w:pPr>
              <w:spacing w:after="0"/>
              <w:rPr>
                <w:sz w:val="1"/>
                <w:szCs w:val="1"/>
                <w:color w:val="auto"/>
              </w:rPr>
            </w:pPr>
          </w:p>
        </w:tc>
      </w:tr>
      <w:tr>
        <w:trPr>
          <w:trHeight w:val="149"/>
        </w:trPr>
        <w:tc>
          <w:tcPr>
            <w:tcW w:w="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Location</w:t>
            </w:r>
          </w:p>
        </w:tc>
        <w:tc>
          <w:tcPr>
            <w:tcW w:w="66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Encumbrances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Land</w:t>
            </w:r>
          </w:p>
        </w:tc>
        <w:tc>
          <w:tcPr>
            <w:tcW w:w="1040" w:type="dxa"/>
            <w:vAlign w:val="bottom"/>
            <w:gridSpan w:val="3"/>
            <w:vMerge w:val="continue"/>
          </w:tcPr>
          <w:p>
            <w:pPr>
              <w:spacing w:after="0"/>
              <w:rPr>
                <w:sz w:val="12"/>
                <w:szCs w:val="12"/>
                <w:color w:val="auto"/>
              </w:rPr>
            </w:pPr>
          </w:p>
        </w:tc>
        <w:tc>
          <w:tcPr>
            <w:tcW w:w="10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8"/>
              </w:rPr>
              <w:t>Subsequent to</w:t>
            </w:r>
          </w:p>
        </w:tc>
        <w:tc>
          <w:tcPr>
            <w:tcW w:w="100" w:type="dxa"/>
            <w:vAlign w:val="bottom"/>
          </w:tcPr>
          <w:p>
            <w:pPr>
              <w:spacing w:after="0"/>
              <w:rPr>
                <w:sz w:val="12"/>
                <w:szCs w:val="12"/>
                <w:color w:val="auto"/>
              </w:rPr>
            </w:pPr>
          </w:p>
        </w:tc>
        <w:tc>
          <w:tcPr>
            <w:tcW w:w="6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Land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192"/>
        </w:trPr>
        <w:tc>
          <w:tcPr>
            <w:tcW w:w="82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Improvements</w:t>
            </w: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Acquisition</w:t>
            </w:r>
            <w:r>
              <w:rPr>
                <w:rFonts w:ascii="Arial" w:cs="Arial" w:eastAsia="Arial" w:hAnsi="Arial"/>
                <w:sz w:val="8"/>
                <w:szCs w:val="8"/>
                <w:b w:val="1"/>
                <w:bCs w:val="1"/>
                <w:color w:val="auto"/>
                <w:w w:val="92"/>
              </w:rPr>
              <w:t>(2)</w:t>
            </w: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Improvements</w:t>
            </w: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Depreciation</w:t>
            </w:r>
          </w:p>
        </w:tc>
        <w:tc>
          <w:tcPr>
            <w:tcW w:w="220" w:type="dxa"/>
            <w:vAlign w:val="bottom"/>
          </w:tcPr>
          <w:p>
            <w:pPr>
              <w:spacing w:after="0"/>
              <w:rPr>
                <w:sz w:val="16"/>
                <w:szCs w:val="16"/>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Acquired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156"/>
        </w:trPr>
        <w:tc>
          <w:tcPr>
            <w:tcW w:w="820" w:type="dxa"/>
            <w:vAlign w:val="bottom"/>
            <w:tcBorders>
              <w:top w:val="single" w:sz="8" w:color="auto"/>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Scottsdale,</w:t>
            </w:r>
          </w:p>
        </w:tc>
        <w:tc>
          <w:tcPr>
            <w:tcW w:w="6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Arizona</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AAZ002</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1,156</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2016</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157"/>
        </w:trPr>
        <w:tc>
          <w:tcPr>
            <w:tcW w:w="820" w:type="dxa"/>
            <w:vAlign w:val="bottom"/>
          </w:tcPr>
          <w:p>
            <w:pPr>
              <w:ind w:left="20"/>
              <w:spacing w:after="0" w:line="157" w:lineRule="exact"/>
              <w:rPr>
                <w:sz w:val="20"/>
                <w:szCs w:val="20"/>
                <w:color w:val="auto"/>
              </w:rPr>
            </w:pPr>
            <w:r>
              <w:rPr>
                <w:rFonts w:ascii="Arial" w:cs="Arial" w:eastAsia="Arial" w:hAnsi="Arial"/>
                <w:sz w:val="14"/>
                <w:szCs w:val="14"/>
                <w:color w:val="auto"/>
              </w:rPr>
              <w:t>Mammoth,</w:t>
            </w: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20" w:type="dxa"/>
            <w:vAlign w:val="bottom"/>
          </w:tcPr>
          <w:p>
            <w:pPr>
              <w:ind w:left="20"/>
              <w:spacing w:after="0"/>
              <w:rPr>
                <w:sz w:val="20"/>
                <w:szCs w:val="20"/>
                <w:color w:val="auto"/>
              </w:rPr>
            </w:pPr>
            <w:r>
              <w:rPr>
                <w:rFonts w:ascii="Arial" w:cs="Arial" w:eastAsia="Arial" w:hAnsi="Arial"/>
                <w:sz w:val="14"/>
                <w:szCs w:val="14"/>
                <w:color w:val="auto"/>
              </w:rPr>
              <w:t>California</w:t>
            </w:r>
          </w:p>
        </w:tc>
        <w:tc>
          <w:tcPr>
            <w:tcW w:w="660" w:type="dxa"/>
            <w:vAlign w:val="bottom"/>
          </w:tcPr>
          <w:p>
            <w:pPr>
              <w:ind w:left="60"/>
              <w:spacing w:after="0"/>
              <w:rPr>
                <w:sz w:val="20"/>
                <w:szCs w:val="20"/>
                <w:color w:val="auto"/>
              </w:rPr>
            </w:pPr>
            <w:r>
              <w:rPr>
                <w:rFonts w:ascii="Arial" w:cs="Arial" w:eastAsia="Arial" w:hAnsi="Arial"/>
                <w:sz w:val="14"/>
                <w:szCs w:val="14"/>
                <w:color w:val="auto"/>
              </w:rPr>
              <w:t>ACA002</w:t>
            </w:r>
          </w:p>
        </w:tc>
        <w:tc>
          <w:tcPr>
            <w:tcW w:w="24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10,078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40,312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(48,648)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348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1,394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1,742</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163"/>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Atlanta,</w:t>
            </w: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Georgia</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AGA001</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11,850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16,457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25,016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31,270</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2010</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157"/>
        </w:trPr>
        <w:tc>
          <w:tcPr>
            <w:tcW w:w="820" w:type="dxa"/>
            <w:vAlign w:val="bottom"/>
          </w:tcPr>
          <w:p>
            <w:pPr>
              <w:ind w:left="20"/>
              <w:spacing w:after="0" w:line="157" w:lineRule="exact"/>
              <w:rPr>
                <w:sz w:val="20"/>
                <w:szCs w:val="20"/>
                <w:color w:val="auto"/>
              </w:rPr>
            </w:pPr>
            <w:r>
              <w:rPr>
                <w:rFonts w:ascii="Arial" w:cs="Arial" w:eastAsia="Arial" w:hAnsi="Arial"/>
                <w:sz w:val="14"/>
                <w:szCs w:val="14"/>
                <w:color w:val="auto"/>
              </w:rPr>
              <w:t>Jersey City,</w:t>
            </w: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20" w:type="dxa"/>
            <w:vAlign w:val="bottom"/>
          </w:tcPr>
          <w:p>
            <w:pPr>
              <w:ind w:left="20"/>
              <w:spacing w:after="0"/>
              <w:rPr>
                <w:sz w:val="20"/>
                <w:szCs w:val="20"/>
                <w:color w:val="auto"/>
              </w:rPr>
            </w:pPr>
            <w:r>
              <w:rPr>
                <w:rFonts w:ascii="Arial" w:cs="Arial" w:eastAsia="Arial" w:hAnsi="Arial"/>
                <w:sz w:val="14"/>
                <w:szCs w:val="14"/>
                <w:color w:val="auto"/>
              </w:rPr>
              <w:t>New Jersey</w:t>
            </w:r>
          </w:p>
        </w:tc>
        <w:tc>
          <w:tcPr>
            <w:tcW w:w="660" w:type="dxa"/>
            <w:vAlign w:val="bottom"/>
          </w:tcPr>
          <w:p>
            <w:pPr>
              <w:ind w:left="60"/>
              <w:spacing w:after="0"/>
              <w:rPr>
                <w:sz w:val="20"/>
                <w:szCs w:val="20"/>
                <w:color w:val="auto"/>
              </w:rPr>
            </w:pPr>
            <w:r>
              <w:rPr>
                <w:rFonts w:ascii="Arial" w:cs="Arial" w:eastAsia="Arial" w:hAnsi="Arial"/>
                <w:sz w:val="14"/>
                <w:szCs w:val="14"/>
                <w:color w:val="auto"/>
              </w:rPr>
              <w:t>ANJ001</w:t>
            </w:r>
          </w:p>
        </w:tc>
        <w:tc>
          <w:tcPr>
            <w:tcW w:w="24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36,405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64,719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(100,639)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485</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163"/>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Philadelphia,</w:t>
            </w: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3"/>
              </w:rPr>
              <w:t>Pennsylvania</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APA001</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44,438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82,527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(123,902)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1,991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3,063</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2012</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157"/>
        </w:trPr>
        <w:tc>
          <w:tcPr>
            <w:tcW w:w="820" w:type="dxa"/>
            <w:vAlign w:val="bottom"/>
          </w:tcPr>
          <w:p>
            <w:pPr>
              <w:ind w:left="20"/>
              <w:spacing w:after="0" w:line="157" w:lineRule="exact"/>
              <w:rPr>
                <w:sz w:val="20"/>
                <w:szCs w:val="20"/>
                <w:color w:val="auto"/>
              </w:rPr>
            </w:pPr>
            <w:r>
              <w:rPr>
                <w:rFonts w:ascii="Arial" w:cs="Arial" w:eastAsia="Arial" w:hAnsi="Arial"/>
                <w:sz w:val="14"/>
                <w:szCs w:val="14"/>
                <w:color w:val="auto"/>
                <w:w w:val="97"/>
              </w:rPr>
              <w:t>Philadelphia,</w:t>
            </w: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20" w:type="dxa"/>
            <w:vAlign w:val="bottom"/>
          </w:tcPr>
          <w:p>
            <w:pPr>
              <w:ind w:left="20"/>
              <w:spacing w:after="0"/>
              <w:rPr>
                <w:sz w:val="20"/>
                <w:szCs w:val="20"/>
                <w:color w:val="auto"/>
              </w:rPr>
            </w:pPr>
            <w:r>
              <w:rPr>
                <w:rFonts w:ascii="Arial" w:cs="Arial" w:eastAsia="Arial" w:hAnsi="Arial"/>
                <w:sz w:val="14"/>
                <w:szCs w:val="14"/>
                <w:color w:val="auto"/>
                <w:w w:val="93"/>
              </w:rPr>
              <w:t>Pennsylvania</w:t>
            </w:r>
          </w:p>
        </w:tc>
        <w:tc>
          <w:tcPr>
            <w:tcW w:w="660" w:type="dxa"/>
            <w:vAlign w:val="bottom"/>
          </w:tcPr>
          <w:p>
            <w:pPr>
              <w:ind w:left="60"/>
              <w:spacing w:after="0"/>
              <w:rPr>
                <w:sz w:val="20"/>
                <w:szCs w:val="20"/>
                <w:color w:val="auto"/>
              </w:rPr>
            </w:pPr>
            <w:r>
              <w:rPr>
                <w:rFonts w:ascii="Arial" w:cs="Arial" w:eastAsia="Arial" w:hAnsi="Arial"/>
                <w:sz w:val="14"/>
                <w:szCs w:val="14"/>
                <w:color w:val="auto"/>
              </w:rPr>
              <w:t>APA002</w:t>
            </w:r>
          </w:p>
        </w:tc>
        <w:tc>
          <w:tcPr>
            <w:tcW w:w="24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15,890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29,510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(16,120)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15,890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13,390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29,280</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163"/>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Seattle,</w:t>
            </w: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Washington</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AWA002</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44,478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(32,266)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12,212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14,554</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w:t>
            </w:r>
          </w:p>
        </w:tc>
        <w:tc>
          <w:tcPr>
            <w:tcW w:w="0" w:type="dxa"/>
            <w:vAlign w:val="bottom"/>
          </w:tcPr>
          <w:p>
            <w:pPr>
              <w:spacing w:after="0"/>
              <w:rPr>
                <w:sz w:val="1"/>
                <w:szCs w:val="1"/>
                <w:color w:val="auto"/>
              </w:rPr>
            </w:pPr>
          </w:p>
        </w:tc>
      </w:tr>
      <w:tr>
        <w:trPr>
          <w:trHeight w:val="157"/>
        </w:trPr>
        <w:tc>
          <w:tcPr>
            <w:tcW w:w="820" w:type="dxa"/>
            <w:vAlign w:val="bottom"/>
          </w:tcPr>
          <w:p>
            <w:pPr>
              <w:ind w:left="20"/>
              <w:spacing w:after="0" w:line="157" w:lineRule="exact"/>
              <w:rPr>
                <w:sz w:val="20"/>
                <w:szCs w:val="20"/>
                <w:color w:val="auto"/>
              </w:rPr>
            </w:pPr>
            <w:r>
              <w:rPr>
                <w:rFonts w:ascii="Arial" w:cs="Arial" w:eastAsia="Arial" w:hAnsi="Arial"/>
                <w:sz w:val="14"/>
                <w:szCs w:val="14"/>
                <w:color w:val="auto"/>
              </w:rPr>
              <w:t>Milwaukee,</w:t>
            </w: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Wisconsin</w:t>
            </w:r>
          </w:p>
        </w:tc>
        <w:tc>
          <w:tcPr>
            <w:tcW w:w="660" w:type="dxa"/>
            <w:vAlign w:val="bottom"/>
            <w:tcBorders>
              <w:bottom w:val="single" w:sz="8" w:color="CCEEFF"/>
            </w:tcBorders>
          </w:tcPr>
          <w:p>
            <w:pPr>
              <w:ind w:left="60"/>
              <w:spacing w:after="0"/>
              <w:rPr>
                <w:sz w:val="20"/>
                <w:szCs w:val="20"/>
                <w:color w:val="auto"/>
              </w:rPr>
            </w:pPr>
            <w:r>
              <w:rPr>
                <w:rFonts w:ascii="Arial" w:cs="Arial" w:eastAsia="Arial" w:hAnsi="Arial"/>
                <w:sz w:val="14"/>
                <w:szCs w:val="14"/>
                <w:color w:val="auto"/>
              </w:rPr>
              <w:t>OWI001</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13,914</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(6,147)</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1,875</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7,767</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9,642</w:t>
            </w: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4,941</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1999</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56"/>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Subtotal</w:t>
            </w:r>
          </w:p>
        </w:tc>
        <w:tc>
          <w:tcPr>
            <w:tcW w:w="660" w:type="dxa"/>
            <w:vAlign w:val="bottom"/>
            <w:shd w:val="clear" w:color="auto" w:fill="CCEEFF"/>
          </w:tcPr>
          <w:p>
            <w:pPr>
              <w:spacing w:after="0"/>
              <w:rPr>
                <w:sz w:val="22"/>
                <w:szCs w:val="22"/>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116,414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289,098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(306,771)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30,379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68,362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98,741</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4,941</w:t>
            </w:r>
          </w:p>
        </w:tc>
        <w:tc>
          <w:tcPr>
            <w:tcW w:w="2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MIXED USE:</w:t>
            </w:r>
          </w:p>
        </w:tc>
        <w:tc>
          <w:tcPr>
            <w:tcW w:w="2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Glendale,</w:t>
            </w: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Arizona</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MAZ002</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10,182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52,544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33,138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10,182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85,682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95,864</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13,148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2011</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820" w:type="dxa"/>
            <w:vAlign w:val="bottom"/>
          </w:tcPr>
          <w:p>
            <w:pPr>
              <w:ind w:left="20"/>
              <w:spacing w:after="0" w:line="157" w:lineRule="exact"/>
              <w:rPr>
                <w:sz w:val="20"/>
                <w:szCs w:val="20"/>
                <w:color w:val="auto"/>
              </w:rPr>
            </w:pPr>
            <w:r>
              <w:rPr>
                <w:rFonts w:ascii="Arial" w:cs="Arial" w:eastAsia="Arial" w:hAnsi="Arial"/>
                <w:sz w:val="14"/>
                <w:szCs w:val="14"/>
                <w:color w:val="auto"/>
              </w:rPr>
              <w:t>Riverside,</w:t>
            </w: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20" w:type="dxa"/>
            <w:vAlign w:val="bottom"/>
          </w:tcPr>
          <w:p>
            <w:pPr>
              <w:ind w:left="20"/>
              <w:spacing w:after="0"/>
              <w:rPr>
                <w:sz w:val="20"/>
                <w:szCs w:val="20"/>
                <w:color w:val="auto"/>
              </w:rPr>
            </w:pPr>
            <w:r>
              <w:rPr>
                <w:rFonts w:ascii="Arial" w:cs="Arial" w:eastAsia="Arial" w:hAnsi="Arial"/>
                <w:sz w:val="14"/>
                <w:szCs w:val="14"/>
                <w:color w:val="auto"/>
              </w:rPr>
              <w:t>California</w:t>
            </w:r>
          </w:p>
        </w:tc>
        <w:tc>
          <w:tcPr>
            <w:tcW w:w="660" w:type="dxa"/>
            <w:vAlign w:val="bottom"/>
          </w:tcPr>
          <w:p>
            <w:pPr>
              <w:ind w:left="60"/>
              <w:spacing w:after="0"/>
              <w:rPr>
                <w:sz w:val="20"/>
                <w:szCs w:val="20"/>
                <w:color w:val="auto"/>
              </w:rPr>
            </w:pPr>
            <w:r>
              <w:rPr>
                <w:rFonts w:ascii="Arial" w:cs="Arial" w:eastAsia="Arial" w:hAnsi="Arial"/>
                <w:sz w:val="14"/>
                <w:szCs w:val="14"/>
                <w:color w:val="auto"/>
              </w:rPr>
              <w:t>MCA001</w:t>
            </w:r>
          </w:p>
        </w:tc>
        <w:tc>
          <w:tcPr>
            <w:tcW w:w="24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5,869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5,869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6,500</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388</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Key West,</w:t>
            </w: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Florida</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MFL002</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18,229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20,899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18,229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22,730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40,959</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2,979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820" w:type="dxa"/>
            <w:vAlign w:val="bottom"/>
          </w:tcPr>
          <w:p>
            <w:pPr>
              <w:ind w:left="20"/>
              <w:spacing w:after="0" w:line="157" w:lineRule="exact"/>
              <w:rPr>
                <w:sz w:val="20"/>
                <w:szCs w:val="20"/>
                <w:color w:val="auto"/>
              </w:rPr>
            </w:pPr>
            <w:r>
              <w:rPr>
                <w:rFonts w:ascii="Arial" w:cs="Arial" w:eastAsia="Arial" w:hAnsi="Arial"/>
                <w:sz w:val="14"/>
                <w:szCs w:val="14"/>
                <w:color w:val="auto"/>
              </w:rPr>
              <w:t>Naples,</w:t>
            </w: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20" w:type="dxa"/>
            <w:vAlign w:val="bottom"/>
          </w:tcPr>
          <w:p>
            <w:pPr>
              <w:ind w:left="20"/>
              <w:spacing w:after="0"/>
              <w:rPr>
                <w:sz w:val="20"/>
                <w:szCs w:val="20"/>
                <w:color w:val="auto"/>
              </w:rPr>
            </w:pPr>
            <w:r>
              <w:rPr>
                <w:rFonts w:ascii="Arial" w:cs="Arial" w:eastAsia="Arial" w:hAnsi="Arial"/>
                <w:sz w:val="14"/>
                <w:szCs w:val="14"/>
                <w:color w:val="auto"/>
              </w:rPr>
              <w:t>Florida</w:t>
            </w:r>
          </w:p>
        </w:tc>
        <w:tc>
          <w:tcPr>
            <w:tcW w:w="660" w:type="dxa"/>
            <w:vAlign w:val="bottom"/>
          </w:tcPr>
          <w:p>
            <w:pPr>
              <w:ind w:left="60"/>
              <w:spacing w:after="0"/>
              <w:rPr>
                <w:sz w:val="20"/>
                <w:szCs w:val="20"/>
                <w:color w:val="auto"/>
              </w:rPr>
            </w:pPr>
            <w:r>
              <w:rPr>
                <w:rFonts w:ascii="Arial" w:cs="Arial" w:eastAsia="Arial" w:hAnsi="Arial"/>
                <w:sz w:val="14"/>
                <w:szCs w:val="14"/>
                <w:color w:val="auto"/>
              </w:rPr>
              <w:t>MFL003</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2,507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8,155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1,251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2,507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9,406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11,913</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1,325</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63"/>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Tampa,</w:t>
            </w: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Florida</w:t>
            </w:r>
          </w:p>
        </w:tc>
        <w:tc>
          <w:tcPr>
            <w:tcW w:w="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MFL004</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14,652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15,554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19,755</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157"/>
        </w:trPr>
        <w:tc>
          <w:tcPr>
            <w:tcW w:w="820" w:type="dxa"/>
            <w:vAlign w:val="bottom"/>
          </w:tcPr>
          <w:p>
            <w:pPr>
              <w:ind w:left="20"/>
              <w:spacing w:after="0" w:line="157" w:lineRule="exact"/>
              <w:rPr>
                <w:sz w:val="20"/>
                <w:szCs w:val="20"/>
                <w:color w:val="auto"/>
              </w:rPr>
            </w:pPr>
            <w:r>
              <w:rPr>
                <w:rFonts w:ascii="Arial" w:cs="Arial" w:eastAsia="Arial" w:hAnsi="Arial"/>
                <w:sz w:val="14"/>
                <w:szCs w:val="14"/>
                <w:color w:val="auto"/>
              </w:rPr>
              <w:t>Atlanta,</w:t>
            </w: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Georgia</w:t>
            </w:r>
          </w:p>
        </w:tc>
        <w:tc>
          <w:tcPr>
            <w:tcW w:w="660" w:type="dxa"/>
            <w:vAlign w:val="bottom"/>
            <w:tcBorders>
              <w:bottom w:val="single" w:sz="8" w:color="CCEEFF"/>
            </w:tcBorders>
          </w:tcPr>
          <w:p>
            <w:pPr>
              <w:ind w:left="60"/>
              <w:spacing w:after="0"/>
              <w:rPr>
                <w:sz w:val="20"/>
                <w:szCs w:val="20"/>
                <w:color w:val="auto"/>
              </w:rPr>
            </w:pPr>
            <w:r>
              <w:rPr>
                <w:rFonts w:ascii="Arial" w:cs="Arial" w:eastAsia="Arial" w:hAnsi="Arial"/>
                <w:sz w:val="14"/>
                <w:szCs w:val="14"/>
                <w:color w:val="auto"/>
              </w:rPr>
              <w:t>MGA001</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tcPr>
          <w:p>
            <w:pPr>
              <w:jc w:val="right"/>
              <w:ind w:right="8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17,916</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(16,564)</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4,480</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1,352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5,832</w:t>
            </w: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1,120</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2010</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5"/>
              </w:rPr>
              <w:t>40.0</w:t>
            </w:r>
          </w:p>
        </w:tc>
        <w:tc>
          <w:tcPr>
            <w:tcW w:w="0" w:type="dxa"/>
            <w:vAlign w:val="bottom"/>
          </w:tcPr>
          <w:p>
            <w:pPr>
              <w:spacing w:after="0"/>
              <w:rPr>
                <w:sz w:val="1"/>
                <w:szCs w:val="1"/>
                <w:color w:val="auto"/>
              </w:rPr>
            </w:pPr>
          </w:p>
        </w:tc>
      </w:tr>
      <w:tr>
        <w:trPr>
          <w:trHeight w:val="250"/>
        </w:trPr>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Subtotal</w:t>
            </w:r>
          </w:p>
        </w:tc>
        <w:tc>
          <w:tcPr>
            <w:tcW w:w="66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45,468</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114,795</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20,560</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45,468</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135,355</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180,823</w:t>
            </w:r>
          </w:p>
        </w:tc>
        <w:tc>
          <w:tcPr>
            <w:tcW w:w="2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20,668</w:t>
            </w: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820" w:type="dxa"/>
            <w:vAlign w:val="bottom"/>
          </w:tcPr>
          <w:p>
            <w:pPr>
              <w:ind w:left="20"/>
              <w:spacing w:after="0"/>
              <w:rPr>
                <w:sz w:val="20"/>
                <w:szCs w:val="20"/>
                <w:color w:val="auto"/>
              </w:rPr>
            </w:pPr>
            <w:r>
              <w:rPr>
                <w:rFonts w:ascii="Arial" w:cs="Arial" w:eastAsia="Arial" w:hAnsi="Arial"/>
                <w:sz w:val="14"/>
                <w:szCs w:val="14"/>
                <w:color w:val="auto"/>
              </w:rPr>
              <w:t>Total</w:t>
            </w:r>
          </w:p>
        </w:tc>
        <w:tc>
          <w:tcPr>
            <w:tcW w:w="66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249,987</w:t>
            </w:r>
          </w:p>
        </w:tc>
        <w:tc>
          <w:tcPr>
            <w:tcW w:w="4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89"/>
              </w:rPr>
              <w:t>1,408,355</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1,506,299</w:t>
            </w:r>
          </w:p>
        </w:tc>
        <w:tc>
          <w:tcPr>
            <w:tcW w:w="100" w:type="dxa"/>
            <w:vAlign w:val="bottom"/>
          </w:tcPr>
          <w:p>
            <w:pPr>
              <w:spacing w:after="0"/>
              <w:rPr>
                <w:sz w:val="21"/>
                <w:szCs w:val="21"/>
                <w:color w:val="auto"/>
              </w:rPr>
            </w:pP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32,535</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3"/>
              </w:rPr>
              <w:t>1,362,977</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1,584,212</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w w:val="89"/>
              </w:rPr>
              <w:t>2,947,189</w:t>
            </w:r>
          </w:p>
        </w:tc>
        <w:tc>
          <w:tcPr>
            <w:tcW w:w="22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426,108</w:t>
            </w:r>
          </w:p>
        </w:tc>
        <w:tc>
          <w:tcPr>
            <w:tcW w:w="220" w:type="dxa"/>
            <w:vAlign w:val="bottom"/>
          </w:tcPr>
          <w:p>
            <w:pPr>
              <w:jc w:val="right"/>
              <w:spacing w:after="0"/>
              <w:rPr>
                <w:sz w:val="20"/>
                <w:szCs w:val="20"/>
                <w:color w:val="auto"/>
              </w:rPr>
            </w:pPr>
            <w:r>
              <w:rPr>
                <w:rFonts w:ascii="Arial" w:cs="Arial" w:eastAsia="Arial" w:hAnsi="Arial"/>
                <w:sz w:val="11"/>
                <w:szCs w:val="11"/>
                <w:color w:val="auto"/>
              </w:rPr>
              <w:t>(5)</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0</wp:posOffset>
            </wp:positionV>
            <wp:extent cx="51542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5429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-98425</wp:posOffset>
            </wp:positionV>
            <wp:extent cx="515429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54295" cy="8890"/>
                    </a:xfrm>
                    <a:prstGeom prst="rect">
                      <a:avLst/>
                    </a:prstGeom>
                    <a:noFill/>
                  </pic:spPr>
                </pic:pic>
              </a:graphicData>
            </a:graphic>
          </wp:anchor>
        </w:drawing>
      </w:r>
    </w:p>
    <w:p>
      <w:pPr>
        <w:ind w:left="420" w:hanging="412"/>
        <w:spacing w:after="0"/>
        <w:tabs>
          <w:tab w:leader="none" w:pos="4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Consists of properties pledged as collateral under the Company's secured credit facilities with a carrying value of $633.0 million.</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Includes impairments and unit sales.</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These properties have land improvements which have depreciable lives of 15 to 20 years.</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aggregate cost for Federal income tax purposes was approximately $3.14 billion at December 31, 2016.</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61"/>
        </w:numPr>
        <w:rPr>
          <w:rFonts w:ascii="Arial" w:cs="Arial" w:eastAsia="Arial" w:hAnsi="Arial"/>
          <w:sz w:val="13"/>
          <w:szCs w:val="13"/>
          <w:color w:val="auto"/>
        </w:rPr>
      </w:pPr>
      <w:r>
        <w:rPr>
          <w:rFonts w:ascii="Arial" w:cs="Arial" w:eastAsia="Arial" w:hAnsi="Arial"/>
          <w:sz w:val="13"/>
          <w:szCs w:val="13"/>
          <w:color w:val="auto"/>
        </w:rPr>
        <w:t>Includes $6.5 million and $4.8 million relating to accumulated depreciation for land and development assets and real estate assets held for sale, respectively, as of December 31, 2016.</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742" w:right="259" w:bottom="1440" w:gutter="0" w:footer="0" w:header="0"/>
        </w:sectPr>
      </w:pPr>
    </w:p>
    <w:bookmarkStart w:id="122" w:name="page123"/>
    <w:bookmarkEnd w:id="122"/>
    <w:p>
      <w:pPr>
        <w:ind w:left="4920"/>
        <w:spacing w:after="0"/>
        <w:rPr>
          <w:sz w:val="20"/>
          <w:szCs w:val="20"/>
          <w:color w:val="auto"/>
        </w:rPr>
      </w:pPr>
      <w:r>
        <w:rPr>
          <w:rFonts w:ascii="Arial" w:cs="Arial" w:eastAsia="Arial" w:hAnsi="Arial"/>
          <w:sz w:val="18"/>
          <w:szCs w:val="18"/>
          <w:b w:val="1"/>
          <w:bCs w:val="1"/>
          <w:color w:val="auto"/>
        </w:rPr>
        <w:t>iStar Inc.</w:t>
      </w:r>
    </w:p>
    <w:p>
      <w:pPr>
        <w:spacing w:after="0" w:line="279" w:lineRule="exact"/>
        <w:rPr>
          <w:sz w:val="20"/>
          <w:szCs w:val="20"/>
          <w:color w:val="auto"/>
        </w:rPr>
      </w:pPr>
    </w:p>
    <w:p>
      <w:pPr>
        <w:jc w:val="right"/>
        <w:ind w:right="1799"/>
        <w:spacing w:after="0"/>
        <w:rPr>
          <w:sz w:val="20"/>
          <w:szCs w:val="20"/>
          <w:color w:val="auto"/>
        </w:rPr>
      </w:pPr>
      <w:r>
        <w:rPr>
          <w:rFonts w:ascii="Arial" w:cs="Arial" w:eastAsia="Arial" w:hAnsi="Arial"/>
          <w:sz w:val="18"/>
          <w:szCs w:val="18"/>
          <w:b w:val="1"/>
          <w:bCs w:val="1"/>
          <w:color w:val="auto"/>
        </w:rPr>
        <w:t>Schedule III—Real Estate and Accumulated Depreciation (Continued)</w:t>
      </w:r>
    </w:p>
    <w:p>
      <w:pPr>
        <w:spacing w:after="0" w:line="279" w:lineRule="exact"/>
        <w:rPr>
          <w:sz w:val="20"/>
          <w:szCs w:val="20"/>
          <w:color w:val="auto"/>
        </w:rPr>
      </w:pPr>
    </w:p>
    <w:p>
      <w:pPr>
        <w:jc w:val="center"/>
        <w:ind w:right="-760"/>
        <w:spacing w:after="0"/>
        <w:rPr>
          <w:sz w:val="20"/>
          <w:szCs w:val="20"/>
          <w:color w:val="auto"/>
        </w:rPr>
      </w:pPr>
      <w:r>
        <w:rPr>
          <w:rFonts w:ascii="Arial" w:cs="Arial" w:eastAsia="Arial" w:hAnsi="Arial"/>
          <w:sz w:val="18"/>
          <w:szCs w:val="18"/>
          <w:b w:val="1"/>
          <w:bCs w:val="1"/>
          <w:color w:val="auto"/>
        </w:rPr>
        <w:t>As of December 31, 2016</w:t>
      </w:r>
    </w:p>
    <w:p>
      <w:pPr>
        <w:spacing w:after="0" w:line="144" w:lineRule="exact"/>
        <w:rPr>
          <w:sz w:val="20"/>
          <w:szCs w:val="20"/>
          <w:color w:val="auto"/>
        </w:rPr>
      </w:pPr>
    </w:p>
    <w:p>
      <w:pPr>
        <w:jc w:val="center"/>
        <w:ind w:right="-760"/>
        <w:spacing w:after="0"/>
        <w:rPr>
          <w:sz w:val="20"/>
          <w:szCs w:val="20"/>
          <w:color w:val="auto"/>
        </w:rPr>
      </w:pPr>
      <w:r>
        <w:rPr>
          <w:rFonts w:ascii="Arial" w:cs="Arial" w:eastAsia="Arial" w:hAnsi="Arial"/>
          <w:sz w:val="18"/>
          <w:szCs w:val="18"/>
          <w:b w:val="1"/>
          <w:bCs w:val="1"/>
          <w:color w:val="auto"/>
        </w:rPr>
        <w:t>($ in thousands)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real estate from January 1, 2014 to December 31, 2016:</w:t>
      </w:r>
    </w:p>
    <w:p>
      <w:pPr>
        <w:spacing w:after="0" w:line="365" w:lineRule="exact"/>
        <w:rPr>
          <w:sz w:val="20"/>
          <w:szCs w:val="20"/>
          <w:color w:val="auto"/>
        </w:rPr>
      </w:pPr>
    </w:p>
    <w:tbl>
      <w:tblPr>
        <w:tblLayout w:type="fixed"/>
        <w:tblInd w:w="1480" w:type="dxa"/>
        <w:tblCellMar>
          <w:top w:w="0" w:type="dxa"/>
          <w:left w:w="0" w:type="dxa"/>
          <w:bottom w:w="0" w:type="dxa"/>
          <w:right w:w="0" w:type="dxa"/>
        </w:tblCellMar>
      </w:tblPr>
      <w:tr>
        <w:trPr>
          <w:trHeight w:val="192"/>
        </w:trPr>
        <w:tc>
          <w:tcPr>
            <w:tcW w:w="37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2014</w:t>
            </w: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3,200,342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3,444,676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3,589,072</w:t>
            </w: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Improvements and additions</w:t>
            </w:r>
          </w:p>
        </w:tc>
        <w:tc>
          <w:tcPr>
            <w:tcW w:w="26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169,999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183,269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145,238</w:t>
            </w:r>
          </w:p>
        </w:tc>
      </w:tr>
      <w:tr>
        <w:trPr>
          <w:trHeight w:val="27"/>
        </w:trPr>
        <w:tc>
          <w:tcPr>
            <w:tcW w:w="3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Acquisitions through foreclosure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40,583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77,867</w:t>
            </w: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Other acquisitions</w:t>
            </w:r>
          </w:p>
        </w:tc>
        <w:tc>
          <w:tcPr>
            <w:tcW w:w="26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30,618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4,666</w:t>
            </w:r>
          </w:p>
        </w:tc>
      </w:tr>
      <w:tr>
        <w:trPr>
          <w:trHeight w:val="27"/>
        </w:trPr>
        <w:tc>
          <w:tcPr>
            <w:tcW w:w="3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Dispositions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(484,810)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(431,928)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(341,453)</w:t>
            </w: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Impairments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(30,714)</w:t>
            </w:r>
          </w:p>
        </w:tc>
      </w:tr>
      <w:tr>
        <w:trPr>
          <w:trHeight w:val="27"/>
        </w:trPr>
        <w:tc>
          <w:tcPr>
            <w:tcW w:w="3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2,947,189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3,200,342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3,444,676</w:t>
            </w:r>
          </w:p>
        </w:tc>
      </w:tr>
      <w:tr>
        <w:trPr>
          <w:trHeight w:val="20"/>
        </w:trPr>
        <w:tc>
          <w:tcPr>
            <w:tcW w:w="3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accumulated depreciation from January 1, 2014 to December 31, 2016:</w:t>
      </w:r>
    </w:p>
    <w:p>
      <w:pPr>
        <w:spacing w:after="0" w:line="365" w:lineRule="exact"/>
        <w:rPr>
          <w:sz w:val="20"/>
          <w:szCs w:val="20"/>
          <w:color w:val="auto"/>
        </w:rPr>
      </w:pPr>
    </w:p>
    <w:tbl>
      <w:tblPr>
        <w:tblLayout w:type="fixed"/>
        <w:tblInd w:w="1520" w:type="dxa"/>
        <w:tblCellMar>
          <w:top w:w="0" w:type="dxa"/>
          <w:left w:w="0" w:type="dxa"/>
          <w:bottom w:w="0" w:type="dxa"/>
          <w:right w:w="0" w:type="dxa"/>
        </w:tblCellMar>
      </w:tblPr>
      <w:tr>
        <w:trPr>
          <w:trHeight w:val="192"/>
        </w:trPr>
        <w:tc>
          <w:tcPr>
            <w:tcW w:w="35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2014</w:t>
            </w: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(467,122)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(481,980)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(432,374)</w:t>
            </w: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Additions</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(48,381)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(57,049)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(62,299)</w:t>
            </w:r>
          </w:p>
        </w:tc>
      </w:tr>
      <w:tr>
        <w:trPr>
          <w:trHeight w:val="27"/>
        </w:trPr>
        <w:tc>
          <w:tcPr>
            <w:tcW w:w="3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Dispositions</w:t>
            </w: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89,395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71,907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12,693</w:t>
            </w:r>
          </w:p>
        </w:tc>
      </w:tr>
      <w:tr>
        <w:trPr>
          <w:trHeight w:val="257"/>
        </w:trPr>
        <w:tc>
          <w:tcPr>
            <w:tcW w:w="3520" w:type="dxa"/>
            <w:vAlign w:val="bottom"/>
          </w:tcPr>
          <w:p>
            <w:pPr>
              <w:ind w:left="20"/>
              <w:spacing w:after="0"/>
              <w:rPr>
                <w:sz w:val="20"/>
                <w:szCs w:val="20"/>
                <w:color w:val="auto"/>
              </w:rPr>
            </w:pPr>
            <w:r>
              <w:rPr>
                <w:rFonts w:ascii="Arial" w:cs="Arial" w:eastAsia="Arial" w:hAnsi="Arial"/>
                <w:sz w:val="18"/>
                <w:szCs w:val="18"/>
                <w:color w:val="auto"/>
              </w:rPr>
              <w:t>Balance at December 31</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(426,108)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(467,122)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(481,980)</w:t>
            </w:r>
          </w:p>
        </w:tc>
      </w:tr>
      <w:tr>
        <w:trPr>
          <w:trHeight w:val="20"/>
        </w:trPr>
        <w:tc>
          <w:tcPr>
            <w:tcW w:w="3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08"/>
        </w:trPr>
        <w:tc>
          <w:tcPr>
            <w:tcW w:w="3520" w:type="dxa"/>
            <w:vAlign w:val="bottom"/>
          </w:tcPr>
          <w:p>
            <w:pPr>
              <w:spacing w:after="0"/>
              <w:rPr>
                <w:sz w:val="24"/>
                <w:szCs w:val="24"/>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9779"/>
          </w:cols>
          <w:pgMar w:left="680" w:top="742" w:right="1440" w:bottom="1440" w:gutter="0" w:footer="0" w:header="0"/>
        </w:sectPr>
      </w:pPr>
    </w:p>
    <w:bookmarkStart w:id="123" w:name="page124"/>
    <w:bookmarkEnd w:id="123"/>
    <w:p>
      <w:pPr>
        <w:spacing w:after="0"/>
        <w:rPr>
          <w:sz w:val="20"/>
          <w:szCs w:val="20"/>
          <w:color w:val="auto"/>
        </w:rPr>
      </w:pPr>
      <w:r>
        <w:rPr>
          <w:rFonts w:ascii="Arial" w:cs="Arial" w:eastAsia="Arial" w:hAnsi="Arial"/>
          <w:sz w:val="14"/>
          <w:szCs w:val="14"/>
          <w:u w:val="single" w:color="auto"/>
          <w:color w:val="0000EE"/>
        </w:rPr>
        <w:t>Table of Contents</w:t>
      </w:r>
    </w:p>
    <w:p>
      <w:pPr>
        <w:spacing w:after="0" w:line="37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iStar Inc.</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Schedule IV—Mortgage Loans on Real Estate</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of December 31, 2016</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Contractual</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Contractual</w:t>
            </w: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Effective</w:t>
            </w:r>
          </w:p>
        </w:tc>
        <w:tc>
          <w:tcPr>
            <w:tcW w:w="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Periodic</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Face</w:t>
            </w:r>
          </w:p>
        </w:tc>
        <w:tc>
          <w:tcPr>
            <w:tcW w:w="160" w:type="dxa"/>
            <w:vAlign w:val="bottom"/>
          </w:tcPr>
          <w:p>
            <w:pPr>
              <w:spacing w:after="0"/>
              <w:rPr>
                <w:sz w:val="14"/>
                <w:szCs w:val="14"/>
                <w:color w:val="auto"/>
              </w:rPr>
            </w:pPr>
          </w:p>
        </w:tc>
        <w:tc>
          <w:tcPr>
            <w:tcW w:w="840" w:type="dxa"/>
            <w:vAlign w:val="bottom"/>
          </w:tcPr>
          <w:p>
            <w:pPr>
              <w:jc w:val="center"/>
              <w:ind w:right="108"/>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Interest</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Interest</w:t>
            </w:r>
          </w:p>
        </w:tc>
        <w:tc>
          <w:tcPr>
            <w:tcW w:w="112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7"/>
              </w:rPr>
              <w:t>Prior</w:t>
            </w: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2"/>
                <w:szCs w:val="12"/>
                <w:color w:val="auto"/>
              </w:rPr>
            </w:pPr>
          </w:p>
        </w:tc>
        <w:tc>
          <w:tcPr>
            <w:tcW w:w="84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9"/>
        </w:trPr>
        <w:tc>
          <w:tcPr>
            <w:tcW w:w="1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Type of Loan/Borrower</w:t>
            </w:r>
          </w:p>
        </w:tc>
        <w:tc>
          <w:tcPr>
            <w:tcW w:w="120" w:type="dxa"/>
            <w:vAlign w:val="bottom"/>
            <w:vMerge w:val="restart"/>
          </w:tcPr>
          <w:p>
            <w:pPr>
              <w:spacing w:after="0"/>
              <w:rPr>
                <w:sz w:val="12"/>
                <w:szCs w:val="12"/>
                <w:color w:val="auto"/>
              </w:rPr>
            </w:pPr>
          </w:p>
        </w:tc>
        <w:tc>
          <w:tcPr>
            <w:tcW w:w="20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Underlying Property Type</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Accrual</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Payment</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Maturity</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5"/>
              </w:rPr>
              <w:t>Payment</w:t>
            </w:r>
          </w:p>
        </w:tc>
        <w:tc>
          <w:tcPr>
            <w:tcW w:w="10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160" w:type="dxa"/>
            <w:vAlign w:val="bottom"/>
          </w:tcPr>
          <w:p>
            <w:pPr>
              <w:spacing w:after="0"/>
              <w:rPr>
                <w:sz w:val="12"/>
                <w:szCs w:val="12"/>
                <w:color w:val="auto"/>
              </w:rPr>
            </w:pPr>
          </w:p>
        </w:tc>
        <w:tc>
          <w:tcPr>
            <w:tcW w:w="84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92"/>
        </w:trPr>
        <w:tc>
          <w:tcPr>
            <w:tcW w:w="1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Rates</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Rates</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Dates</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Terms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87"/>
              </w:rPr>
              <w:t>Liens</w:t>
            </w: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Mortgages</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Mortgages</w:t>
            </w:r>
            <w:r>
              <w:rPr>
                <w:rFonts w:ascii="Arial" w:cs="Arial" w:eastAsia="Arial" w:hAnsi="Arial"/>
                <w:sz w:val="8"/>
                <w:szCs w:val="8"/>
                <w:b w:val="1"/>
                <w:bCs w:val="1"/>
                <w:color w:val="auto"/>
                <w:w w:val="95"/>
              </w:rPr>
              <w:t>(1)(2)</w:t>
            </w:r>
          </w:p>
        </w:tc>
        <w:tc>
          <w:tcPr>
            <w:tcW w:w="0" w:type="dxa"/>
            <w:vAlign w:val="bottom"/>
          </w:tcPr>
          <w:p>
            <w:pPr>
              <w:spacing w:after="0"/>
              <w:rPr>
                <w:sz w:val="1"/>
                <w:szCs w:val="1"/>
                <w:color w:val="auto"/>
              </w:rPr>
            </w:pPr>
          </w:p>
        </w:tc>
      </w:tr>
      <w:tr>
        <w:trPr>
          <w:trHeight w:val="190"/>
        </w:trPr>
        <w:tc>
          <w:tcPr>
            <w:tcW w:w="19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Senior Mortgages:</w:t>
            </w:r>
          </w:p>
        </w:tc>
        <w:tc>
          <w:tcPr>
            <w:tcW w:w="2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1940" w:type="dxa"/>
            <w:vAlign w:val="bottom"/>
            <w:gridSpan w:val="2"/>
          </w:tcPr>
          <w:p>
            <w:pPr>
              <w:ind w:left="40"/>
              <w:spacing w:after="0"/>
              <w:rPr>
                <w:sz w:val="20"/>
                <w:szCs w:val="20"/>
                <w:color w:val="auto"/>
              </w:rPr>
            </w:pPr>
            <w:r>
              <w:rPr>
                <w:rFonts w:ascii="Arial" w:cs="Arial" w:eastAsia="Arial" w:hAnsi="Arial"/>
                <w:sz w:val="14"/>
                <w:szCs w:val="14"/>
                <w:color w:val="auto"/>
              </w:rPr>
              <w:t>Borrower A</w:t>
            </w:r>
            <w:r>
              <w:rPr>
                <w:rFonts w:ascii="Arial" w:cs="Arial" w:eastAsia="Arial" w:hAnsi="Arial"/>
                <w:sz w:val="8"/>
                <w:szCs w:val="8"/>
                <w:color w:val="auto"/>
              </w:rPr>
              <w:t>(3)</w:t>
            </w:r>
          </w:p>
        </w:tc>
        <w:tc>
          <w:tcPr>
            <w:tcW w:w="2160" w:type="dxa"/>
            <w:vAlign w:val="bottom"/>
            <w:gridSpan w:val="2"/>
          </w:tcPr>
          <w:p>
            <w:pPr>
              <w:ind w:left="20"/>
              <w:spacing w:after="0"/>
              <w:rPr>
                <w:sz w:val="20"/>
                <w:szCs w:val="20"/>
                <w:color w:val="auto"/>
              </w:rPr>
            </w:pPr>
            <w:r>
              <w:rPr>
                <w:rFonts w:ascii="Arial" w:cs="Arial" w:eastAsia="Arial" w:hAnsi="Arial"/>
                <w:sz w:val="14"/>
                <w:szCs w:val="14"/>
                <w:color w:val="auto"/>
              </w:rPr>
              <w:t>Apartment/Residential</w:t>
            </w:r>
          </w:p>
        </w:tc>
        <w:tc>
          <w:tcPr>
            <w:tcW w:w="1460" w:type="dxa"/>
            <w:vAlign w:val="bottom"/>
            <w:gridSpan w:val="2"/>
          </w:tcPr>
          <w:p>
            <w:pPr>
              <w:ind w:left="20"/>
              <w:spacing w:after="0"/>
              <w:rPr>
                <w:sz w:val="20"/>
                <w:szCs w:val="20"/>
                <w:color w:val="auto"/>
              </w:rPr>
            </w:pPr>
            <w:r>
              <w:rPr>
                <w:rFonts w:ascii="Arial" w:cs="Arial" w:eastAsia="Arial" w:hAnsi="Arial"/>
                <w:sz w:val="14"/>
                <w:szCs w:val="14"/>
                <w:color w:val="auto"/>
              </w:rPr>
              <w:t>LIBOR + 6.75%</w:t>
            </w:r>
          </w:p>
        </w:tc>
        <w:tc>
          <w:tcPr>
            <w:tcW w:w="1460" w:type="dxa"/>
            <w:vAlign w:val="bottom"/>
            <w:gridSpan w:val="2"/>
          </w:tcPr>
          <w:p>
            <w:pPr>
              <w:ind w:left="20"/>
              <w:spacing w:after="0"/>
              <w:rPr>
                <w:sz w:val="20"/>
                <w:szCs w:val="20"/>
                <w:color w:val="auto"/>
              </w:rPr>
            </w:pPr>
            <w:r>
              <w:rPr>
                <w:rFonts w:ascii="Arial" w:cs="Arial" w:eastAsia="Arial" w:hAnsi="Arial"/>
                <w:sz w:val="14"/>
                <w:szCs w:val="14"/>
                <w:color w:val="auto"/>
              </w:rPr>
              <w:t>LIBOR + 6.75%</w:t>
            </w:r>
          </w:p>
        </w:tc>
        <w:tc>
          <w:tcPr>
            <w:tcW w:w="1120" w:type="dxa"/>
            <w:vAlign w:val="bottom"/>
            <w:gridSpan w:val="2"/>
          </w:tcPr>
          <w:p>
            <w:pPr>
              <w:ind w:left="20"/>
              <w:spacing w:after="0"/>
              <w:rPr>
                <w:sz w:val="20"/>
                <w:szCs w:val="20"/>
                <w:color w:val="auto"/>
              </w:rPr>
            </w:pPr>
            <w:r>
              <w:rPr>
                <w:rFonts w:ascii="Arial" w:cs="Arial" w:eastAsia="Arial" w:hAnsi="Arial"/>
                <w:sz w:val="14"/>
                <w:szCs w:val="14"/>
                <w:color w:val="auto"/>
              </w:rPr>
              <w:t>January 2018</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IO</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w w:val="95"/>
              </w:rPr>
              <w:t>$236,504</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237,291</w:t>
            </w:r>
          </w:p>
        </w:tc>
        <w:tc>
          <w:tcPr>
            <w:tcW w:w="0" w:type="dxa"/>
            <w:vAlign w:val="bottom"/>
          </w:tcPr>
          <w:p>
            <w:pPr>
              <w:spacing w:after="0"/>
              <w:rPr>
                <w:sz w:val="1"/>
                <w:szCs w:val="1"/>
                <w:color w:val="auto"/>
              </w:rPr>
            </w:pPr>
          </w:p>
        </w:tc>
      </w:tr>
      <w:tr>
        <w:trPr>
          <w:trHeight w:val="80"/>
        </w:trPr>
        <w:tc>
          <w:tcPr>
            <w:tcW w:w="1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9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Borrower B</w:t>
            </w: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Office</w:t>
            </w: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LIBOR + 5.25%</w:t>
            </w: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LIBOR + 5.25%</w:t>
            </w: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December 2017</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IO</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168,901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168,213</w:t>
            </w:r>
          </w:p>
        </w:tc>
        <w:tc>
          <w:tcPr>
            <w:tcW w:w="0" w:type="dxa"/>
            <w:vAlign w:val="bottom"/>
          </w:tcPr>
          <w:p>
            <w:pPr>
              <w:spacing w:after="0"/>
              <w:rPr>
                <w:sz w:val="1"/>
                <w:szCs w:val="1"/>
                <w:color w:val="auto"/>
              </w:rPr>
            </w:pPr>
          </w:p>
        </w:tc>
      </w:tr>
      <w:tr>
        <w:trPr>
          <w:trHeight w:val="80"/>
        </w:trPr>
        <w:tc>
          <w:tcPr>
            <w:tcW w:w="1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940" w:type="dxa"/>
            <w:vAlign w:val="bottom"/>
            <w:gridSpan w:val="2"/>
          </w:tcPr>
          <w:p>
            <w:pPr>
              <w:ind w:left="40"/>
              <w:spacing w:after="0"/>
              <w:rPr>
                <w:sz w:val="20"/>
                <w:szCs w:val="20"/>
                <w:color w:val="auto"/>
              </w:rPr>
            </w:pPr>
            <w:r>
              <w:rPr>
                <w:rFonts w:ascii="Arial" w:cs="Arial" w:eastAsia="Arial" w:hAnsi="Arial"/>
                <w:sz w:val="14"/>
                <w:szCs w:val="14"/>
                <w:color w:val="auto"/>
              </w:rPr>
              <w:t>Borrower C</w:t>
            </w:r>
          </w:p>
        </w:tc>
        <w:tc>
          <w:tcPr>
            <w:tcW w:w="2160" w:type="dxa"/>
            <w:vAlign w:val="bottom"/>
            <w:gridSpan w:val="2"/>
          </w:tcPr>
          <w:p>
            <w:pPr>
              <w:ind w:left="20"/>
              <w:spacing w:after="0"/>
              <w:rPr>
                <w:sz w:val="20"/>
                <w:szCs w:val="20"/>
                <w:color w:val="auto"/>
              </w:rPr>
            </w:pPr>
            <w:r>
              <w:rPr>
                <w:rFonts w:ascii="Arial" w:cs="Arial" w:eastAsia="Arial" w:hAnsi="Arial"/>
                <w:sz w:val="14"/>
                <w:szCs w:val="14"/>
                <w:color w:val="auto"/>
              </w:rPr>
              <w:t>Mixed Use/Mixed Collateral</w:t>
            </w:r>
          </w:p>
        </w:tc>
        <w:tc>
          <w:tcPr>
            <w:tcW w:w="1460" w:type="dxa"/>
            <w:vAlign w:val="bottom"/>
            <w:gridSpan w:val="2"/>
          </w:tcPr>
          <w:p>
            <w:pPr>
              <w:ind w:left="20"/>
              <w:spacing w:after="0"/>
              <w:rPr>
                <w:sz w:val="20"/>
                <w:szCs w:val="20"/>
                <w:color w:val="auto"/>
              </w:rPr>
            </w:pPr>
            <w:r>
              <w:rPr>
                <w:rFonts w:ascii="Arial" w:cs="Arial" w:eastAsia="Arial" w:hAnsi="Arial"/>
                <w:sz w:val="14"/>
                <w:szCs w:val="14"/>
                <w:color w:val="auto"/>
              </w:rPr>
              <w:t>LIBOR + 6%</w:t>
            </w:r>
          </w:p>
        </w:tc>
        <w:tc>
          <w:tcPr>
            <w:tcW w:w="1460" w:type="dxa"/>
            <w:vAlign w:val="bottom"/>
            <w:gridSpan w:val="2"/>
          </w:tcPr>
          <w:p>
            <w:pPr>
              <w:ind w:left="20"/>
              <w:spacing w:after="0"/>
              <w:rPr>
                <w:sz w:val="20"/>
                <w:szCs w:val="20"/>
                <w:color w:val="auto"/>
              </w:rPr>
            </w:pPr>
            <w:r>
              <w:rPr>
                <w:rFonts w:ascii="Arial" w:cs="Arial" w:eastAsia="Arial" w:hAnsi="Arial"/>
                <w:sz w:val="14"/>
                <w:szCs w:val="14"/>
                <w:color w:val="auto"/>
              </w:rPr>
              <w:t>LIBOR + 6%</w:t>
            </w:r>
          </w:p>
        </w:tc>
        <w:tc>
          <w:tcPr>
            <w:tcW w:w="1120" w:type="dxa"/>
            <w:vAlign w:val="bottom"/>
            <w:gridSpan w:val="2"/>
          </w:tcPr>
          <w:p>
            <w:pPr>
              <w:ind w:left="20"/>
              <w:spacing w:after="0"/>
              <w:rPr>
                <w:sz w:val="20"/>
                <w:szCs w:val="20"/>
                <w:color w:val="auto"/>
              </w:rPr>
            </w:pPr>
            <w:r>
              <w:rPr>
                <w:rFonts w:ascii="Arial" w:cs="Arial" w:eastAsia="Arial" w:hAnsi="Arial"/>
                <w:sz w:val="14"/>
                <w:szCs w:val="14"/>
                <w:color w:val="auto"/>
              </w:rPr>
              <w:t>July 2017</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IO</w:t>
            </w:r>
          </w:p>
        </w:tc>
        <w:tc>
          <w:tcPr>
            <w:tcW w:w="100" w:type="dxa"/>
            <w:vAlign w:val="bottom"/>
          </w:tcPr>
          <w:p>
            <w:pPr>
              <w:spacing w:after="0"/>
              <w:rPr>
                <w:sz w:val="16"/>
                <w:szCs w:val="16"/>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128,445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129,062</w:t>
            </w:r>
          </w:p>
        </w:tc>
        <w:tc>
          <w:tcPr>
            <w:tcW w:w="0" w:type="dxa"/>
            <w:vAlign w:val="bottom"/>
          </w:tcPr>
          <w:p>
            <w:pPr>
              <w:spacing w:after="0"/>
              <w:rPr>
                <w:sz w:val="1"/>
                <w:szCs w:val="1"/>
                <w:color w:val="auto"/>
              </w:rPr>
            </w:pPr>
          </w:p>
        </w:tc>
      </w:tr>
      <w:tr>
        <w:trPr>
          <w:trHeight w:val="80"/>
        </w:trPr>
        <w:tc>
          <w:tcPr>
            <w:tcW w:w="1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9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Borrower D</w:t>
            </w:r>
            <w:r>
              <w:rPr>
                <w:rFonts w:ascii="Arial" w:cs="Arial" w:eastAsia="Arial" w:hAnsi="Arial"/>
                <w:sz w:val="8"/>
                <w:szCs w:val="8"/>
                <w:color w:val="auto"/>
              </w:rPr>
              <w:t>(4)</w:t>
            </w: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Hotel</w:t>
            </w: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LIBOR + 6%</w:t>
            </w: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LIBOR + 6%</w:t>
            </w: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July 2018</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IO</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86,000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86,321</w:t>
            </w:r>
          </w:p>
        </w:tc>
        <w:tc>
          <w:tcPr>
            <w:tcW w:w="0" w:type="dxa"/>
            <w:vAlign w:val="bottom"/>
          </w:tcPr>
          <w:p>
            <w:pPr>
              <w:spacing w:after="0"/>
              <w:rPr>
                <w:sz w:val="1"/>
                <w:szCs w:val="1"/>
                <w:color w:val="auto"/>
              </w:rPr>
            </w:pPr>
          </w:p>
        </w:tc>
      </w:tr>
      <w:tr>
        <w:trPr>
          <w:trHeight w:val="80"/>
        </w:trPr>
        <w:tc>
          <w:tcPr>
            <w:tcW w:w="1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940" w:type="dxa"/>
            <w:vAlign w:val="bottom"/>
            <w:gridSpan w:val="2"/>
          </w:tcPr>
          <w:p>
            <w:pPr>
              <w:ind w:left="40"/>
              <w:spacing w:after="0"/>
              <w:rPr>
                <w:sz w:val="20"/>
                <w:szCs w:val="20"/>
                <w:color w:val="auto"/>
              </w:rPr>
            </w:pPr>
            <w:r>
              <w:rPr>
                <w:rFonts w:ascii="Arial" w:cs="Arial" w:eastAsia="Arial" w:hAnsi="Arial"/>
                <w:sz w:val="14"/>
                <w:szCs w:val="14"/>
                <w:color w:val="auto"/>
              </w:rPr>
              <w:t>Borrower E</w:t>
            </w:r>
          </w:p>
        </w:tc>
        <w:tc>
          <w:tcPr>
            <w:tcW w:w="2160" w:type="dxa"/>
            <w:vAlign w:val="bottom"/>
            <w:gridSpan w:val="2"/>
          </w:tcPr>
          <w:p>
            <w:pPr>
              <w:ind w:left="20"/>
              <w:spacing w:after="0"/>
              <w:rPr>
                <w:sz w:val="20"/>
                <w:szCs w:val="20"/>
                <w:color w:val="auto"/>
              </w:rPr>
            </w:pPr>
            <w:r>
              <w:rPr>
                <w:rFonts w:ascii="Arial" w:cs="Arial" w:eastAsia="Arial" w:hAnsi="Arial"/>
                <w:sz w:val="14"/>
                <w:szCs w:val="14"/>
                <w:color w:val="auto"/>
              </w:rPr>
              <w:t>Apartment/Residential</w:t>
            </w:r>
          </w:p>
        </w:tc>
        <w:tc>
          <w:tcPr>
            <w:tcW w:w="1460" w:type="dxa"/>
            <w:vAlign w:val="bottom"/>
            <w:gridSpan w:val="2"/>
          </w:tcPr>
          <w:p>
            <w:pPr>
              <w:ind w:left="20"/>
              <w:spacing w:after="0"/>
              <w:rPr>
                <w:sz w:val="20"/>
                <w:szCs w:val="20"/>
                <w:color w:val="auto"/>
              </w:rPr>
            </w:pPr>
            <w:r>
              <w:rPr>
                <w:rFonts w:ascii="Arial" w:cs="Arial" w:eastAsia="Arial" w:hAnsi="Arial"/>
                <w:sz w:val="14"/>
                <w:szCs w:val="14"/>
                <w:color w:val="auto"/>
              </w:rPr>
              <w:t>LIBOR + 8%</w:t>
            </w:r>
          </w:p>
        </w:tc>
        <w:tc>
          <w:tcPr>
            <w:tcW w:w="1460" w:type="dxa"/>
            <w:vAlign w:val="bottom"/>
            <w:gridSpan w:val="2"/>
          </w:tcPr>
          <w:p>
            <w:pPr>
              <w:ind w:left="20"/>
              <w:spacing w:after="0"/>
              <w:rPr>
                <w:sz w:val="20"/>
                <w:szCs w:val="20"/>
                <w:color w:val="auto"/>
              </w:rPr>
            </w:pPr>
            <w:r>
              <w:rPr>
                <w:rFonts w:ascii="Arial" w:cs="Arial" w:eastAsia="Arial" w:hAnsi="Arial"/>
                <w:sz w:val="14"/>
                <w:szCs w:val="14"/>
                <w:color w:val="auto"/>
              </w:rPr>
              <w:t>LIBOR + 8%</w:t>
            </w:r>
          </w:p>
        </w:tc>
        <w:tc>
          <w:tcPr>
            <w:tcW w:w="1120" w:type="dxa"/>
            <w:vAlign w:val="bottom"/>
            <w:gridSpan w:val="2"/>
          </w:tcPr>
          <w:p>
            <w:pPr>
              <w:ind w:left="20"/>
              <w:spacing w:after="0"/>
              <w:rPr>
                <w:sz w:val="20"/>
                <w:szCs w:val="20"/>
                <w:color w:val="auto"/>
              </w:rPr>
            </w:pPr>
            <w:r>
              <w:rPr>
                <w:rFonts w:ascii="Arial" w:cs="Arial" w:eastAsia="Arial" w:hAnsi="Arial"/>
                <w:sz w:val="14"/>
                <w:szCs w:val="14"/>
                <w:color w:val="auto"/>
              </w:rPr>
              <w:t>April 2018</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IO</w:t>
            </w:r>
          </w:p>
        </w:tc>
        <w:tc>
          <w:tcPr>
            <w:tcW w:w="100" w:type="dxa"/>
            <w:vAlign w:val="bottom"/>
          </w:tcPr>
          <w:p>
            <w:pPr>
              <w:spacing w:after="0"/>
              <w:rPr>
                <w:sz w:val="16"/>
                <w:szCs w:val="16"/>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57,424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56,673</w:t>
            </w:r>
          </w:p>
        </w:tc>
        <w:tc>
          <w:tcPr>
            <w:tcW w:w="0" w:type="dxa"/>
            <w:vAlign w:val="bottom"/>
          </w:tcPr>
          <w:p>
            <w:pPr>
              <w:spacing w:after="0"/>
              <w:rPr>
                <w:sz w:val="1"/>
                <w:szCs w:val="1"/>
                <w:color w:val="auto"/>
              </w:rPr>
            </w:pPr>
          </w:p>
        </w:tc>
      </w:tr>
      <w:tr>
        <w:trPr>
          <w:trHeight w:val="80"/>
        </w:trPr>
        <w:tc>
          <w:tcPr>
            <w:tcW w:w="1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9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Borrower F</w:t>
            </w:r>
            <w:r>
              <w:rPr>
                <w:rFonts w:ascii="Arial" w:cs="Arial" w:eastAsia="Arial" w:hAnsi="Arial"/>
                <w:sz w:val="8"/>
                <w:szCs w:val="8"/>
                <w:color w:val="auto"/>
              </w:rPr>
              <w:t>(5)</w:t>
            </w: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Apartment/Residential</w:t>
            </w: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LIBOR + 6.5%</w:t>
            </w: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LIBOR + 6.5%</w:t>
            </w: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November 2018</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IO</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36,860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37,004</w:t>
            </w:r>
          </w:p>
        </w:tc>
        <w:tc>
          <w:tcPr>
            <w:tcW w:w="0" w:type="dxa"/>
            <w:vAlign w:val="bottom"/>
          </w:tcPr>
          <w:p>
            <w:pPr>
              <w:spacing w:after="0"/>
              <w:rPr>
                <w:sz w:val="1"/>
                <w:szCs w:val="1"/>
                <w:color w:val="auto"/>
              </w:rPr>
            </w:pPr>
          </w:p>
        </w:tc>
      </w:tr>
      <w:tr>
        <w:trPr>
          <w:trHeight w:val="80"/>
        </w:trPr>
        <w:tc>
          <w:tcPr>
            <w:tcW w:w="1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940" w:type="dxa"/>
            <w:vAlign w:val="bottom"/>
            <w:gridSpan w:val="2"/>
          </w:tcPr>
          <w:p>
            <w:pPr>
              <w:ind w:left="180"/>
              <w:spacing w:after="0" w:line="157" w:lineRule="exact"/>
              <w:rPr>
                <w:sz w:val="20"/>
                <w:szCs w:val="20"/>
                <w:color w:val="auto"/>
              </w:rPr>
            </w:pPr>
            <w:r>
              <w:rPr>
                <w:rFonts w:ascii="Arial" w:cs="Arial" w:eastAsia="Arial" w:hAnsi="Arial"/>
                <w:sz w:val="14"/>
                <w:szCs w:val="14"/>
                <w:color w:val="auto"/>
              </w:rPr>
              <w:t>Senior mortgages</w:t>
            </w:r>
          </w:p>
        </w:tc>
        <w:tc>
          <w:tcPr>
            <w:tcW w:w="216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Apartment/Residential, Retail,</w:t>
            </w:r>
          </w:p>
        </w:tc>
        <w:tc>
          <w:tcPr>
            <w:tcW w:w="146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Fixed: 4% to 9.68%</w:t>
            </w:r>
          </w:p>
        </w:tc>
        <w:tc>
          <w:tcPr>
            <w:tcW w:w="146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Fixed: 4% to 9.68%</w:t>
            </w:r>
          </w:p>
        </w:tc>
        <w:tc>
          <w:tcPr>
            <w:tcW w:w="112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2017 to 2024</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individually &lt;3%</w:t>
            </w:r>
          </w:p>
        </w:tc>
        <w:tc>
          <w:tcPr>
            <w:tcW w:w="21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Land, Mixed Use/Mixed</w:t>
            </w:r>
          </w:p>
        </w:tc>
        <w:tc>
          <w:tcPr>
            <w:tcW w:w="14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Variable: LIBOR +</w:t>
            </w:r>
          </w:p>
        </w:tc>
        <w:tc>
          <w:tcPr>
            <w:tcW w:w="14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Variable: LIBOR +</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1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Collateral, Office, Hotel, Other</w:t>
            </w:r>
          </w:p>
        </w:tc>
        <w:tc>
          <w:tcPr>
            <w:tcW w:w="14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3% to LIBOR + 7.5%</w:t>
            </w:r>
          </w:p>
        </w:tc>
        <w:tc>
          <w:tcPr>
            <w:tcW w:w="14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3% to LIBOR + 7.5%</w:t>
            </w:r>
          </w:p>
        </w:tc>
        <w:tc>
          <w:tcPr>
            <w:tcW w:w="10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227,650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176,400</w:t>
            </w:r>
          </w:p>
        </w:tc>
        <w:tc>
          <w:tcPr>
            <w:tcW w:w="0" w:type="dxa"/>
            <w:vAlign w:val="bottom"/>
          </w:tcPr>
          <w:p>
            <w:pPr>
              <w:spacing w:after="0"/>
              <w:rPr>
                <w:sz w:val="1"/>
                <w:szCs w:val="1"/>
                <w:color w:val="auto"/>
              </w:rPr>
            </w:pPr>
          </w:p>
        </w:tc>
      </w:tr>
      <w:tr>
        <w:trPr>
          <w:trHeight w:val="256"/>
        </w:trPr>
        <w:tc>
          <w:tcPr>
            <w:tcW w:w="1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941,784</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890,964</w:t>
            </w:r>
          </w:p>
        </w:tc>
        <w:tc>
          <w:tcPr>
            <w:tcW w:w="0" w:type="dxa"/>
            <w:vAlign w:val="bottom"/>
          </w:tcPr>
          <w:p>
            <w:pPr>
              <w:spacing w:after="0"/>
              <w:rPr>
                <w:sz w:val="1"/>
                <w:szCs w:val="1"/>
                <w:color w:val="auto"/>
              </w:rPr>
            </w:pPr>
          </w:p>
        </w:tc>
      </w:tr>
      <w:tr>
        <w:trPr>
          <w:trHeight w:val="171"/>
        </w:trPr>
        <w:tc>
          <w:tcPr>
            <w:tcW w:w="1940" w:type="dxa"/>
            <w:vAlign w:val="bottom"/>
            <w:gridSpan w:val="2"/>
          </w:tcPr>
          <w:p>
            <w:pPr>
              <w:ind w:left="180"/>
              <w:spacing w:after="0"/>
              <w:rPr>
                <w:sz w:val="20"/>
                <w:szCs w:val="20"/>
                <w:color w:val="auto"/>
              </w:rPr>
            </w:pPr>
            <w:r>
              <w:rPr>
                <w:rFonts w:ascii="Arial" w:cs="Arial" w:eastAsia="Arial" w:hAnsi="Arial"/>
                <w:sz w:val="14"/>
                <w:szCs w:val="14"/>
                <w:color w:val="auto"/>
              </w:rPr>
              <w:t>Subordinate Mortgages:</w:t>
            </w: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1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57"/>
        </w:trPr>
        <w:tc>
          <w:tcPr>
            <w:tcW w:w="1940" w:type="dxa"/>
            <w:vAlign w:val="bottom"/>
            <w:gridSpan w:val="2"/>
          </w:tcPr>
          <w:p>
            <w:pPr>
              <w:ind w:left="180"/>
              <w:spacing w:after="0" w:line="157" w:lineRule="exact"/>
              <w:rPr>
                <w:sz w:val="20"/>
                <w:szCs w:val="20"/>
                <w:color w:val="auto"/>
              </w:rPr>
            </w:pPr>
            <w:r>
              <w:rPr>
                <w:rFonts w:ascii="Arial" w:cs="Arial" w:eastAsia="Arial" w:hAnsi="Arial"/>
                <w:sz w:val="14"/>
                <w:szCs w:val="14"/>
                <w:color w:val="auto"/>
              </w:rPr>
              <w:t>Subordinate mortgages</w:t>
            </w:r>
          </w:p>
        </w:tc>
        <w:tc>
          <w:tcPr>
            <w:tcW w:w="216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Retail, Hotel</w:t>
            </w:r>
          </w:p>
        </w:tc>
        <w:tc>
          <w:tcPr>
            <w:tcW w:w="146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Fixed: 6.8% to 14.0%</w:t>
            </w:r>
          </w:p>
        </w:tc>
        <w:tc>
          <w:tcPr>
            <w:tcW w:w="146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Fixed: 8.33% to</w:t>
            </w:r>
          </w:p>
        </w:tc>
        <w:tc>
          <w:tcPr>
            <w:tcW w:w="112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2017 to 2057</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94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individually &lt;3%</w:t>
            </w:r>
          </w:p>
        </w:tc>
        <w:tc>
          <w:tcPr>
            <w:tcW w:w="20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9.09%</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24,925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24,941</w:t>
            </w:r>
          </w:p>
        </w:tc>
        <w:tc>
          <w:tcPr>
            <w:tcW w:w="0" w:type="dxa"/>
            <w:vAlign w:val="bottom"/>
          </w:tcPr>
          <w:p>
            <w:pPr>
              <w:spacing w:after="0"/>
              <w:rPr>
                <w:sz w:val="1"/>
                <w:szCs w:val="1"/>
                <w:color w:val="auto"/>
              </w:rPr>
            </w:pPr>
          </w:p>
        </w:tc>
      </w:tr>
      <w:tr>
        <w:trPr>
          <w:trHeight w:val="256"/>
        </w:trPr>
        <w:tc>
          <w:tcPr>
            <w:tcW w:w="1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24,925</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24,941</w:t>
            </w:r>
          </w:p>
        </w:tc>
        <w:tc>
          <w:tcPr>
            <w:tcW w:w="0" w:type="dxa"/>
            <w:vAlign w:val="bottom"/>
          </w:tcPr>
          <w:p>
            <w:pPr>
              <w:spacing w:after="0"/>
              <w:rPr>
                <w:sz w:val="1"/>
                <w:szCs w:val="1"/>
                <w:color w:val="auto"/>
              </w:rPr>
            </w:pPr>
          </w:p>
        </w:tc>
      </w:tr>
      <w:tr>
        <w:trPr>
          <w:trHeight w:val="171"/>
        </w:trPr>
        <w:tc>
          <w:tcPr>
            <w:tcW w:w="1940" w:type="dxa"/>
            <w:vAlign w:val="bottom"/>
            <w:gridSpan w:val="2"/>
          </w:tcPr>
          <w:p>
            <w:pPr>
              <w:ind w:left="40"/>
              <w:spacing w:after="0"/>
              <w:rPr>
                <w:sz w:val="20"/>
                <w:szCs w:val="20"/>
                <w:color w:val="auto"/>
              </w:rPr>
            </w:pPr>
            <w:r>
              <w:rPr>
                <w:rFonts w:ascii="Arial" w:cs="Arial" w:eastAsia="Arial" w:hAnsi="Arial"/>
                <w:sz w:val="14"/>
                <w:szCs w:val="14"/>
                <w:color w:val="auto"/>
              </w:rPr>
              <w:t>Total mortgages</w:t>
            </w: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w w:val="95"/>
              </w:rPr>
              <w:t>$966,709</w:t>
            </w:r>
          </w:p>
        </w:tc>
        <w:tc>
          <w:tcPr>
            <w:tcW w:w="1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915,905</w:t>
            </w:r>
          </w:p>
        </w:tc>
        <w:tc>
          <w:tcPr>
            <w:tcW w:w="0" w:type="dxa"/>
            <w:vAlign w:val="bottom"/>
          </w:tcPr>
          <w:p>
            <w:pPr>
              <w:spacing w:after="0"/>
              <w:rPr>
                <w:sz w:val="1"/>
                <w:szCs w:val="1"/>
                <w:color w:val="auto"/>
              </w:rPr>
            </w:pPr>
          </w:p>
        </w:tc>
      </w:tr>
      <w:tr>
        <w:trPr>
          <w:trHeight w:val="54"/>
        </w:trPr>
        <w:tc>
          <w:tcPr>
            <w:tcW w:w="1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6042660</wp:posOffset>
            </wp:positionH>
            <wp:positionV relativeFrom="paragraph">
              <wp:posOffset>7620</wp:posOffset>
            </wp:positionV>
            <wp:extent cx="11404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6042660</wp:posOffset>
            </wp:positionH>
            <wp:positionV relativeFrom="paragraph">
              <wp:posOffset>-98425</wp:posOffset>
            </wp:positionV>
            <wp:extent cx="11404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ind w:left="420" w:hanging="412"/>
        <w:spacing w:after="0"/>
        <w:tabs>
          <w:tab w:leader="none" w:pos="4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Amounts are presented net of asset-specific reserves of $49.8 million on impaired loans. Impairment is measured using the estimated fair value of collateral, less costs to sell.</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carrying amount of mortgages approximated the federal income tax basis.</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As of December 31, 2016, included a LIBOR interest rate floor of 0.19%.</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As of December 31, 2016, included a LIBOR interest rate floor of 0.18%.</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As of December 31, 2016, included a LIBOR interest rate floor of 0.25%.</w:t>
      </w: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20"/>
          </w:cols>
          <w:pgMar w:left="240" w:top="121" w:right="339" w:bottom="1440" w:gutter="0" w:footer="0" w:header="0"/>
        </w:sectPr>
      </w:pPr>
    </w:p>
    <w:bookmarkStart w:id="124" w:name="page125"/>
    <w:bookmarkEnd w:id="124"/>
    <w:p>
      <w:pPr>
        <w:spacing w:after="0"/>
        <w:rPr>
          <w:sz w:val="20"/>
          <w:szCs w:val="20"/>
          <w:color w:val="auto"/>
        </w:rPr>
      </w:pPr>
      <w:r>
        <w:rPr>
          <w:rFonts w:ascii="Arial" w:cs="Arial" w:eastAsia="Arial" w:hAnsi="Arial"/>
          <w:sz w:val="14"/>
          <w:szCs w:val="14"/>
          <w:u w:val="single" w:color="auto"/>
          <w:color w:val="0000EE"/>
        </w:rPr>
        <w:t>Table of Contents</w:t>
      </w:r>
    </w:p>
    <w:p>
      <w:pPr>
        <w:spacing w:after="0" w:line="379"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iStar Inc.</w:t>
      </w:r>
    </w:p>
    <w:p>
      <w:pPr>
        <w:spacing w:after="0" w:line="27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Schedule IV—Mortgage Loans on Real Estate (Continued)</w:t>
      </w:r>
    </w:p>
    <w:p>
      <w:pPr>
        <w:spacing w:after="0" w:line="279"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As of December 31, 2016</w:t>
      </w:r>
    </w:p>
    <w:p>
      <w:pPr>
        <w:spacing w:after="0" w:line="27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 in thousands)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Mortgage Loans on Real Estate: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Mortgage Loans on Real Estate from January 1, 2014 to December 31, 2016</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2014</w:t>
            </w: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934,964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726,426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827,796</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Additions:</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4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New mortgage loans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237,031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476,332</w:t>
            </w:r>
          </w:p>
        </w:tc>
      </w:tr>
      <w:tr>
        <w:trPr>
          <w:trHeight w:val="243"/>
        </w:trPr>
        <w:tc>
          <w:tcPr>
            <w:tcW w:w="4020" w:type="dxa"/>
            <w:vAlign w:val="bottom"/>
          </w:tcPr>
          <w:p>
            <w:pPr>
              <w:ind w:left="160"/>
              <w:spacing w:after="0"/>
              <w:rPr>
                <w:sz w:val="20"/>
                <w:szCs w:val="20"/>
                <w:color w:val="auto"/>
              </w:rPr>
            </w:pPr>
            <w:r>
              <w:rPr>
                <w:rFonts w:ascii="Arial" w:cs="Arial" w:eastAsia="Arial" w:hAnsi="Arial"/>
                <w:sz w:val="18"/>
                <w:szCs w:val="18"/>
                <w:color w:val="auto"/>
              </w:rPr>
              <w:t>Additions under existing mortgage loans</w:t>
            </w:r>
          </w:p>
        </w:tc>
        <w:tc>
          <w:tcPr>
            <w:tcW w:w="2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165,275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92,887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13,108</w:t>
            </w:r>
          </w:p>
        </w:tc>
      </w:tr>
      <w:tr>
        <w:trPr>
          <w:trHeight w:val="27"/>
        </w:trPr>
        <w:tc>
          <w:tcPr>
            <w:tcW w:w="4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(2)</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30,694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33,080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26,156</w:t>
            </w:r>
          </w:p>
        </w:tc>
      </w:tr>
      <w:tr>
        <w:trPr>
          <w:trHeight w:val="270"/>
        </w:trPr>
        <w:tc>
          <w:tcPr>
            <w:tcW w:w="4020" w:type="dxa"/>
            <w:vAlign w:val="bottom"/>
          </w:tcPr>
          <w:p>
            <w:pPr>
              <w:ind w:left="40"/>
              <w:spacing w:after="0" w:line="270" w:lineRule="exact"/>
              <w:rPr>
                <w:sz w:val="20"/>
                <w:szCs w:val="20"/>
                <w:color w:val="auto"/>
              </w:rPr>
            </w:pPr>
            <w:r>
              <w:rPr>
                <w:rFonts w:ascii="Arial" w:cs="Arial" w:eastAsia="Arial" w:hAnsi="Arial"/>
                <w:sz w:val="18"/>
                <w:szCs w:val="18"/>
                <w:color w:val="auto"/>
              </w:rPr>
              <w:t>Deductions</w:t>
            </w:r>
            <w:r>
              <w:rPr>
                <w:rFonts w:ascii="Arial" w:cs="Arial" w:eastAsia="Arial" w:hAnsi="Arial"/>
                <w:sz w:val="25"/>
                <w:szCs w:val="25"/>
                <w:color w:val="auto"/>
                <w:vertAlign w:val="superscript"/>
              </w:rPr>
              <w:t>(3)</w:t>
            </w: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50"/>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Collections of principal</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(247,431)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(151,464)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(532,465)</w:t>
            </w:r>
          </w:p>
        </w:tc>
      </w:tr>
      <w:tr>
        <w:trPr>
          <w:trHeight w:val="243"/>
        </w:trPr>
        <w:tc>
          <w:tcPr>
            <w:tcW w:w="4020" w:type="dxa"/>
            <w:vAlign w:val="bottom"/>
          </w:tcPr>
          <w:p>
            <w:pPr>
              <w:ind w:left="180"/>
              <w:spacing w:after="0"/>
              <w:rPr>
                <w:sz w:val="20"/>
                <w:szCs w:val="20"/>
                <w:color w:val="auto"/>
              </w:rPr>
            </w:pPr>
            <w:r>
              <w:rPr>
                <w:rFonts w:ascii="Arial" w:cs="Arial" w:eastAsia="Arial" w:hAnsi="Arial"/>
                <w:sz w:val="18"/>
                <w:szCs w:val="18"/>
                <w:color w:val="auto"/>
              </w:rPr>
              <w:t>Recovery of (provision for) loan losses</w:t>
            </w:r>
          </w:p>
        </w:tc>
        <w:tc>
          <w:tcPr>
            <w:tcW w:w="2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9,747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483</w:t>
            </w:r>
          </w:p>
        </w:tc>
      </w:tr>
      <w:tr>
        <w:trPr>
          <w:trHeight w:val="27"/>
        </w:trPr>
        <w:tc>
          <w:tcPr>
            <w:tcW w:w="4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Transfers (to) from real estate and equity</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3,261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(84,912)</w:t>
            </w:r>
          </w:p>
        </w:tc>
      </w:tr>
      <w:tr>
        <w:trPr>
          <w:trHeight w:val="243"/>
        </w:trPr>
        <w:tc>
          <w:tcPr>
            <w:tcW w:w="4020" w:type="dxa"/>
            <w:vAlign w:val="bottom"/>
          </w:tcPr>
          <w:p>
            <w:pPr>
              <w:ind w:left="160"/>
              <w:spacing w:after="0"/>
              <w:rPr>
                <w:sz w:val="20"/>
                <w:szCs w:val="20"/>
                <w:color w:val="auto"/>
              </w:rPr>
            </w:pPr>
            <w:r>
              <w:rPr>
                <w:rFonts w:ascii="Arial" w:cs="Arial" w:eastAsia="Arial" w:hAnsi="Arial"/>
                <w:sz w:val="18"/>
                <w:szCs w:val="18"/>
                <w:color w:val="auto"/>
              </w:rPr>
              <w:t>Amortization of premium</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4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915,905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934,964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726,426</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-98425</wp:posOffset>
            </wp:positionV>
            <wp:extent cx="24523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ind w:left="420" w:hanging="412"/>
        <w:spacing w:after="0"/>
        <w:tabs>
          <w:tab w:leader="none" w:pos="4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Balances represent the carrying value of loans, which are net of asset specific reserves.</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63"/>
        </w:numPr>
        <w:rPr>
          <w:rFonts w:ascii="Arial" w:cs="Arial" w:eastAsia="Arial" w:hAnsi="Arial"/>
          <w:sz w:val="13"/>
          <w:szCs w:val="13"/>
          <w:color w:val="auto"/>
        </w:rPr>
      </w:pPr>
      <w:r>
        <w:rPr>
          <w:rFonts w:ascii="Arial" w:cs="Arial" w:eastAsia="Arial" w:hAnsi="Arial"/>
          <w:sz w:val="13"/>
          <w:szCs w:val="13"/>
          <w:color w:val="auto"/>
        </w:rPr>
        <w:t>Amount includes amortization of discount, deferred interest capitalized and mark-to-market adjustments resulting from changes in foreign exchange rates.</w:t>
      </w:r>
    </w:p>
    <w:p>
      <w:pPr>
        <w:spacing w:after="0" w:line="12" w:lineRule="exact"/>
        <w:rPr>
          <w:rFonts w:ascii="Arial" w:cs="Arial" w:eastAsia="Arial" w:hAnsi="Arial"/>
          <w:sz w:val="13"/>
          <w:szCs w:val="13"/>
          <w:color w:val="auto"/>
        </w:rPr>
      </w:pPr>
    </w:p>
    <w:p>
      <w:pPr>
        <w:ind w:left="420" w:hanging="412"/>
        <w:spacing w:after="0"/>
        <w:tabs>
          <w:tab w:leader="none" w:pos="420" w:val="left"/>
        </w:tabs>
        <w:numPr>
          <w:ilvl w:val="0"/>
          <w:numId w:val="63"/>
        </w:numPr>
        <w:rPr>
          <w:rFonts w:ascii="Arial" w:cs="Arial" w:eastAsia="Arial" w:hAnsi="Arial"/>
          <w:sz w:val="13"/>
          <w:szCs w:val="13"/>
          <w:color w:val="auto"/>
        </w:rPr>
      </w:pPr>
      <w:r>
        <w:rPr>
          <w:rFonts w:ascii="Arial" w:cs="Arial" w:eastAsia="Arial" w:hAnsi="Arial"/>
          <w:sz w:val="13"/>
          <w:szCs w:val="13"/>
          <w:color w:val="auto"/>
        </w:rPr>
        <w:t>Amounts are presented net of charge-offs of $10.1 million, $1.0 million and $239.6 million for the years ended December 31, 2016, 2015 and 2014, respectively.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0219"/>
          </w:cols>
          <w:pgMar w:left="240" w:top="121" w:right="1440" w:bottom="1440" w:gutter="0" w:footer="0" w:header="0"/>
        </w:sectPr>
      </w:pPr>
    </w:p>
    <w:bookmarkStart w:id="125" w:name="page126"/>
    <w:bookmarkEnd w:id="12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and Disagreements with Registered Public Accounting Firm on Accounting and Financial Disclosure</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79" w:lineRule="exact"/>
        <w:rPr>
          <w:sz w:val="20"/>
          <w:szCs w:val="20"/>
          <w:color w:val="auto"/>
        </w:rPr>
      </w:pPr>
    </w:p>
    <w:p>
      <w:pPr>
        <w:jc w:val="both"/>
        <w:ind w:firstLine="432"/>
        <w:spacing w:after="0" w:line="295" w:lineRule="auto"/>
        <w:rPr>
          <w:sz w:val="20"/>
          <w:szCs w:val="20"/>
          <w:color w:val="auto"/>
        </w:rPr>
      </w:pPr>
      <w:r>
        <w:rPr>
          <w:rFonts w:ascii="Arial" w:cs="Arial" w:eastAsia="Arial" w:hAnsi="Arial"/>
          <w:sz w:val="16"/>
          <w:szCs w:val="16"/>
          <w:b w:val="1"/>
          <w:bCs w:val="1"/>
          <w:color w:val="auto"/>
        </w:rPr>
        <w:t>Evaluation of Disclosure Controls and Procedures</w:t>
      </w:r>
      <w:r>
        <w:rPr>
          <w:rFonts w:ascii="Arial" w:cs="Arial" w:eastAsia="Arial" w:hAnsi="Arial"/>
          <w:sz w:val="16"/>
          <w:szCs w:val="16"/>
          <w:color w:val="auto"/>
        </w:rPr>
        <w:t>—The Company has established and maintains disclosure controls and procedures that are</w:t>
      </w:r>
      <w:r>
        <w:rPr>
          <w:rFonts w:ascii="Arial" w:cs="Arial" w:eastAsia="Arial" w:hAnsi="Arial"/>
          <w:sz w:val="16"/>
          <w:szCs w:val="16"/>
          <w:b w:val="1"/>
          <w:bCs w:val="1"/>
          <w:color w:val="auto"/>
        </w:rPr>
        <w:t xml:space="preserve"> </w:t>
      </w:r>
      <w:r>
        <w:rPr>
          <w:rFonts w:ascii="Arial" w:cs="Arial" w:eastAsia="Arial" w:hAnsi="Arial"/>
          <w:sz w:val="16"/>
          <w:szCs w:val="16"/>
          <w:color w:val="auto"/>
        </w:rPr>
        <w:t>designed to ensure that information required to be disclosed in the Company's Exchange Act reports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The Company has formed a disclosure committee that is responsible for considering the materiality of information and determining the disclosure obligations of the Company on a timely basis. Both the Chief Executive Officer and the Chief Financial Officer are members of the disclosure committee.</w:t>
      </w:r>
    </w:p>
    <w:p>
      <w:pPr>
        <w:spacing w:after="0" w:line="21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Based upon their evaluation as of December 31, 2016, the Chief Executive Officer and Chief Financial Officer concluded that the Company's disclosure controls and procedures (as such term is defined in Rules 13a-15(e) under the Securities and Exchange Act of 1934, as amended (the "Exchange Act")) are effective.</w:t>
      </w:r>
    </w:p>
    <w:p>
      <w:pPr>
        <w:spacing w:after="0" w:line="231"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8"/>
          <w:szCs w:val="18"/>
          <w:b w:val="1"/>
          <w:bCs w:val="1"/>
          <w:color w:val="auto"/>
        </w:rPr>
        <w:t>Management's Report on Internal Control Over Financial Reporting</w:t>
      </w:r>
      <w:r>
        <w:rPr>
          <w:rFonts w:ascii="Arial" w:cs="Arial" w:eastAsia="Arial" w:hAnsi="Arial"/>
          <w:sz w:val="18"/>
          <w:szCs w:val="18"/>
          <w:color w:val="auto"/>
        </w:rPr>
        <w:t>—Management is responsible for establishing and maintaining adequate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internal control over financial reporting, as defined in Exchange Act Rule 13a-15(f). Under the supervision and with the participation of the disclosure committee and other members of management, including the Chief Executive Officer and Chief Financial Officer, management carried out its evaluation of the effectiveness of the Company's internal control over financial reporting based on the framework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in 2013 by the Committee of Sponsoring Organizations of the Treadway Commission.</w:t>
      </w:r>
    </w:p>
    <w:p>
      <w:pPr>
        <w:spacing w:after="0" w:line="24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Based on management's assessment under the framework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management has concluded that its internal control over financial reporting was effective as of December 31, 2016.</w:t>
      </w:r>
    </w:p>
    <w:p>
      <w:pPr>
        <w:spacing w:after="0" w:line="2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Company's internal control over financial reporting as of December 31, 2016, has been audited by PricewaterhouseCoopers LLP, an independent registered public accounting firm, as stated in their report which appears on page 45.</w:t>
      </w:r>
    </w:p>
    <w:p>
      <w:pPr>
        <w:spacing w:after="0" w:line="220" w:lineRule="exact"/>
        <w:rPr>
          <w:sz w:val="20"/>
          <w:szCs w:val="20"/>
          <w:color w:val="auto"/>
        </w:rPr>
      </w:pPr>
    </w:p>
    <w:p>
      <w:pPr>
        <w:jc w:val="both"/>
        <w:ind w:right="20" w:firstLine="432"/>
        <w:spacing w:after="0" w:line="266" w:lineRule="auto"/>
        <w:rPr>
          <w:sz w:val="20"/>
          <w:szCs w:val="20"/>
          <w:color w:val="auto"/>
        </w:rPr>
      </w:pPr>
      <w:r>
        <w:rPr>
          <w:rFonts w:ascii="Arial" w:cs="Arial" w:eastAsia="Arial" w:hAnsi="Arial"/>
          <w:sz w:val="18"/>
          <w:szCs w:val="18"/>
          <w:b w:val="1"/>
          <w:bCs w:val="1"/>
          <w:color w:val="auto"/>
        </w:rPr>
        <w:t>Changes in Internal Controls Over Financial Reporting</w:t>
      </w:r>
      <w:r>
        <w:rPr>
          <w:rFonts w:ascii="Arial" w:cs="Arial" w:eastAsia="Arial" w:hAnsi="Arial"/>
          <w:sz w:val="18"/>
          <w:szCs w:val="18"/>
          <w:color w:val="auto"/>
        </w:rPr>
        <w:t>—There have been no changes during the last fiscal quarter in the Company's internal</w:t>
      </w:r>
      <w:r>
        <w:rPr>
          <w:rFonts w:ascii="Arial" w:cs="Arial" w:eastAsia="Arial" w:hAnsi="Arial"/>
          <w:sz w:val="18"/>
          <w:szCs w:val="18"/>
          <w:b w:val="1"/>
          <w:bCs w:val="1"/>
          <w:color w:val="auto"/>
        </w:rPr>
        <w:t xml:space="preserve"> </w:t>
      </w:r>
      <w:r>
        <w:rPr>
          <w:rFonts w:ascii="Arial" w:cs="Arial" w:eastAsia="Arial" w:hAnsi="Arial"/>
          <w:sz w:val="18"/>
          <w:szCs w:val="18"/>
          <w:color w:val="auto"/>
        </w:rPr>
        <w:t>controls identified in connection with the evaluation required by paragraph (d) of Exchange Act Rules 13a-15 or 15d-15 that have materially affected, or are reasonably likely to materially affect, the Company's internal control over financial reporting.</w:t>
      </w:r>
    </w:p>
    <w:p>
      <w:pPr>
        <w:spacing w:after="0" w:line="23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121" w:right="239" w:bottom="1440" w:gutter="0" w:footer="0" w:header="0"/>
        </w:sectPr>
      </w:pPr>
    </w:p>
    <w:bookmarkStart w:id="126" w:name="page127"/>
    <w:bookmarkEnd w:id="1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 of the Registrant</w:t>
      </w:r>
    </w:p>
    <w:p>
      <w:pPr>
        <w:spacing w:after="0" w:line="28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Portions of the Company's definitive proxy statement for the 2017 annual meeting of shareholders to be filed within 120 days after the close of the Company's fiscal year are incorporated herein by reference.</w:t>
      </w:r>
    </w:p>
    <w:p>
      <w:pPr>
        <w:spacing w:after="0" w:line="22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8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Portions of the Company's definitive proxy statement for the 2017 annual meeting of shareholders to be filed within 120 days after the close of the Company's fiscal year are incorporated herein by reference.</w:t>
      </w:r>
    </w:p>
    <w:p>
      <w:pPr>
        <w:spacing w:after="0" w:line="2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8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Portions of the Company's definitive proxy statement for the 2017 annual meeting of shareholders to be filed within 120 days after the close of the Company's fiscal year are incorporated herein by reference.</w:t>
      </w:r>
    </w:p>
    <w:p>
      <w:pPr>
        <w:spacing w:after="0" w:line="8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Related Transactions and Director Independence</w:t>
      </w:r>
    </w:p>
    <w:p>
      <w:pPr>
        <w:spacing w:after="0" w:line="32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Portions of the Company's definitive proxy statement for the 2017 annual meeting of shareholders to be filed within 120 days after the close of the Company's fiscal year are incorporated herein by reference.</w:t>
      </w:r>
    </w:p>
    <w:p>
      <w:pPr>
        <w:spacing w:after="0" w:line="2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Registered Public Accounting Firm Fees and Services</w:t>
      </w:r>
    </w:p>
    <w:p>
      <w:pPr>
        <w:spacing w:after="0" w:line="148"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Portions of the Company's definitive proxy statement for the 2017 annual meeting of shareholders to be filed within 120 days after the close of the Company's fiscal year are incorporated herein by reference.</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 and Reports on Form 8-K</w:t>
      </w:r>
    </w:p>
    <w:p>
      <w:pPr>
        <w:spacing w:after="0" w:line="364"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and (c) Financial statements and schedules—see Index to Financial Statements and Schedules included in Item 8.</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Exhibits—see index on following page.</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EXHIBITS</w:t>
      </w:r>
    </w:p>
    <w:p>
      <w:pPr>
        <w:sectPr>
          <w:pgSz w:w="11900" w:h="16838" w:orient="portrait"/>
          <w:cols w:equalWidth="0" w:num="1">
            <w:col w:w="11400"/>
          </w:cols>
          <w:pgMar w:left="240" w:top="122" w:right="259" w:bottom="1440" w:gutter="0" w:footer="0" w:header="0"/>
        </w:sectPr>
      </w:pPr>
    </w:p>
    <w:p>
      <w:pPr>
        <w:spacing w:after="0" w:line="329"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Number</w:t>
      </w:r>
    </w:p>
    <w:p>
      <w:pPr>
        <w:spacing w:after="0" w:line="90" w:lineRule="exact"/>
        <w:rPr>
          <w:sz w:val="20"/>
          <w:szCs w:val="20"/>
          <w:color w:val="auto"/>
        </w:rPr>
      </w:pPr>
    </w:p>
    <w:p>
      <w:pPr>
        <w:jc w:val="center"/>
        <w:ind w:left="160"/>
        <w:spacing w:after="0"/>
        <w:rPr>
          <w:sz w:val="20"/>
          <w:szCs w:val="20"/>
          <w:color w:val="auto"/>
        </w:rPr>
      </w:pPr>
      <w:r>
        <w:rPr>
          <w:rFonts w:ascii="Arial" w:cs="Arial" w:eastAsia="Arial" w:hAnsi="Arial"/>
          <w:sz w:val="16"/>
          <w:szCs w:val="16"/>
          <w:color w:val="auto"/>
        </w:rPr>
        <w:t>3.1.1</w:t>
      </w:r>
    </w:p>
    <w:p>
      <w:pPr>
        <w:spacing w:after="0" w:line="127" w:lineRule="exact"/>
        <w:rPr>
          <w:sz w:val="20"/>
          <w:szCs w:val="20"/>
          <w:color w:val="auto"/>
        </w:rPr>
      </w:pPr>
    </w:p>
    <w:p>
      <w:pPr>
        <w:jc w:val="center"/>
        <w:ind w:left="160"/>
        <w:spacing w:after="0"/>
        <w:rPr>
          <w:sz w:val="20"/>
          <w:szCs w:val="20"/>
          <w:color w:val="auto"/>
        </w:rPr>
      </w:pPr>
      <w:r>
        <w:rPr>
          <w:rFonts w:ascii="Arial" w:cs="Arial" w:eastAsia="Arial" w:hAnsi="Arial"/>
          <w:sz w:val="16"/>
          <w:szCs w:val="16"/>
          <w:color w:val="auto"/>
        </w:rPr>
        <w:t>3.2</w:t>
      </w:r>
    </w:p>
    <w:p>
      <w:pPr>
        <w:spacing w:after="0" w:line="127" w:lineRule="exact"/>
        <w:rPr>
          <w:sz w:val="20"/>
          <w:szCs w:val="20"/>
          <w:color w:val="auto"/>
        </w:rPr>
      </w:pPr>
    </w:p>
    <w:p>
      <w:pPr>
        <w:jc w:val="center"/>
        <w:ind w:left="160"/>
        <w:spacing w:after="0"/>
        <w:rPr>
          <w:sz w:val="20"/>
          <w:szCs w:val="20"/>
          <w:color w:val="auto"/>
        </w:rPr>
      </w:pPr>
      <w:r>
        <w:rPr>
          <w:rFonts w:ascii="Arial" w:cs="Arial" w:eastAsia="Arial" w:hAnsi="Arial"/>
          <w:sz w:val="16"/>
          <w:szCs w:val="16"/>
          <w:color w:val="auto"/>
        </w:rPr>
        <w:t>3.6</w:t>
      </w:r>
    </w:p>
    <w:p>
      <w:pPr>
        <w:spacing w:after="0" w:line="127" w:lineRule="exact"/>
        <w:rPr>
          <w:sz w:val="20"/>
          <w:szCs w:val="20"/>
          <w:color w:val="auto"/>
        </w:rPr>
      </w:pPr>
    </w:p>
    <w:p>
      <w:pPr>
        <w:jc w:val="center"/>
        <w:ind w:left="160"/>
        <w:spacing w:after="0"/>
        <w:rPr>
          <w:sz w:val="20"/>
          <w:szCs w:val="20"/>
          <w:color w:val="auto"/>
        </w:rPr>
      </w:pPr>
      <w:r>
        <w:rPr>
          <w:rFonts w:ascii="Arial" w:cs="Arial" w:eastAsia="Arial" w:hAnsi="Arial"/>
          <w:sz w:val="16"/>
          <w:szCs w:val="16"/>
          <w:color w:val="auto"/>
        </w:rPr>
        <w:t>3.7</w:t>
      </w:r>
    </w:p>
    <w:p>
      <w:pPr>
        <w:spacing w:after="0" w:line="127" w:lineRule="exact"/>
        <w:rPr>
          <w:sz w:val="20"/>
          <w:szCs w:val="20"/>
          <w:color w:val="auto"/>
        </w:rPr>
      </w:pPr>
    </w:p>
    <w:p>
      <w:pPr>
        <w:jc w:val="center"/>
        <w:ind w:left="160"/>
        <w:spacing w:after="0"/>
        <w:rPr>
          <w:sz w:val="20"/>
          <w:szCs w:val="20"/>
          <w:color w:val="auto"/>
        </w:rPr>
      </w:pPr>
      <w:r>
        <w:rPr>
          <w:rFonts w:ascii="Arial" w:cs="Arial" w:eastAsia="Arial" w:hAnsi="Arial"/>
          <w:sz w:val="16"/>
          <w:szCs w:val="16"/>
          <w:color w:val="auto"/>
        </w:rPr>
        <w:t>3.8</w:t>
      </w:r>
    </w:p>
    <w:p>
      <w:pPr>
        <w:spacing w:after="0" w:line="127" w:lineRule="exact"/>
        <w:rPr>
          <w:sz w:val="20"/>
          <w:szCs w:val="20"/>
          <w:color w:val="auto"/>
        </w:rPr>
      </w:pPr>
    </w:p>
    <w:p>
      <w:pPr>
        <w:jc w:val="center"/>
        <w:ind w:left="160"/>
        <w:spacing w:after="0"/>
        <w:rPr>
          <w:sz w:val="20"/>
          <w:szCs w:val="20"/>
          <w:color w:val="auto"/>
        </w:rPr>
      </w:pPr>
      <w:r>
        <w:rPr>
          <w:rFonts w:ascii="Arial" w:cs="Arial" w:eastAsia="Arial" w:hAnsi="Arial"/>
          <w:sz w:val="16"/>
          <w:szCs w:val="16"/>
          <w:color w:val="auto"/>
        </w:rPr>
        <w:t>3.9</w:t>
      </w:r>
    </w:p>
    <w:p>
      <w:pPr>
        <w:spacing w:after="0" w:line="127" w:lineRule="exact"/>
        <w:rPr>
          <w:sz w:val="20"/>
          <w:szCs w:val="20"/>
          <w:color w:val="auto"/>
        </w:rPr>
      </w:pPr>
    </w:p>
    <w:p>
      <w:pPr>
        <w:jc w:val="center"/>
        <w:ind w:left="160"/>
        <w:spacing w:after="0"/>
        <w:rPr>
          <w:sz w:val="20"/>
          <w:szCs w:val="20"/>
          <w:color w:val="auto"/>
        </w:rPr>
      </w:pPr>
      <w:r>
        <w:rPr>
          <w:rFonts w:ascii="Arial" w:cs="Arial" w:eastAsia="Arial" w:hAnsi="Arial"/>
          <w:sz w:val="16"/>
          <w:szCs w:val="16"/>
          <w:color w:val="auto"/>
        </w:rPr>
        <w:t>3.10</w:t>
      </w:r>
    </w:p>
    <w:p>
      <w:pPr>
        <w:spacing w:after="0" w:line="127" w:lineRule="exact"/>
        <w:rPr>
          <w:sz w:val="20"/>
          <w:szCs w:val="20"/>
          <w:color w:val="auto"/>
        </w:rPr>
      </w:pPr>
    </w:p>
    <w:p>
      <w:pPr>
        <w:jc w:val="center"/>
        <w:ind w:left="160"/>
        <w:spacing w:after="0"/>
        <w:rPr>
          <w:sz w:val="20"/>
          <w:szCs w:val="20"/>
          <w:color w:val="auto"/>
        </w:rPr>
      </w:pPr>
      <w:r>
        <w:rPr>
          <w:rFonts w:ascii="Arial" w:cs="Arial" w:eastAsia="Arial" w:hAnsi="Arial"/>
          <w:sz w:val="16"/>
          <w:szCs w:val="16"/>
          <w:color w:val="auto"/>
        </w:rPr>
        <w:t>4.1</w:t>
      </w:r>
    </w:p>
    <w:p>
      <w:pPr>
        <w:spacing w:after="0" w:line="127" w:lineRule="exact"/>
        <w:rPr>
          <w:sz w:val="20"/>
          <w:szCs w:val="20"/>
          <w:color w:val="auto"/>
        </w:rPr>
      </w:pPr>
    </w:p>
    <w:p>
      <w:pPr>
        <w:jc w:val="center"/>
        <w:ind w:left="160"/>
        <w:spacing w:after="0"/>
        <w:rPr>
          <w:sz w:val="20"/>
          <w:szCs w:val="20"/>
          <w:color w:val="auto"/>
        </w:rPr>
      </w:pPr>
      <w:r>
        <w:rPr>
          <w:rFonts w:ascii="Arial" w:cs="Arial" w:eastAsia="Arial" w:hAnsi="Arial"/>
          <w:sz w:val="16"/>
          <w:szCs w:val="16"/>
          <w:color w:val="auto"/>
        </w:rPr>
        <w:t>4.2</w:t>
      </w:r>
    </w:p>
    <w:p>
      <w:pPr>
        <w:spacing w:after="0" w:line="127" w:lineRule="exact"/>
        <w:rPr>
          <w:sz w:val="20"/>
          <w:szCs w:val="20"/>
          <w:color w:val="auto"/>
        </w:rPr>
      </w:pPr>
    </w:p>
    <w:p>
      <w:pPr>
        <w:jc w:val="center"/>
        <w:ind w:left="160"/>
        <w:spacing w:after="0"/>
        <w:rPr>
          <w:sz w:val="20"/>
          <w:szCs w:val="20"/>
          <w:color w:val="auto"/>
        </w:rPr>
      </w:pPr>
      <w:r>
        <w:rPr>
          <w:rFonts w:ascii="Arial" w:cs="Arial" w:eastAsia="Arial" w:hAnsi="Arial"/>
          <w:sz w:val="16"/>
          <w:szCs w:val="16"/>
          <w:color w:val="auto"/>
        </w:rPr>
        <w:t>4.3</w:t>
      </w:r>
    </w:p>
    <w:p>
      <w:pPr>
        <w:spacing w:after="0" w:line="127" w:lineRule="exact"/>
        <w:rPr>
          <w:sz w:val="20"/>
          <w:szCs w:val="20"/>
          <w:color w:val="auto"/>
        </w:rPr>
      </w:pPr>
    </w:p>
    <w:p>
      <w:pPr>
        <w:jc w:val="center"/>
        <w:ind w:left="160"/>
        <w:spacing w:after="0"/>
        <w:rPr>
          <w:sz w:val="20"/>
          <w:szCs w:val="20"/>
          <w:color w:val="auto"/>
        </w:rPr>
      </w:pPr>
      <w:r>
        <w:rPr>
          <w:rFonts w:ascii="Arial" w:cs="Arial" w:eastAsia="Arial" w:hAnsi="Arial"/>
          <w:sz w:val="16"/>
          <w:szCs w:val="16"/>
          <w:color w:val="auto"/>
        </w:rPr>
        <w:t>4.4</w:t>
      </w:r>
    </w:p>
    <w:p>
      <w:pPr>
        <w:spacing w:after="0" w:line="127" w:lineRule="exact"/>
        <w:rPr>
          <w:sz w:val="20"/>
          <w:szCs w:val="20"/>
          <w:color w:val="auto"/>
        </w:rPr>
      </w:pPr>
    </w:p>
    <w:p>
      <w:pPr>
        <w:jc w:val="center"/>
        <w:ind w:left="160"/>
        <w:spacing w:after="0"/>
        <w:rPr>
          <w:sz w:val="20"/>
          <w:szCs w:val="20"/>
          <w:color w:val="auto"/>
        </w:rPr>
      </w:pPr>
      <w:r>
        <w:rPr>
          <w:rFonts w:ascii="Arial" w:cs="Arial" w:eastAsia="Arial" w:hAnsi="Arial"/>
          <w:sz w:val="16"/>
          <w:szCs w:val="16"/>
          <w:color w:val="auto"/>
        </w:rPr>
        <w:t>4.5</w:t>
      </w:r>
    </w:p>
    <w:p>
      <w:pPr>
        <w:spacing w:after="0" w:line="127" w:lineRule="exact"/>
        <w:rPr>
          <w:sz w:val="20"/>
          <w:szCs w:val="20"/>
          <w:color w:val="auto"/>
        </w:rPr>
      </w:pPr>
    </w:p>
    <w:p>
      <w:pPr>
        <w:jc w:val="center"/>
        <w:ind w:left="160"/>
        <w:spacing w:after="0"/>
        <w:rPr>
          <w:sz w:val="20"/>
          <w:szCs w:val="20"/>
          <w:color w:val="auto"/>
        </w:rPr>
      </w:pPr>
      <w:r>
        <w:rPr>
          <w:rFonts w:ascii="Arial" w:cs="Arial" w:eastAsia="Arial" w:hAnsi="Arial"/>
          <w:sz w:val="16"/>
          <w:szCs w:val="16"/>
          <w:color w:val="auto"/>
        </w:rPr>
        <w:t>4.6</w:t>
      </w:r>
    </w:p>
    <w:p>
      <w:pPr>
        <w:spacing w:after="0" w:line="127" w:lineRule="exact"/>
        <w:rPr>
          <w:sz w:val="20"/>
          <w:szCs w:val="20"/>
          <w:color w:val="auto"/>
        </w:rPr>
      </w:pPr>
    </w:p>
    <w:p>
      <w:pPr>
        <w:jc w:val="center"/>
        <w:ind w:left="160"/>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Document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152400</wp:posOffset>
            </wp:positionV>
            <wp:extent cx="7246620" cy="2057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Restated Charter of the Company (including the Articles Supplementary for each Series of the Company's Preferred Stock).</w:t>
      </w:r>
      <w:r>
        <w:rPr>
          <w:rFonts w:ascii="Arial" w:cs="Arial" w:eastAsia="Arial" w:hAnsi="Arial"/>
          <w:sz w:val="18"/>
          <w:szCs w:val="18"/>
          <w:color w:val="auto"/>
          <w:vertAlign w:val="superscript"/>
        </w:rPr>
        <w:t>(1)</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Amended and Restated Bylaws of the Company.</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15875</wp:posOffset>
            </wp:positionV>
            <wp:extent cx="7246620" cy="1974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Articles Supplementary relating to Series E Preferred Stock.</w:t>
      </w:r>
      <w:r>
        <w:rPr>
          <w:rFonts w:ascii="Arial" w:cs="Arial" w:eastAsia="Arial" w:hAnsi="Arial"/>
          <w:sz w:val="21"/>
          <w:szCs w:val="21"/>
          <w:color w:val="auto"/>
          <w:vertAlign w:val="superscript"/>
        </w:rPr>
        <w:t>(3)</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Articles Supplementary relating to Series F Preferred Stock.</w:t>
      </w:r>
      <w:r>
        <w:rPr>
          <w:rFonts w:ascii="Arial" w:cs="Arial" w:eastAsia="Arial" w:hAnsi="Arial"/>
          <w:sz w:val="21"/>
          <w:szCs w:val="21"/>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15875</wp:posOffset>
            </wp:positionV>
            <wp:extent cx="7246620" cy="1974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Articles Supplementary relating to Series G Preferred Stock.</w:t>
      </w:r>
      <w:r>
        <w:rPr>
          <w:rFonts w:ascii="Arial" w:cs="Arial" w:eastAsia="Arial" w:hAnsi="Arial"/>
          <w:sz w:val="21"/>
          <w:szCs w:val="21"/>
          <w:color w:val="auto"/>
          <w:vertAlign w:val="superscript"/>
        </w:rPr>
        <w:t>(5)</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Articles Supplementary relating to Series I Preferred Stock.</w:t>
      </w:r>
      <w:r>
        <w:rPr>
          <w:rFonts w:ascii="Arial" w:cs="Arial" w:eastAsia="Arial" w:hAnsi="Arial"/>
          <w:sz w:val="21"/>
          <w:szCs w:val="21"/>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15875</wp:posOffset>
            </wp:positionV>
            <wp:extent cx="7246620" cy="1974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Articles Supplementary relating to Series J Preferred Stock.</w:t>
      </w:r>
      <w:r>
        <w:rPr>
          <w:rFonts w:ascii="Arial" w:cs="Arial" w:eastAsia="Arial" w:hAnsi="Arial"/>
          <w:sz w:val="21"/>
          <w:szCs w:val="21"/>
          <w:color w:val="auto"/>
          <w:vertAlign w:val="superscript"/>
        </w:rPr>
        <w:t>(7)</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Form of 77/8% Series E Cumulative Redeemable Preferred Stock Certificate.</w:t>
      </w:r>
      <w:r>
        <w:rPr>
          <w:rFonts w:ascii="Arial" w:cs="Arial" w:eastAsia="Arial" w:hAnsi="Arial"/>
          <w:sz w:val="21"/>
          <w:szCs w:val="2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15875</wp:posOffset>
            </wp:positionV>
            <wp:extent cx="7246620" cy="1974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Form of 7.8% Series F Cumulative Redeemable Preferred Stock Certificate.</w:t>
      </w:r>
      <w:r>
        <w:rPr>
          <w:rFonts w:ascii="Arial" w:cs="Arial" w:eastAsia="Arial" w:hAnsi="Arial"/>
          <w:sz w:val="21"/>
          <w:szCs w:val="21"/>
          <w:color w:val="auto"/>
          <w:vertAlign w:val="superscript"/>
        </w:rPr>
        <w:t>(8)</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Form of 7.65% Series G Cumulative Redeemable Preferred Stock Certificate.</w:t>
      </w:r>
      <w:r>
        <w:rPr>
          <w:rFonts w:ascii="Arial" w:cs="Arial" w:eastAsia="Arial" w:hAnsi="Arial"/>
          <w:sz w:val="21"/>
          <w:szCs w:val="21"/>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15875</wp:posOffset>
            </wp:positionV>
            <wp:extent cx="7246620" cy="1974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Form of 7.50% Series I Cumulative Redeemable Preferred Stock Certificate.</w:t>
      </w:r>
      <w:r>
        <w:rPr>
          <w:rFonts w:ascii="Arial" w:cs="Arial" w:eastAsia="Arial" w:hAnsi="Arial"/>
          <w:sz w:val="21"/>
          <w:szCs w:val="21"/>
          <w:color w:val="auto"/>
          <w:vertAlign w:val="superscript"/>
        </w:rPr>
        <w:t>(6)</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Form of 4.50% Series J Cumulative Convertible Perpetual Preferred Stock Certificate.</w:t>
      </w:r>
      <w:r>
        <w:rPr>
          <w:rFonts w:ascii="Arial" w:cs="Arial" w:eastAsia="Arial" w:hAnsi="Arial"/>
          <w:sz w:val="21"/>
          <w:szCs w:val="21"/>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15875</wp:posOffset>
            </wp:positionV>
            <wp:extent cx="7246620" cy="1974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Form of Stock Certificate for the Company's Common Stock.</w:t>
      </w:r>
      <w:r>
        <w:rPr>
          <w:rFonts w:ascii="Arial" w:cs="Arial" w:eastAsia="Arial" w:hAnsi="Arial"/>
          <w:sz w:val="21"/>
          <w:szCs w:val="21"/>
          <w:color w:val="auto"/>
          <w:vertAlign w:val="superscript"/>
        </w:rPr>
        <w:t>(10)</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Form of Global Note evidencing 5.85% Senior Notes due 2017 issued on March 9, 2007.</w:t>
      </w:r>
      <w:r>
        <w:rPr>
          <w:rFonts w:ascii="Arial" w:cs="Arial" w:eastAsia="Arial" w:hAnsi="Arial"/>
          <w:sz w:val="21"/>
          <w:szCs w:val="21"/>
          <w:color w:val="auto"/>
          <w:vertAlign w:val="superscript"/>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15875</wp:posOffset>
            </wp:positionV>
            <wp:extent cx="724662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2" w:lineRule="exact"/>
        <w:rPr>
          <w:sz w:val="20"/>
          <w:szCs w:val="20"/>
          <w:color w:val="auto"/>
        </w:rPr>
      </w:pPr>
    </w:p>
    <w:p>
      <w:pPr>
        <w:sectPr>
          <w:pgSz w:w="11900" w:h="16838" w:orient="portrait"/>
          <w:cols w:equalWidth="0" w:num="2">
            <w:col w:w="660" w:space="300"/>
            <w:col w:w="10440"/>
          </w:cols>
          <w:pgMar w:left="240" w:top="122" w:right="259" w:bottom="1440" w:gutter="0" w:footer="0" w:header="0"/>
          <w:type w:val="continuous"/>
        </w:sectPr>
      </w:pPr>
    </w:p>
    <w:p>
      <w:pPr>
        <w:ind w:left="320"/>
        <w:spacing w:after="0"/>
        <w:tabs>
          <w:tab w:leader="none" w:pos="940" w:val="left"/>
        </w:tabs>
        <w:rPr>
          <w:sz w:val="20"/>
          <w:szCs w:val="20"/>
          <w:color w:val="auto"/>
        </w:rPr>
      </w:pPr>
      <w:r>
        <w:rPr>
          <w:rFonts w:ascii="Arial" w:cs="Arial" w:eastAsia="Arial" w:hAnsi="Arial"/>
          <w:sz w:val="16"/>
          <w:szCs w:val="16"/>
          <w:color w:val="auto"/>
        </w:rPr>
        <w:t>4.8</w:t>
      </w:r>
      <w:r>
        <w:rPr>
          <w:sz w:val="20"/>
          <w:szCs w:val="20"/>
          <w:color w:val="auto"/>
        </w:rPr>
        <w:tab/>
      </w:r>
      <w:r>
        <w:rPr>
          <w:rFonts w:ascii="Arial" w:cs="Arial" w:eastAsia="Arial" w:hAnsi="Arial"/>
          <w:sz w:val="14"/>
          <w:szCs w:val="14"/>
          <w:color w:val="auto"/>
        </w:rPr>
        <w:t>Form of Global Note evidencing 9.0% Senior Series B Notes due 2017 issued on July 9, 2012.</w:t>
      </w:r>
      <w:r>
        <w:rPr>
          <w:rFonts w:ascii="Arial" w:cs="Arial" w:eastAsia="Arial" w:hAnsi="Arial"/>
          <w:sz w:val="18"/>
          <w:szCs w:val="18"/>
          <w:color w:val="auto"/>
          <w:vertAlign w:val="superscript"/>
        </w:rPr>
        <w:t>(12)</w:t>
      </w:r>
    </w:p>
    <w:p>
      <w:pPr>
        <w:spacing w:after="0" w:line="71"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16"/>
          <w:szCs w:val="16"/>
          <w:color w:val="auto"/>
        </w:rPr>
        <w:t>4.9</w:t>
      </w:r>
      <w:r>
        <w:rPr>
          <w:sz w:val="20"/>
          <w:szCs w:val="20"/>
          <w:color w:val="auto"/>
        </w:rPr>
        <w:tab/>
      </w:r>
      <w:r>
        <w:rPr>
          <w:rFonts w:ascii="Arial" w:cs="Arial" w:eastAsia="Arial" w:hAnsi="Arial"/>
          <w:sz w:val="14"/>
          <w:szCs w:val="14"/>
          <w:color w:val="auto"/>
        </w:rPr>
        <w:t>Form of Global Note evidencing 7.125% Senior Notes due 2018 issued on November 13, 2012.</w:t>
      </w:r>
      <w:r>
        <w:rPr>
          <w:rFonts w:ascii="Arial" w:cs="Arial" w:eastAsia="Arial" w:hAnsi="Arial"/>
          <w:sz w:val="18"/>
          <w:szCs w:val="18"/>
          <w:color w:val="auto"/>
          <w:vertAlign w:val="superscript"/>
        </w:rPr>
        <w:t>(13)</w:t>
      </w:r>
    </w:p>
    <w:p>
      <w:pPr>
        <w:sectPr>
          <w:pgSz w:w="11900" w:h="16838" w:orient="portrait"/>
          <w:cols w:equalWidth="0" w:num="1">
            <w:col w:w="11400"/>
          </w:cols>
          <w:pgMar w:left="240" w:top="122" w:right="259" w:bottom="1440" w:gutter="0" w:footer="0" w:header="0"/>
          <w:type w:val="continuous"/>
        </w:sect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123</w:t>
      </w:r>
    </w:p>
    <w:p>
      <w:pPr>
        <w:sectPr>
          <w:pgSz w:w="11900" w:h="16838" w:orient="portrait"/>
          <w:cols w:equalWidth="0" w:num="1">
            <w:col w:w="11400"/>
          </w:cols>
          <w:pgMar w:left="240" w:top="122" w:right="259" w:bottom="1440" w:gutter="0" w:footer="0" w:header="0"/>
          <w:type w:val="continuous"/>
        </w:sectPr>
      </w:pPr>
    </w:p>
    <w:bookmarkStart w:id="127" w:name="page128"/>
    <w:bookmarkEnd w:id="127"/>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246620" cy="1803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280"/>
        <w:spacing w:after="0"/>
        <w:rPr>
          <w:sz w:val="20"/>
          <w:szCs w:val="20"/>
          <w:color w:val="auto"/>
        </w:rPr>
      </w:pPr>
      <w:r>
        <w:rPr>
          <w:rFonts w:ascii="Arial" w:cs="Arial" w:eastAsia="Arial" w:hAnsi="Arial"/>
          <w:sz w:val="14"/>
          <w:szCs w:val="14"/>
          <w:color w:val="auto"/>
        </w:rPr>
        <w:t>4.10</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4.11</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4.12</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4"/>
          <w:szCs w:val="14"/>
          <w:color w:val="auto"/>
        </w:rPr>
        <w:t>4.13</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4"/>
          <w:szCs w:val="14"/>
          <w:color w:val="auto"/>
        </w:rPr>
        <w:t>4.14</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4"/>
          <w:szCs w:val="14"/>
          <w:color w:val="auto"/>
        </w:rPr>
        <w:t>4.15</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4.16</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4.17</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4.18</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4"/>
          <w:szCs w:val="14"/>
          <w:color w:val="auto"/>
        </w:rPr>
        <w:t>4.19</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4.20</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4.21</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4"/>
          <w:szCs w:val="14"/>
          <w:color w:val="auto"/>
        </w:rPr>
        <w:t>4.22</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4"/>
          <w:szCs w:val="14"/>
          <w:color w:val="auto"/>
        </w:rPr>
        <w:t>4.23</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4"/>
          <w:szCs w:val="14"/>
          <w:color w:val="auto"/>
        </w:rPr>
        <w:t>10.2</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4"/>
          <w:szCs w:val="14"/>
          <w:color w:val="auto"/>
        </w:rPr>
        <w:t>10.3</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4"/>
          <w:szCs w:val="14"/>
          <w:color w:val="auto"/>
        </w:rPr>
        <w:t>10.5</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4"/>
          <w:szCs w:val="14"/>
          <w:color w:val="auto"/>
        </w:rPr>
        <w:t>10.6</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Form of Global Note evidencing 4.875% Senior Notes due 2018 issued on May 10, 2013.</w:t>
      </w:r>
      <w:r>
        <w:rPr>
          <w:rFonts w:ascii="Arial" w:cs="Arial" w:eastAsia="Arial" w:hAnsi="Arial"/>
          <w:sz w:val="21"/>
          <w:szCs w:val="21"/>
          <w:color w:val="auto"/>
          <w:vertAlign w:val="superscript"/>
        </w:rPr>
        <w:t>(14)</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Form of Global Note, No. 1-A evidencing 4.00% Senior Notes due 2017 issued on June 13, 2014.</w:t>
      </w:r>
      <w:r>
        <w:rPr>
          <w:rFonts w:ascii="Arial" w:cs="Arial" w:eastAsia="Arial" w:hAnsi="Arial"/>
          <w:sz w:val="21"/>
          <w:szCs w:val="21"/>
          <w:color w:val="auto"/>
          <w:vertAlign w:val="superscript"/>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-635</wp:posOffset>
            </wp:positionV>
            <wp:extent cx="7246620" cy="1974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Form of Global Note, No. 1-B evidencing 4.00% Senior Notes due 2017 issued on June 13, 2014.</w:t>
      </w:r>
      <w:r>
        <w:rPr>
          <w:rFonts w:ascii="Arial" w:cs="Arial" w:eastAsia="Arial" w:hAnsi="Arial"/>
          <w:sz w:val="21"/>
          <w:szCs w:val="21"/>
          <w:color w:val="auto"/>
          <w:vertAlign w:val="superscript"/>
        </w:rPr>
        <w:t>(15)</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Form of Global Note, No. 2-A evidencing 5.00% Senior Notes due 2019 issued on June 13, 2014.</w:t>
      </w:r>
      <w:r>
        <w:rPr>
          <w:rFonts w:ascii="Arial" w:cs="Arial" w:eastAsia="Arial" w:hAnsi="Arial"/>
          <w:sz w:val="21"/>
          <w:szCs w:val="21"/>
          <w:color w:val="auto"/>
          <w:vertAlign w:val="superscript"/>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15875</wp:posOffset>
            </wp:positionV>
            <wp:extent cx="7246620" cy="1974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Form of Global Note, No. 2-B evidencing 5.00% Senior Notes due 2019 issued on June 13, 2014.</w:t>
      </w:r>
      <w:r>
        <w:rPr>
          <w:rFonts w:ascii="Arial" w:cs="Arial" w:eastAsia="Arial" w:hAnsi="Arial"/>
          <w:sz w:val="21"/>
          <w:szCs w:val="21"/>
          <w:color w:val="auto"/>
          <w:vertAlign w:val="superscript"/>
        </w:rPr>
        <w:t>(15)</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Seventeenth Supplemental Indenture, dated as of March 9, 2007, governing the 5.85% Senior Notes due 2017.</w:t>
      </w:r>
      <w:r>
        <w:rPr>
          <w:rFonts w:ascii="Arial" w:cs="Arial" w:eastAsia="Arial" w:hAnsi="Arial"/>
          <w:sz w:val="21"/>
          <w:szCs w:val="21"/>
          <w:color w:val="auto"/>
          <w:vertAlign w:val="superscript"/>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6985</wp:posOffset>
            </wp:positionV>
            <wp:extent cx="724662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Base Indenture, dated as of February 5, 2001, between the Company and State Street Bank and Trust Company.</w:t>
      </w:r>
      <w:r>
        <w:rPr>
          <w:rFonts w:ascii="Arial" w:cs="Arial" w:eastAsia="Arial" w:hAnsi="Arial"/>
          <w:sz w:val="21"/>
          <w:szCs w:val="21"/>
          <w:color w:val="auto"/>
          <w:vertAlign w:val="superscript"/>
        </w:rPr>
        <w:t>(17)</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Indenture, dated as of May 8, 2012, between the Company and U.S. Bank National Association governing the 9.0% Senior Series B Notes due 2017.</w:t>
      </w:r>
      <w:r>
        <w:rPr>
          <w:rFonts w:ascii="Arial" w:cs="Arial" w:eastAsia="Arial" w:hAnsi="Arial"/>
          <w:sz w:val="18"/>
          <w:szCs w:val="18"/>
          <w:color w:val="auto"/>
          <w:vertAlign w:val="superscript"/>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24130</wp:posOffset>
            </wp:positionV>
            <wp:extent cx="7246620" cy="1974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Form of Global Note, No. 1 evidencing 6.50% Senior Notes due 2021 issued on March 29, 2016.</w:t>
      </w:r>
      <w:r>
        <w:rPr>
          <w:rFonts w:ascii="Arial" w:cs="Arial" w:eastAsia="Arial" w:hAnsi="Arial"/>
          <w:sz w:val="21"/>
          <w:szCs w:val="21"/>
          <w:color w:val="auto"/>
          <w:vertAlign w:val="superscript"/>
        </w:rPr>
        <w:t>(19)</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Twenty-First Supplemental Indenture, dated as of November 13, 2012 governing the 7.125% Senior Notes due 2018.</w:t>
      </w:r>
      <w:r>
        <w:rPr>
          <w:rFonts w:ascii="Arial" w:cs="Arial" w:eastAsia="Arial" w:hAnsi="Arial"/>
          <w:sz w:val="21"/>
          <w:szCs w:val="21"/>
          <w:color w:val="auto"/>
          <w:vertAlign w:val="superscript"/>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-635</wp:posOffset>
            </wp:positionV>
            <wp:extent cx="7246620" cy="1803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Twenty-Fourth Supplemental Indenture, dated as of May 10, 2013, governing the 4.875% Senior Notes due 2018.</w:t>
      </w:r>
      <w:r>
        <w:rPr>
          <w:rFonts w:ascii="Arial" w:cs="Arial" w:eastAsia="Arial" w:hAnsi="Arial"/>
          <w:sz w:val="21"/>
          <w:szCs w:val="21"/>
          <w:color w:val="auto"/>
          <w:vertAlign w:val="superscript"/>
        </w:rPr>
        <w:t>(14)</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Twenty-Sixth Supplemental Indenture, dated June 13, 2014, governing the 4.00% Senior Notes due 2017.</w:t>
      </w:r>
      <w:r>
        <w:rPr>
          <w:rFonts w:ascii="Arial" w:cs="Arial" w:eastAsia="Arial" w:hAnsi="Arial"/>
          <w:sz w:val="21"/>
          <w:szCs w:val="21"/>
          <w:color w:val="auto"/>
          <w:vertAlign w:val="superscript"/>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15875</wp:posOffset>
            </wp:positionV>
            <wp:extent cx="7246620" cy="1974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Twenty-Seventh Supplemental Indenture, dated June 13, 2014, governing the 5.00% Senior Notes due 2019.</w:t>
      </w:r>
      <w:r>
        <w:rPr>
          <w:rFonts w:ascii="Arial" w:cs="Arial" w:eastAsia="Arial" w:hAnsi="Arial"/>
          <w:sz w:val="21"/>
          <w:szCs w:val="21"/>
          <w:color w:val="auto"/>
          <w:vertAlign w:val="superscript"/>
        </w:rPr>
        <w:t>(15)</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Twenty-Eighth Supplemental Indenture, dated March 23, 2016, governing the 6.50% Senior Notes due 2021.</w:t>
      </w:r>
      <w:r>
        <w:rPr>
          <w:rFonts w:ascii="Arial" w:cs="Arial" w:eastAsia="Arial" w:hAnsi="Arial"/>
          <w:sz w:val="21"/>
          <w:szCs w:val="21"/>
          <w:color w:val="auto"/>
          <w:vertAlign w:val="superscript"/>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15875</wp:posOffset>
            </wp:positionV>
            <wp:extent cx="7246620" cy="1974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iStar Inc. 2009 Long Term Incentive Compensation Plan.</w:t>
      </w:r>
      <w:r>
        <w:rPr>
          <w:rFonts w:ascii="Arial" w:cs="Arial" w:eastAsia="Arial" w:hAnsi="Arial"/>
          <w:sz w:val="21"/>
          <w:szCs w:val="21"/>
          <w:color w:val="auto"/>
          <w:vertAlign w:val="superscript"/>
        </w:rPr>
        <w:t>(20)</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iStar Inc. 2013 Performance Incentive Plan.</w:t>
      </w:r>
      <w:r>
        <w:rPr>
          <w:rFonts w:ascii="Arial" w:cs="Arial" w:eastAsia="Arial" w:hAnsi="Arial"/>
          <w:sz w:val="21"/>
          <w:szCs w:val="21"/>
          <w:color w:val="auto"/>
          <w:vertAlign w:val="superscript"/>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15875</wp:posOffset>
            </wp:positionV>
            <wp:extent cx="7246620" cy="1974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Form of Restricted Stock Unit Award Agreement.</w:t>
      </w:r>
      <w:r>
        <w:rPr>
          <w:rFonts w:ascii="Arial" w:cs="Arial" w:eastAsia="Arial" w:hAnsi="Arial"/>
          <w:sz w:val="21"/>
          <w:szCs w:val="21"/>
          <w:color w:val="auto"/>
          <w:vertAlign w:val="superscript"/>
        </w:rPr>
        <w:t>(21)</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Form of Restricted Stock Unit Award Agreement (Performance-Based Vesting).</w:t>
      </w:r>
      <w:r>
        <w:rPr>
          <w:rFonts w:ascii="Arial" w:cs="Arial" w:eastAsia="Arial" w:hAnsi="Arial"/>
          <w:sz w:val="21"/>
          <w:szCs w:val="21"/>
          <w:color w:val="auto"/>
          <w:vertAlign w:val="superscript"/>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15875</wp:posOffset>
            </wp:positionV>
            <wp:extent cx="7246620" cy="1974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Form of Award Agreement For Investment Pool.</w:t>
      </w:r>
      <w:r>
        <w:rPr>
          <w:rFonts w:ascii="Arial" w:cs="Arial" w:eastAsia="Arial" w:hAnsi="Arial"/>
          <w:sz w:val="21"/>
          <w:szCs w:val="21"/>
          <w:color w:val="auto"/>
          <w:vertAlign w:val="superscript"/>
        </w:rPr>
        <w:t>(10)</w:t>
      </w:r>
    </w:p>
    <w:p>
      <w:pPr>
        <w:spacing w:after="0" w:line="42" w:lineRule="exact"/>
        <w:rPr>
          <w:sz w:val="20"/>
          <w:szCs w:val="20"/>
          <w:color w:val="auto"/>
        </w:rPr>
      </w:pPr>
    </w:p>
    <w:p>
      <w:pPr>
        <w:sectPr>
          <w:pgSz w:w="11900" w:h="16838" w:orient="portrait"/>
          <w:cols w:equalWidth="0" w:num="2">
            <w:col w:w="560" w:space="400"/>
            <w:col w:w="1046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780" w:type="dxa"/>
            <w:vAlign w:val="bottom"/>
          </w:tcPr>
          <w:p>
            <w:pPr>
              <w:jc w:val="center"/>
              <w:spacing w:after="0"/>
              <w:rPr>
                <w:sz w:val="20"/>
                <w:szCs w:val="20"/>
                <w:color w:val="auto"/>
              </w:rPr>
            </w:pPr>
            <w:r>
              <w:rPr>
                <w:rFonts w:ascii="Arial" w:cs="Arial" w:eastAsia="Arial" w:hAnsi="Arial"/>
                <w:sz w:val="16"/>
                <w:szCs w:val="16"/>
                <w:color w:val="auto"/>
                <w:w w:val="89"/>
              </w:rPr>
              <w:t>10.8</w:t>
            </w:r>
          </w:p>
        </w:tc>
        <w:tc>
          <w:tcPr>
            <w:tcW w:w="10640" w:type="dxa"/>
            <w:vAlign w:val="bottom"/>
          </w:tcPr>
          <w:p>
            <w:pPr>
              <w:ind w:left="180"/>
              <w:spacing w:after="0"/>
              <w:rPr>
                <w:sz w:val="20"/>
                <w:szCs w:val="20"/>
                <w:color w:val="auto"/>
              </w:rPr>
            </w:pPr>
            <w:r>
              <w:rPr>
                <w:rFonts w:ascii="Arial" w:cs="Arial" w:eastAsia="Arial" w:hAnsi="Arial"/>
                <w:sz w:val="16"/>
                <w:szCs w:val="16"/>
                <w:color w:val="auto"/>
                <w:w w:val="95"/>
              </w:rPr>
              <w:t>Amended and Restated Credit Agreement, dated as of June 23, 2016, by the Company, the banks set forth therein and J.P. Morgan Chase Bank, N.A., as</w:t>
            </w:r>
          </w:p>
        </w:tc>
      </w:tr>
      <w:tr>
        <w:trPr>
          <w:trHeight w:val="266"/>
        </w:trPr>
        <w:tc>
          <w:tcPr>
            <w:tcW w:w="780" w:type="dxa"/>
            <w:vAlign w:val="bottom"/>
          </w:tcPr>
          <w:p>
            <w:pPr>
              <w:spacing w:after="0"/>
              <w:rPr>
                <w:sz w:val="23"/>
                <w:szCs w:val="23"/>
                <w:color w:val="auto"/>
              </w:rPr>
            </w:pPr>
          </w:p>
        </w:tc>
        <w:tc>
          <w:tcPr>
            <w:tcW w:w="10640" w:type="dxa"/>
            <w:vAlign w:val="bottom"/>
          </w:tcPr>
          <w:p>
            <w:pPr>
              <w:ind w:left="180"/>
              <w:spacing w:after="0"/>
              <w:rPr>
                <w:sz w:val="20"/>
                <w:szCs w:val="20"/>
                <w:color w:val="auto"/>
              </w:rPr>
            </w:pPr>
            <w:r>
              <w:rPr>
                <w:rFonts w:ascii="Arial" w:cs="Arial" w:eastAsia="Arial" w:hAnsi="Arial"/>
                <w:sz w:val="16"/>
                <w:szCs w:val="16"/>
                <w:color w:val="auto"/>
              </w:rPr>
              <w:t>administrative agent, and J.P. Morgan Chase Bank, N.A., Bank Of America, N.A. and Barclays Bank PLC as joint lead arrangers.</w:t>
            </w:r>
            <w:r>
              <w:rPr>
                <w:rFonts w:ascii="Arial" w:cs="Arial" w:eastAsia="Arial" w:hAnsi="Arial"/>
                <w:sz w:val="21"/>
                <w:szCs w:val="21"/>
                <w:color w:val="auto"/>
                <w:vertAlign w:val="superscript"/>
              </w:rPr>
              <w:t>(23)</w:t>
            </w:r>
          </w:p>
        </w:tc>
      </w:tr>
      <w:tr>
        <w:trPr>
          <w:trHeight w:val="247"/>
        </w:trPr>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10.9</w:t>
            </w:r>
          </w:p>
        </w:tc>
        <w:tc>
          <w:tcPr>
            <w:tcW w:w="106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1"/>
              </w:rPr>
              <w:t>Security Agreement, dated as of June 23, 2016, made by the Company, and the other parties thereto in favor of J.P. Morgan Chase Bank, N.A., as administrative</w:t>
            </w:r>
          </w:p>
        </w:tc>
      </w:tr>
      <w:tr>
        <w:trPr>
          <w:trHeight w:val="266"/>
        </w:trPr>
        <w:tc>
          <w:tcPr>
            <w:tcW w:w="780" w:type="dxa"/>
            <w:vAlign w:val="bottom"/>
            <w:shd w:val="clear" w:color="auto" w:fill="CCEEFF"/>
          </w:tcPr>
          <w:p>
            <w:pPr>
              <w:spacing w:after="0"/>
              <w:rPr>
                <w:sz w:val="23"/>
                <w:szCs w:val="23"/>
                <w:color w:val="auto"/>
              </w:rPr>
            </w:pPr>
          </w:p>
        </w:tc>
        <w:tc>
          <w:tcPr>
            <w:tcW w:w="106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agent.</w:t>
            </w:r>
            <w:r>
              <w:rPr>
                <w:rFonts w:ascii="Arial" w:cs="Arial" w:eastAsia="Arial" w:hAnsi="Arial"/>
                <w:sz w:val="21"/>
                <w:szCs w:val="21"/>
                <w:color w:val="auto"/>
                <w:vertAlign w:val="superscript"/>
              </w:rPr>
              <w:t>(23)</w:t>
            </w:r>
          </w:p>
        </w:tc>
      </w:tr>
      <w:tr>
        <w:trPr>
          <w:trHeight w:val="284"/>
        </w:trPr>
        <w:tc>
          <w:tcPr>
            <w:tcW w:w="780" w:type="dxa"/>
            <w:vAlign w:val="bottom"/>
          </w:tcPr>
          <w:p>
            <w:pPr>
              <w:jc w:val="center"/>
              <w:spacing w:after="0"/>
              <w:rPr>
                <w:sz w:val="20"/>
                <w:szCs w:val="20"/>
                <w:color w:val="auto"/>
              </w:rPr>
            </w:pPr>
            <w:r>
              <w:rPr>
                <w:rFonts w:ascii="Arial" w:cs="Arial" w:eastAsia="Arial" w:hAnsi="Arial"/>
                <w:sz w:val="16"/>
                <w:szCs w:val="16"/>
                <w:color w:val="auto"/>
                <w:w w:val="89"/>
              </w:rPr>
              <w:t>10.11</w:t>
            </w:r>
          </w:p>
        </w:tc>
        <w:tc>
          <w:tcPr>
            <w:tcW w:w="10640" w:type="dxa"/>
            <w:vAlign w:val="bottom"/>
          </w:tcPr>
          <w:p>
            <w:pPr>
              <w:ind w:left="180"/>
              <w:spacing w:after="0"/>
              <w:rPr>
                <w:sz w:val="20"/>
                <w:szCs w:val="20"/>
                <w:color w:val="auto"/>
              </w:rPr>
            </w:pPr>
            <w:r>
              <w:rPr>
                <w:rFonts w:ascii="Arial" w:cs="Arial" w:eastAsia="Arial" w:hAnsi="Arial"/>
                <w:sz w:val="16"/>
                <w:szCs w:val="16"/>
                <w:color w:val="auto"/>
                <w:w w:val="90"/>
              </w:rPr>
              <w:t>Credit Agreement dated as of March 27, 2015, among the Company, the other parties named therein and JPMorgan Chase Bank, N.A. as administrative agent.</w:t>
            </w:r>
            <w:r>
              <w:rPr>
                <w:rFonts w:ascii="Arial" w:cs="Arial" w:eastAsia="Arial" w:hAnsi="Arial"/>
                <w:sz w:val="21"/>
                <w:szCs w:val="21"/>
                <w:color w:val="auto"/>
                <w:w w:val="90"/>
                <w:vertAlign w:val="superscript"/>
              </w:rPr>
              <w:t>(24)</w:t>
            </w:r>
          </w:p>
        </w:tc>
      </w:tr>
      <w:tr>
        <w:trPr>
          <w:trHeight w:val="250"/>
        </w:trPr>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12.1</w:t>
            </w:r>
          </w:p>
        </w:tc>
        <w:tc>
          <w:tcPr>
            <w:tcW w:w="10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Computation of Ratio of Earnings to fixed charges and Earnings to fixed charges and preferred stock dividends.</w:t>
            </w:r>
          </w:p>
        </w:tc>
      </w:tr>
      <w:tr>
        <w:trPr>
          <w:trHeight w:val="311"/>
        </w:trPr>
        <w:tc>
          <w:tcPr>
            <w:tcW w:w="780" w:type="dxa"/>
            <w:vAlign w:val="bottom"/>
          </w:tcPr>
          <w:p>
            <w:pPr>
              <w:jc w:val="center"/>
              <w:spacing w:after="0"/>
              <w:rPr>
                <w:sz w:val="20"/>
                <w:szCs w:val="20"/>
                <w:color w:val="auto"/>
              </w:rPr>
            </w:pPr>
            <w:r>
              <w:rPr>
                <w:rFonts w:ascii="Arial" w:cs="Arial" w:eastAsia="Arial" w:hAnsi="Arial"/>
                <w:sz w:val="16"/>
                <w:szCs w:val="16"/>
                <w:color w:val="auto"/>
                <w:w w:val="89"/>
              </w:rPr>
              <w:t>14.0</w:t>
            </w:r>
          </w:p>
        </w:tc>
        <w:tc>
          <w:tcPr>
            <w:tcW w:w="10640" w:type="dxa"/>
            <w:vAlign w:val="bottom"/>
          </w:tcPr>
          <w:p>
            <w:pPr>
              <w:ind w:left="180"/>
              <w:spacing w:after="0"/>
              <w:rPr>
                <w:sz w:val="20"/>
                <w:szCs w:val="20"/>
                <w:color w:val="auto"/>
              </w:rPr>
            </w:pPr>
            <w:r>
              <w:rPr>
                <w:rFonts w:ascii="Arial" w:cs="Arial" w:eastAsia="Arial" w:hAnsi="Arial"/>
                <w:sz w:val="16"/>
                <w:szCs w:val="16"/>
                <w:color w:val="auto"/>
              </w:rPr>
              <w:t>iStar Inc. Code of Conduct.</w:t>
            </w:r>
            <w:r>
              <w:rPr>
                <w:rFonts w:ascii="Arial" w:cs="Arial" w:eastAsia="Arial" w:hAnsi="Arial"/>
                <w:sz w:val="21"/>
                <w:szCs w:val="21"/>
                <w:color w:val="auto"/>
                <w:vertAlign w:val="superscript"/>
              </w:rPr>
              <w:t>(25)</w:t>
            </w:r>
          </w:p>
        </w:tc>
      </w:tr>
      <w:tr>
        <w:trPr>
          <w:trHeight w:val="250"/>
        </w:trPr>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21.1</w:t>
            </w:r>
          </w:p>
        </w:tc>
        <w:tc>
          <w:tcPr>
            <w:tcW w:w="10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Subsidiaries of the Company.</w:t>
            </w:r>
          </w:p>
        </w:tc>
      </w:tr>
      <w:tr>
        <w:trPr>
          <w:trHeight w:val="224"/>
        </w:trPr>
        <w:tc>
          <w:tcPr>
            <w:tcW w:w="780" w:type="dxa"/>
            <w:vAlign w:val="bottom"/>
          </w:tcPr>
          <w:p>
            <w:pPr>
              <w:jc w:val="center"/>
              <w:spacing w:after="0"/>
              <w:rPr>
                <w:sz w:val="20"/>
                <w:szCs w:val="20"/>
                <w:color w:val="auto"/>
              </w:rPr>
            </w:pPr>
            <w:r>
              <w:rPr>
                <w:rFonts w:ascii="Arial" w:cs="Arial" w:eastAsia="Arial" w:hAnsi="Arial"/>
                <w:sz w:val="16"/>
                <w:szCs w:val="16"/>
                <w:color w:val="auto"/>
                <w:w w:val="89"/>
              </w:rPr>
              <w:t>23.1</w:t>
            </w:r>
          </w:p>
        </w:tc>
        <w:tc>
          <w:tcPr>
            <w:tcW w:w="10640" w:type="dxa"/>
            <w:vAlign w:val="bottom"/>
          </w:tcPr>
          <w:p>
            <w:pPr>
              <w:ind w:left="180"/>
              <w:spacing w:after="0"/>
              <w:rPr>
                <w:sz w:val="20"/>
                <w:szCs w:val="20"/>
                <w:color w:val="auto"/>
              </w:rPr>
            </w:pPr>
            <w:r>
              <w:rPr>
                <w:rFonts w:ascii="Arial" w:cs="Arial" w:eastAsia="Arial" w:hAnsi="Arial"/>
                <w:sz w:val="16"/>
                <w:szCs w:val="16"/>
                <w:color w:val="auto"/>
              </w:rPr>
              <w:t>Consent of PricewaterhouseCoopers LLP.</w:t>
            </w:r>
          </w:p>
        </w:tc>
      </w:tr>
      <w:tr>
        <w:trPr>
          <w:trHeight w:val="47"/>
        </w:trPr>
        <w:tc>
          <w:tcPr>
            <w:tcW w:w="780" w:type="dxa"/>
            <w:vAlign w:val="bottom"/>
          </w:tcPr>
          <w:p>
            <w:pPr>
              <w:spacing w:after="0"/>
              <w:rPr>
                <w:sz w:val="4"/>
                <w:szCs w:val="4"/>
                <w:color w:val="auto"/>
              </w:rPr>
            </w:pPr>
          </w:p>
        </w:tc>
        <w:tc>
          <w:tcPr>
            <w:tcW w:w="10640" w:type="dxa"/>
            <w:vAlign w:val="bottom"/>
          </w:tcPr>
          <w:p>
            <w:pPr>
              <w:spacing w:after="0"/>
              <w:rPr>
                <w:sz w:val="4"/>
                <w:szCs w:val="4"/>
                <w:color w:val="auto"/>
              </w:rPr>
            </w:pPr>
          </w:p>
        </w:tc>
      </w:tr>
      <w:tr>
        <w:trPr>
          <w:trHeight w:val="250"/>
        </w:trPr>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23.2</w:t>
            </w:r>
          </w:p>
        </w:tc>
        <w:tc>
          <w:tcPr>
            <w:tcW w:w="10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Consent of Gerson, Preston, Klein, Lips, Eisenberg &amp; Gelber, P.A.</w:t>
            </w:r>
          </w:p>
        </w:tc>
      </w:tr>
      <w:tr>
        <w:trPr>
          <w:trHeight w:val="224"/>
        </w:trPr>
        <w:tc>
          <w:tcPr>
            <w:tcW w:w="780" w:type="dxa"/>
            <w:vAlign w:val="bottom"/>
          </w:tcPr>
          <w:p>
            <w:pPr>
              <w:jc w:val="center"/>
              <w:spacing w:after="0"/>
              <w:rPr>
                <w:sz w:val="20"/>
                <w:szCs w:val="20"/>
                <w:color w:val="auto"/>
              </w:rPr>
            </w:pPr>
            <w:r>
              <w:rPr>
                <w:rFonts w:ascii="Arial" w:cs="Arial" w:eastAsia="Arial" w:hAnsi="Arial"/>
                <w:sz w:val="16"/>
                <w:szCs w:val="16"/>
                <w:color w:val="auto"/>
                <w:w w:val="89"/>
              </w:rPr>
              <w:t>31.0</w:t>
            </w:r>
          </w:p>
        </w:tc>
        <w:tc>
          <w:tcPr>
            <w:tcW w:w="10640" w:type="dxa"/>
            <w:vAlign w:val="bottom"/>
          </w:tcPr>
          <w:p>
            <w:pPr>
              <w:ind w:left="180"/>
              <w:spacing w:after="0"/>
              <w:rPr>
                <w:sz w:val="20"/>
                <w:szCs w:val="20"/>
                <w:color w:val="auto"/>
              </w:rPr>
            </w:pPr>
            <w:r>
              <w:rPr>
                <w:rFonts w:ascii="Arial" w:cs="Arial" w:eastAsia="Arial" w:hAnsi="Arial"/>
                <w:sz w:val="16"/>
                <w:szCs w:val="16"/>
                <w:color w:val="auto"/>
              </w:rPr>
              <w:t>Certifications pursuant to Section 302 of the Sarbanes-Oxley Act.</w:t>
            </w:r>
          </w:p>
        </w:tc>
      </w:tr>
      <w:tr>
        <w:trPr>
          <w:trHeight w:val="47"/>
        </w:trPr>
        <w:tc>
          <w:tcPr>
            <w:tcW w:w="780" w:type="dxa"/>
            <w:vAlign w:val="bottom"/>
          </w:tcPr>
          <w:p>
            <w:pPr>
              <w:spacing w:after="0"/>
              <w:rPr>
                <w:sz w:val="4"/>
                <w:szCs w:val="4"/>
                <w:color w:val="auto"/>
              </w:rPr>
            </w:pPr>
          </w:p>
        </w:tc>
        <w:tc>
          <w:tcPr>
            <w:tcW w:w="10640" w:type="dxa"/>
            <w:vAlign w:val="bottom"/>
          </w:tcPr>
          <w:p>
            <w:pPr>
              <w:spacing w:after="0"/>
              <w:rPr>
                <w:sz w:val="4"/>
                <w:szCs w:val="4"/>
                <w:color w:val="auto"/>
              </w:rPr>
            </w:pPr>
          </w:p>
        </w:tc>
      </w:tr>
      <w:tr>
        <w:trPr>
          <w:trHeight w:val="250"/>
        </w:trPr>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32.0</w:t>
            </w:r>
          </w:p>
        </w:tc>
        <w:tc>
          <w:tcPr>
            <w:tcW w:w="10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Certifications pursuant to Section 906 of the Sarbanes-Oxley Act.</w:t>
            </w:r>
          </w:p>
        </w:tc>
      </w:tr>
      <w:tr>
        <w:trPr>
          <w:trHeight w:val="224"/>
        </w:trPr>
        <w:tc>
          <w:tcPr>
            <w:tcW w:w="780" w:type="dxa"/>
            <w:vAlign w:val="bottom"/>
          </w:tcPr>
          <w:p>
            <w:pPr>
              <w:jc w:val="center"/>
              <w:spacing w:after="0"/>
              <w:rPr>
                <w:sz w:val="20"/>
                <w:szCs w:val="20"/>
                <w:color w:val="auto"/>
              </w:rPr>
            </w:pPr>
            <w:r>
              <w:rPr>
                <w:rFonts w:ascii="Arial" w:cs="Arial" w:eastAsia="Arial" w:hAnsi="Arial"/>
                <w:sz w:val="16"/>
                <w:szCs w:val="16"/>
                <w:color w:val="auto"/>
                <w:w w:val="89"/>
              </w:rPr>
              <w:t>99.1</w:t>
            </w:r>
          </w:p>
        </w:tc>
        <w:tc>
          <w:tcPr>
            <w:tcW w:w="10640" w:type="dxa"/>
            <w:vAlign w:val="bottom"/>
          </w:tcPr>
          <w:p>
            <w:pPr>
              <w:ind w:left="180"/>
              <w:spacing w:after="0"/>
              <w:rPr>
                <w:sz w:val="20"/>
                <w:szCs w:val="20"/>
                <w:color w:val="auto"/>
              </w:rPr>
            </w:pPr>
            <w:r>
              <w:rPr>
                <w:rFonts w:ascii="Arial" w:cs="Arial" w:eastAsia="Arial" w:hAnsi="Arial"/>
                <w:sz w:val="16"/>
                <w:szCs w:val="16"/>
                <w:color w:val="auto"/>
              </w:rPr>
              <w:t>Consolidated Financial Statements of Marina Palms, LLC and Subsidiaries for the years ended December 31, 2016, 2015 and 2014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4" w:lineRule="exact"/>
        <w:rPr>
          <w:sz w:val="20"/>
          <w:szCs w:val="20"/>
          <w:color w:val="auto"/>
        </w:rPr>
      </w:pPr>
    </w:p>
    <w:p>
      <w:pPr>
        <w:ind w:left="960" w:hanging="668"/>
        <w:spacing w:after="0"/>
        <w:tabs>
          <w:tab w:leader="none" w:pos="9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XBRL-related documents</w:t>
      </w:r>
    </w:p>
    <w:p>
      <w:pPr>
        <w:spacing w:after="0" w:line="86" w:lineRule="exact"/>
        <w:rPr>
          <w:rFonts w:ascii="Arial" w:cs="Arial" w:eastAsia="Arial" w:hAnsi="Arial"/>
          <w:sz w:val="16"/>
          <w:szCs w:val="16"/>
          <w:color w:val="auto"/>
        </w:rPr>
      </w:pPr>
    </w:p>
    <w:p>
      <w:pPr>
        <w:ind w:left="960" w:hanging="668"/>
        <w:spacing w:after="0"/>
        <w:tabs>
          <w:tab w:leader="none" w:pos="9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Interactive data file</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w:t>
      </w:r>
    </w:p>
    <w:p>
      <w:pPr>
        <w:spacing w:after="0" w:line="96" w:lineRule="exact"/>
        <w:rPr>
          <w:sz w:val="20"/>
          <w:szCs w:val="20"/>
          <w:color w:val="auto"/>
        </w:rPr>
      </w:pPr>
    </w:p>
    <w:p>
      <w:pPr>
        <w:ind w:left="420" w:hanging="398"/>
        <w:spacing w:after="0"/>
        <w:tabs>
          <w:tab w:leader="none" w:pos="4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December 15, 2016.</w:t>
      </w:r>
    </w:p>
    <w:p>
      <w:pPr>
        <w:spacing w:after="0" w:line="13" w:lineRule="exact"/>
        <w:rPr>
          <w:rFonts w:ascii="Arial" w:cs="Arial" w:eastAsia="Arial" w:hAnsi="Arial"/>
          <w:sz w:val="14"/>
          <w:szCs w:val="14"/>
          <w:color w:val="auto"/>
        </w:rPr>
      </w:pPr>
    </w:p>
    <w:p>
      <w:pPr>
        <w:ind w:left="420" w:hanging="398"/>
        <w:spacing w:after="0"/>
        <w:tabs>
          <w:tab w:leader="none" w:pos="4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October 25, 2013.</w:t>
      </w:r>
    </w:p>
    <w:p>
      <w:pPr>
        <w:spacing w:after="0" w:line="1" w:lineRule="exact"/>
        <w:rPr>
          <w:rFonts w:ascii="Arial" w:cs="Arial" w:eastAsia="Arial" w:hAnsi="Arial"/>
          <w:sz w:val="14"/>
          <w:szCs w:val="14"/>
          <w:color w:val="auto"/>
        </w:rPr>
      </w:pPr>
    </w:p>
    <w:p>
      <w:pPr>
        <w:ind w:left="420" w:hanging="398"/>
        <w:spacing w:after="0"/>
        <w:tabs>
          <w:tab w:leader="none" w:pos="4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8-A filed on July 8, 2003.</w:t>
      </w:r>
    </w:p>
    <w:p>
      <w:pPr>
        <w:spacing w:after="0" w:line="1" w:lineRule="exact"/>
        <w:rPr>
          <w:rFonts w:ascii="Arial" w:cs="Arial" w:eastAsia="Arial" w:hAnsi="Arial"/>
          <w:sz w:val="14"/>
          <w:szCs w:val="14"/>
          <w:color w:val="auto"/>
        </w:rPr>
      </w:pPr>
    </w:p>
    <w:p>
      <w:pPr>
        <w:ind w:left="420" w:hanging="398"/>
        <w:spacing w:after="0"/>
        <w:tabs>
          <w:tab w:leader="none" w:pos="4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September 30, 2003.</w:t>
      </w:r>
    </w:p>
    <w:p>
      <w:pPr>
        <w:spacing w:after="0" w:line="1" w:lineRule="exact"/>
        <w:rPr>
          <w:rFonts w:ascii="Arial" w:cs="Arial" w:eastAsia="Arial" w:hAnsi="Arial"/>
          <w:sz w:val="14"/>
          <w:szCs w:val="14"/>
          <w:color w:val="auto"/>
        </w:rPr>
      </w:pPr>
    </w:p>
    <w:p>
      <w:pPr>
        <w:ind w:left="420" w:hanging="398"/>
        <w:spacing w:after="0"/>
        <w:tabs>
          <w:tab w:leader="none" w:pos="4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8-A filed on December 10, 2003.</w:t>
      </w:r>
    </w:p>
    <w:p>
      <w:pPr>
        <w:spacing w:after="0" w:line="1" w:lineRule="exact"/>
        <w:rPr>
          <w:rFonts w:ascii="Arial" w:cs="Arial" w:eastAsia="Arial" w:hAnsi="Arial"/>
          <w:sz w:val="14"/>
          <w:szCs w:val="14"/>
          <w:color w:val="auto"/>
        </w:rPr>
      </w:pPr>
    </w:p>
    <w:p>
      <w:pPr>
        <w:ind w:left="420" w:hanging="398"/>
        <w:spacing w:after="0"/>
        <w:tabs>
          <w:tab w:leader="none" w:pos="4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8-A filed on February 27, 2004.</w:t>
      </w:r>
    </w:p>
    <w:p>
      <w:pPr>
        <w:spacing w:after="0" w:line="1" w:lineRule="exact"/>
        <w:rPr>
          <w:rFonts w:ascii="Arial" w:cs="Arial" w:eastAsia="Arial" w:hAnsi="Arial"/>
          <w:sz w:val="14"/>
          <w:szCs w:val="14"/>
          <w:color w:val="auto"/>
        </w:rPr>
      </w:pPr>
    </w:p>
    <w:p>
      <w:pPr>
        <w:ind w:left="420" w:hanging="398"/>
        <w:spacing w:after="0"/>
        <w:tabs>
          <w:tab w:leader="none" w:pos="4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March 18, 2013.</w:t>
      </w:r>
    </w:p>
    <w:p>
      <w:pPr>
        <w:spacing w:after="0" w:line="1" w:lineRule="exact"/>
        <w:rPr>
          <w:rFonts w:ascii="Arial" w:cs="Arial" w:eastAsia="Arial" w:hAnsi="Arial"/>
          <w:sz w:val="14"/>
          <w:szCs w:val="14"/>
          <w:color w:val="auto"/>
        </w:rPr>
      </w:pPr>
    </w:p>
    <w:p>
      <w:pPr>
        <w:ind w:left="420" w:hanging="398"/>
        <w:spacing w:after="0"/>
        <w:tabs>
          <w:tab w:leader="none" w:pos="4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8-A filed on September 25, 2003.</w:t>
      </w:r>
    </w:p>
    <w:p>
      <w:pPr>
        <w:spacing w:after="0" w:line="1" w:lineRule="exact"/>
        <w:rPr>
          <w:rFonts w:ascii="Arial" w:cs="Arial" w:eastAsia="Arial" w:hAnsi="Arial"/>
          <w:sz w:val="14"/>
          <w:szCs w:val="14"/>
          <w:color w:val="auto"/>
        </w:rPr>
      </w:pPr>
    </w:p>
    <w:p>
      <w:pPr>
        <w:ind w:left="420" w:hanging="398"/>
        <w:spacing w:after="0"/>
        <w:tabs>
          <w:tab w:leader="none" w:pos="4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8-A filed on March 18, 2013.</w:t>
      </w:r>
    </w:p>
    <w:p>
      <w:pPr>
        <w:spacing w:after="0" w:line="1" w:lineRule="exact"/>
        <w:rPr>
          <w:rFonts w:ascii="Arial" w:cs="Arial" w:eastAsia="Arial" w:hAnsi="Arial"/>
          <w:sz w:val="14"/>
          <w:szCs w:val="14"/>
          <w:color w:val="auto"/>
        </w:rPr>
      </w:pPr>
    </w:p>
    <w:p>
      <w:pPr>
        <w:ind w:left="420" w:hanging="398"/>
        <w:spacing w:after="0"/>
        <w:tabs>
          <w:tab w:leader="none" w:pos="4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Incorporated by reference from the Company's Annual Report on Form 10-K for the year ended December 31, 2014 filed on March 2, 2015.</w:t>
      </w:r>
    </w:p>
    <w:p>
      <w:pPr>
        <w:spacing w:after="0" w:line="1" w:lineRule="exact"/>
        <w:rPr>
          <w:rFonts w:ascii="Arial" w:cs="Arial" w:eastAsia="Arial" w:hAnsi="Arial"/>
          <w:sz w:val="14"/>
          <w:szCs w:val="14"/>
          <w:color w:val="auto"/>
        </w:rPr>
      </w:pPr>
    </w:p>
    <w:p>
      <w:pPr>
        <w:ind w:left="420" w:hanging="398"/>
        <w:spacing w:after="0"/>
        <w:tabs>
          <w:tab w:leader="none" w:pos="4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Incorporated by reference from the Company's Quarterly Report on Form 10-Q for the quarter ended March 31, 2007 filed on May 9, 2007.</w:t>
      </w:r>
    </w:p>
    <w:p>
      <w:pPr>
        <w:spacing w:after="0" w:line="1" w:lineRule="exact"/>
        <w:rPr>
          <w:rFonts w:ascii="Arial" w:cs="Arial" w:eastAsia="Arial" w:hAnsi="Arial"/>
          <w:sz w:val="14"/>
          <w:szCs w:val="14"/>
          <w:color w:val="auto"/>
        </w:rPr>
      </w:pPr>
    </w:p>
    <w:p>
      <w:pPr>
        <w:ind w:left="420" w:hanging="398"/>
        <w:spacing w:after="0"/>
        <w:tabs>
          <w:tab w:leader="none" w:pos="4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Incorporated by reference from the Company's Form S-4 Registration Statement filed on June 8, 2012.</w:t>
      </w:r>
    </w:p>
    <w:p>
      <w:pPr>
        <w:spacing w:after="0" w:line="1" w:lineRule="exact"/>
        <w:rPr>
          <w:rFonts w:ascii="Arial" w:cs="Arial" w:eastAsia="Arial" w:hAnsi="Arial"/>
          <w:sz w:val="14"/>
          <w:szCs w:val="14"/>
          <w:color w:val="auto"/>
        </w:rPr>
      </w:pPr>
    </w:p>
    <w:p>
      <w:pPr>
        <w:ind w:left="420" w:hanging="398"/>
        <w:spacing w:after="0"/>
        <w:tabs>
          <w:tab w:leader="none" w:pos="4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November 19, 2012.</w:t>
      </w:r>
    </w:p>
    <w:p>
      <w:pPr>
        <w:spacing w:after="0" w:line="1" w:lineRule="exact"/>
        <w:rPr>
          <w:rFonts w:ascii="Arial" w:cs="Arial" w:eastAsia="Arial" w:hAnsi="Arial"/>
          <w:sz w:val="14"/>
          <w:szCs w:val="14"/>
          <w:color w:val="auto"/>
        </w:rPr>
      </w:pPr>
    </w:p>
    <w:p>
      <w:pPr>
        <w:ind w:left="420" w:hanging="398"/>
        <w:spacing w:after="0"/>
        <w:tabs>
          <w:tab w:leader="none" w:pos="4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May 16, 2013.</w:t>
      </w:r>
    </w:p>
    <w:p>
      <w:pPr>
        <w:spacing w:after="0" w:line="1" w:lineRule="exact"/>
        <w:rPr>
          <w:rFonts w:ascii="Arial" w:cs="Arial" w:eastAsia="Arial" w:hAnsi="Arial"/>
          <w:sz w:val="14"/>
          <w:szCs w:val="14"/>
          <w:color w:val="auto"/>
        </w:rPr>
      </w:pPr>
    </w:p>
    <w:p>
      <w:pPr>
        <w:ind w:left="420" w:hanging="398"/>
        <w:spacing w:after="0"/>
        <w:tabs>
          <w:tab w:leader="none" w:pos="4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June 13, 2014.</w:t>
      </w:r>
    </w:p>
    <w:p>
      <w:pPr>
        <w:sectPr>
          <w:pgSz w:w="11900" w:h="16838" w:orient="portrait"/>
          <w:cols w:equalWidth="0" w:num="1">
            <w:col w:w="11420"/>
          </w:cols>
          <w:pgMar w:left="240" w:top="121" w:right="239" w:bottom="1440" w:gutter="0" w:footer="0" w:header="0"/>
          <w:type w:val="continuous"/>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124</w:t>
      </w:r>
    </w:p>
    <w:p>
      <w:pPr>
        <w:sectPr>
          <w:pgSz w:w="11900" w:h="16838" w:orient="portrait"/>
          <w:cols w:equalWidth="0" w:num="1">
            <w:col w:w="11420"/>
          </w:cols>
          <w:pgMar w:left="240" w:top="121" w:right="239" w:bottom="1440" w:gutter="0" w:footer="0" w:header="0"/>
          <w:type w:val="continuous"/>
        </w:sectPr>
      </w:pPr>
    </w:p>
    <w:bookmarkStart w:id="128" w:name="page129"/>
    <w:bookmarkEnd w:id="1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3" w:lineRule="exact"/>
        <w:rPr>
          <w:sz w:val="20"/>
          <w:szCs w:val="20"/>
          <w:color w:val="auto"/>
        </w:rPr>
      </w:pPr>
    </w:p>
    <w:p>
      <w:pPr>
        <w:ind w:left="420" w:hanging="398"/>
        <w:spacing w:after="0"/>
        <w:tabs>
          <w:tab w:leader="none" w:pos="420" w:val="left"/>
        </w:tabs>
        <w:numPr>
          <w:ilvl w:val="1"/>
          <w:numId w:val="67"/>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March 15, 2007.</w:t>
      </w:r>
    </w:p>
    <w:p>
      <w:pPr>
        <w:spacing w:after="0" w:line="13" w:lineRule="exact"/>
        <w:rPr>
          <w:rFonts w:ascii="Arial" w:cs="Arial" w:eastAsia="Arial" w:hAnsi="Arial"/>
          <w:sz w:val="14"/>
          <w:szCs w:val="14"/>
          <w:color w:val="auto"/>
        </w:rPr>
      </w:pPr>
    </w:p>
    <w:p>
      <w:pPr>
        <w:ind w:left="420" w:hanging="398"/>
        <w:spacing w:after="0"/>
        <w:tabs>
          <w:tab w:leader="none" w:pos="420" w:val="left"/>
        </w:tabs>
        <w:numPr>
          <w:ilvl w:val="1"/>
          <w:numId w:val="67"/>
        </w:numPr>
        <w:rPr>
          <w:rFonts w:ascii="Arial" w:cs="Arial" w:eastAsia="Arial" w:hAnsi="Arial"/>
          <w:sz w:val="14"/>
          <w:szCs w:val="14"/>
          <w:color w:val="auto"/>
        </w:rPr>
      </w:pPr>
      <w:r>
        <w:rPr>
          <w:rFonts w:ascii="Arial" w:cs="Arial" w:eastAsia="Arial" w:hAnsi="Arial"/>
          <w:sz w:val="14"/>
          <w:szCs w:val="14"/>
          <w:color w:val="auto"/>
        </w:rPr>
        <w:t>Incorporated by reference from the Company's Form S-3 Registration Statement filed on February 12, 2001.</w:t>
      </w:r>
    </w:p>
    <w:p>
      <w:pPr>
        <w:spacing w:after="0" w:line="1" w:lineRule="exact"/>
        <w:rPr>
          <w:rFonts w:ascii="Arial" w:cs="Arial" w:eastAsia="Arial" w:hAnsi="Arial"/>
          <w:sz w:val="14"/>
          <w:szCs w:val="14"/>
          <w:color w:val="auto"/>
        </w:rPr>
      </w:pPr>
    </w:p>
    <w:p>
      <w:pPr>
        <w:ind w:left="420" w:hanging="398"/>
        <w:spacing w:after="0"/>
        <w:tabs>
          <w:tab w:leader="none" w:pos="420" w:val="left"/>
        </w:tabs>
        <w:numPr>
          <w:ilvl w:val="1"/>
          <w:numId w:val="67"/>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May 11, 2012.</w:t>
      </w:r>
    </w:p>
    <w:p>
      <w:pPr>
        <w:spacing w:after="0" w:line="1" w:lineRule="exact"/>
        <w:rPr>
          <w:rFonts w:ascii="Arial" w:cs="Arial" w:eastAsia="Arial" w:hAnsi="Arial"/>
          <w:sz w:val="14"/>
          <w:szCs w:val="14"/>
          <w:color w:val="auto"/>
        </w:rPr>
      </w:pPr>
    </w:p>
    <w:p>
      <w:pPr>
        <w:ind w:left="420" w:hanging="398"/>
        <w:spacing w:after="0"/>
        <w:tabs>
          <w:tab w:leader="none" w:pos="420" w:val="left"/>
        </w:tabs>
        <w:numPr>
          <w:ilvl w:val="1"/>
          <w:numId w:val="67"/>
        </w:numPr>
        <w:rPr>
          <w:rFonts w:ascii="Arial" w:cs="Arial" w:eastAsia="Arial" w:hAnsi="Arial"/>
          <w:sz w:val="14"/>
          <w:szCs w:val="14"/>
          <w:color w:val="auto"/>
        </w:rPr>
      </w:pPr>
      <w:r>
        <w:rPr>
          <w:rFonts w:ascii="Arial" w:cs="Arial" w:eastAsia="Arial" w:hAnsi="Arial"/>
          <w:sz w:val="14"/>
          <w:szCs w:val="14"/>
          <w:color w:val="auto"/>
        </w:rPr>
        <w:t>Incorporated by reference to the Company's Current Report on Form 8-K filed on March 29, 2016.</w:t>
      </w:r>
    </w:p>
    <w:p>
      <w:pPr>
        <w:spacing w:after="0" w:line="1" w:lineRule="exact"/>
        <w:rPr>
          <w:rFonts w:ascii="Arial" w:cs="Arial" w:eastAsia="Arial" w:hAnsi="Arial"/>
          <w:sz w:val="14"/>
          <w:szCs w:val="14"/>
          <w:color w:val="auto"/>
        </w:rPr>
      </w:pPr>
    </w:p>
    <w:p>
      <w:pPr>
        <w:ind w:left="420" w:hanging="398"/>
        <w:spacing w:after="0"/>
        <w:tabs>
          <w:tab w:leader="none" w:pos="420" w:val="left"/>
        </w:tabs>
        <w:numPr>
          <w:ilvl w:val="1"/>
          <w:numId w:val="67"/>
        </w:numPr>
        <w:rPr>
          <w:rFonts w:ascii="Arial" w:cs="Arial" w:eastAsia="Arial" w:hAnsi="Arial"/>
          <w:sz w:val="14"/>
          <w:szCs w:val="14"/>
          <w:color w:val="auto"/>
        </w:rPr>
      </w:pPr>
      <w:r>
        <w:rPr>
          <w:rFonts w:ascii="Arial" w:cs="Arial" w:eastAsia="Arial" w:hAnsi="Arial"/>
          <w:sz w:val="14"/>
          <w:szCs w:val="14"/>
          <w:color w:val="auto"/>
        </w:rPr>
        <w:t>Incorporated by reference from the Company's Definitive Proxy Statement filed on April 11, 2014.</w:t>
      </w:r>
    </w:p>
    <w:p>
      <w:pPr>
        <w:spacing w:after="0" w:line="1" w:lineRule="exact"/>
        <w:rPr>
          <w:rFonts w:ascii="Arial" w:cs="Arial" w:eastAsia="Arial" w:hAnsi="Arial"/>
          <w:sz w:val="14"/>
          <w:szCs w:val="14"/>
          <w:color w:val="auto"/>
        </w:rPr>
      </w:pPr>
    </w:p>
    <w:p>
      <w:pPr>
        <w:ind w:left="420" w:hanging="398"/>
        <w:spacing w:after="0"/>
        <w:tabs>
          <w:tab w:leader="none" w:pos="420" w:val="left"/>
        </w:tabs>
        <w:numPr>
          <w:ilvl w:val="1"/>
          <w:numId w:val="67"/>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January 25, 2007.</w:t>
      </w:r>
    </w:p>
    <w:p>
      <w:pPr>
        <w:spacing w:after="0" w:line="1" w:lineRule="exact"/>
        <w:rPr>
          <w:rFonts w:ascii="Arial" w:cs="Arial" w:eastAsia="Arial" w:hAnsi="Arial"/>
          <w:sz w:val="14"/>
          <w:szCs w:val="14"/>
          <w:color w:val="auto"/>
        </w:rPr>
      </w:pPr>
    </w:p>
    <w:p>
      <w:pPr>
        <w:ind w:left="420" w:hanging="398"/>
        <w:spacing w:after="0"/>
        <w:tabs>
          <w:tab w:leader="none" w:pos="420" w:val="left"/>
        </w:tabs>
        <w:numPr>
          <w:ilvl w:val="1"/>
          <w:numId w:val="67"/>
        </w:numPr>
        <w:rPr>
          <w:rFonts w:ascii="Arial" w:cs="Arial" w:eastAsia="Arial" w:hAnsi="Arial"/>
          <w:sz w:val="14"/>
          <w:szCs w:val="14"/>
          <w:color w:val="auto"/>
        </w:rPr>
      </w:pPr>
      <w:r>
        <w:rPr>
          <w:rFonts w:ascii="Arial" w:cs="Arial" w:eastAsia="Arial" w:hAnsi="Arial"/>
          <w:sz w:val="14"/>
          <w:szCs w:val="14"/>
          <w:color w:val="auto"/>
        </w:rPr>
        <w:t>Incorporated by reference from the Company's Quarterly Report on Form 10-Q for the quarter ended March 31, 2008 filed on May 9, 2008.</w:t>
      </w:r>
    </w:p>
    <w:p>
      <w:pPr>
        <w:spacing w:after="0" w:line="1" w:lineRule="exact"/>
        <w:rPr>
          <w:rFonts w:ascii="Arial" w:cs="Arial" w:eastAsia="Arial" w:hAnsi="Arial"/>
          <w:sz w:val="14"/>
          <w:szCs w:val="14"/>
          <w:color w:val="auto"/>
        </w:rPr>
      </w:pPr>
    </w:p>
    <w:p>
      <w:pPr>
        <w:ind w:left="420" w:hanging="398"/>
        <w:spacing w:after="0"/>
        <w:tabs>
          <w:tab w:leader="none" w:pos="420" w:val="left"/>
        </w:tabs>
        <w:numPr>
          <w:ilvl w:val="1"/>
          <w:numId w:val="67"/>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June 29, 2016.</w:t>
      </w:r>
    </w:p>
    <w:p>
      <w:pPr>
        <w:spacing w:after="0" w:line="1" w:lineRule="exact"/>
        <w:rPr>
          <w:rFonts w:ascii="Arial" w:cs="Arial" w:eastAsia="Arial" w:hAnsi="Arial"/>
          <w:sz w:val="14"/>
          <w:szCs w:val="14"/>
          <w:color w:val="auto"/>
        </w:rPr>
      </w:pPr>
    </w:p>
    <w:p>
      <w:pPr>
        <w:ind w:left="420" w:hanging="398"/>
        <w:spacing w:after="0"/>
        <w:tabs>
          <w:tab w:leader="none" w:pos="420" w:val="left"/>
        </w:tabs>
        <w:numPr>
          <w:ilvl w:val="1"/>
          <w:numId w:val="67"/>
        </w:numPr>
        <w:rPr>
          <w:rFonts w:ascii="Arial" w:cs="Arial" w:eastAsia="Arial" w:hAnsi="Arial"/>
          <w:sz w:val="14"/>
          <w:szCs w:val="14"/>
          <w:color w:val="auto"/>
        </w:rPr>
      </w:pPr>
      <w:r>
        <w:rPr>
          <w:rFonts w:ascii="Arial" w:cs="Arial" w:eastAsia="Arial" w:hAnsi="Arial"/>
          <w:sz w:val="14"/>
          <w:szCs w:val="14"/>
          <w:color w:val="auto"/>
        </w:rPr>
        <w:t>Incorporated by reference from the Company's Quarterly Report on Form 10-Q for the quarter ended March 31, 2015 filed on May 4, 2015.</w:t>
      </w:r>
    </w:p>
    <w:p>
      <w:pPr>
        <w:spacing w:after="0" w:line="1" w:lineRule="exact"/>
        <w:rPr>
          <w:rFonts w:ascii="Arial" w:cs="Arial" w:eastAsia="Arial" w:hAnsi="Arial"/>
          <w:sz w:val="14"/>
          <w:szCs w:val="14"/>
          <w:color w:val="auto"/>
        </w:rPr>
      </w:pPr>
    </w:p>
    <w:p>
      <w:pPr>
        <w:ind w:left="420" w:hanging="398"/>
        <w:spacing w:after="0"/>
        <w:tabs>
          <w:tab w:leader="none" w:pos="420" w:val="left"/>
        </w:tabs>
        <w:numPr>
          <w:ilvl w:val="1"/>
          <w:numId w:val="67"/>
        </w:numPr>
        <w:rPr>
          <w:rFonts w:ascii="Arial" w:cs="Arial" w:eastAsia="Arial" w:hAnsi="Arial"/>
          <w:sz w:val="14"/>
          <w:szCs w:val="14"/>
          <w:color w:val="auto"/>
        </w:rPr>
      </w:pPr>
      <w:r>
        <w:rPr>
          <w:rFonts w:ascii="Arial" w:cs="Arial" w:eastAsia="Arial" w:hAnsi="Arial"/>
          <w:sz w:val="14"/>
          <w:szCs w:val="14"/>
          <w:color w:val="auto"/>
        </w:rPr>
        <w:t>Incorporated by reference from the Company's Annual Report on Form 10-K for the year ended December 31, 2004 filed on March 16, 2005.</w:t>
      </w:r>
    </w:p>
    <w:p>
      <w:pPr>
        <w:spacing w:after="0" w:line="124" w:lineRule="exact"/>
        <w:rPr>
          <w:rFonts w:ascii="Arial" w:cs="Arial" w:eastAsia="Arial" w:hAnsi="Arial"/>
          <w:sz w:val="14"/>
          <w:szCs w:val="14"/>
          <w:color w:val="auto"/>
        </w:rPr>
      </w:pPr>
    </w:p>
    <w:p>
      <w:pPr>
        <w:spacing w:after="0" w:line="273" w:lineRule="auto"/>
        <w:rPr>
          <w:rFonts w:ascii="Arial" w:cs="Arial" w:eastAsia="Arial" w:hAnsi="Arial"/>
          <w:sz w:val="14"/>
          <w:szCs w:val="14"/>
          <w:color w:val="auto"/>
        </w:rPr>
      </w:pPr>
      <w:r>
        <w:rPr>
          <w:rFonts w:ascii="Arial" w:cs="Arial" w:eastAsia="Arial" w:hAnsi="Arial"/>
          <w:sz w:val="14"/>
          <w:szCs w:val="14"/>
          <w:color w:val="auto"/>
        </w:rPr>
        <w:t>* In accordance with Rule 406T of Regulation S-T, the XBRL related information in Exhibit 101 is deemed not filed or part of a registration statement or prospectus for purposes of sections 11 or 12 of the Securities Act of 1933, is deemed not filed for purposes of section 18 of the Exchange Act of 1934 and otherwise is not subject to liability under these sections.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121" w:right="239" w:bottom="1440" w:gutter="0" w:footer="0" w:header="0"/>
        </w:sectPr>
      </w:pPr>
    </w:p>
    <w:bookmarkStart w:id="129" w:name="page130"/>
    <w:bookmarkEnd w:id="1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5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iStar Inc.</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i w:val="1"/>
          <w:iCs w:val="1"/>
          <w:color w:val="auto"/>
        </w:rPr>
        <w:t>Registrant</w:t>
      </w:r>
    </w:p>
    <w:p>
      <w:pPr>
        <w:spacing w:after="0" w:line="49" w:lineRule="exact"/>
        <w:rPr>
          <w:sz w:val="20"/>
          <w:szCs w:val="20"/>
          <w:color w:val="auto"/>
        </w:rPr>
      </w:pPr>
    </w:p>
    <w:p>
      <w:pPr>
        <w:ind w:left="280"/>
        <w:spacing w:after="0"/>
        <w:tabs>
          <w:tab w:leader="none" w:pos="7860" w:val="left"/>
        </w:tabs>
        <w:rPr>
          <w:sz w:val="20"/>
          <w:szCs w:val="20"/>
          <w:color w:val="auto"/>
        </w:rPr>
      </w:pPr>
      <w:r>
        <w:rPr>
          <w:rFonts w:ascii="Arial" w:cs="Arial" w:eastAsia="Arial" w:hAnsi="Arial"/>
          <w:sz w:val="18"/>
          <w:szCs w:val="18"/>
          <w:color w:val="auto"/>
        </w:rPr>
        <w:t>Date: February 24, 2017</w:t>
      </w:r>
      <w:r>
        <w:rPr>
          <w:sz w:val="20"/>
          <w:szCs w:val="20"/>
          <w:color w:val="auto"/>
        </w:rPr>
        <w:tab/>
      </w:r>
      <w:r>
        <w:rPr>
          <w:rFonts w:ascii="Arial" w:cs="Arial" w:eastAsia="Arial" w:hAnsi="Arial"/>
          <w:sz w:val="17"/>
          <w:szCs w:val="17"/>
          <w:color w:val="auto"/>
        </w:rPr>
        <w:t>/s/ JAY SUGARMAN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Jay Sugarman</w:t>
      </w:r>
    </w:p>
    <w:p>
      <w:pPr>
        <w:spacing w:after="0" w:line="23"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Chairman of the Board of Directors and Chief</w:t>
      </w:r>
    </w:p>
    <w:p>
      <w:pPr>
        <w:spacing w:after="0" w:line="9"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Executive Officer (principal executive officer)</w:t>
      </w:r>
    </w:p>
    <w:p>
      <w:pPr>
        <w:spacing w:after="0" w:line="4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iStar Inc.</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i w:val="1"/>
          <w:iCs w:val="1"/>
          <w:color w:val="auto"/>
        </w:rPr>
        <w:t>Registrant</w:t>
      </w:r>
    </w:p>
    <w:p>
      <w:pPr>
        <w:spacing w:after="0" w:line="49" w:lineRule="exact"/>
        <w:rPr>
          <w:sz w:val="20"/>
          <w:szCs w:val="20"/>
          <w:color w:val="auto"/>
        </w:rPr>
      </w:pPr>
    </w:p>
    <w:p>
      <w:pPr>
        <w:ind w:left="280"/>
        <w:spacing w:after="0"/>
        <w:tabs>
          <w:tab w:leader="none" w:pos="7680" w:val="left"/>
        </w:tabs>
        <w:rPr>
          <w:sz w:val="20"/>
          <w:szCs w:val="20"/>
          <w:color w:val="auto"/>
        </w:rPr>
      </w:pPr>
      <w:r>
        <w:rPr>
          <w:rFonts w:ascii="Arial" w:cs="Arial" w:eastAsia="Arial" w:hAnsi="Arial"/>
          <w:sz w:val="18"/>
          <w:szCs w:val="18"/>
          <w:color w:val="auto"/>
        </w:rPr>
        <w:t>Date: February 24, 2017</w:t>
      </w:r>
      <w:r>
        <w:rPr>
          <w:sz w:val="20"/>
          <w:szCs w:val="20"/>
          <w:color w:val="auto"/>
        </w:rPr>
        <w:tab/>
      </w:r>
      <w:r>
        <w:rPr>
          <w:rFonts w:ascii="Arial" w:cs="Arial" w:eastAsia="Arial" w:hAnsi="Arial"/>
          <w:sz w:val="16"/>
          <w:szCs w:val="16"/>
          <w:color w:val="auto"/>
        </w:rPr>
        <w:t>/s/ GEOFFREY G. JERVIS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Geoffrey G. Jervis</w:t>
      </w:r>
    </w:p>
    <w:p>
      <w:pPr>
        <w:spacing w:after="0" w:line="23" w:lineRule="exact"/>
        <w:rPr>
          <w:sz w:val="20"/>
          <w:szCs w:val="20"/>
          <w:color w:val="auto"/>
        </w:rPr>
      </w:pPr>
    </w:p>
    <w:p>
      <w:pPr>
        <w:jc w:val="center"/>
        <w:ind w:left="6000"/>
        <w:spacing w:after="0"/>
        <w:rPr>
          <w:sz w:val="20"/>
          <w:szCs w:val="20"/>
          <w:color w:val="auto"/>
        </w:rPr>
      </w:pPr>
      <w:r>
        <w:rPr>
          <w:rFonts w:ascii="Arial" w:cs="Arial" w:eastAsia="Arial" w:hAnsi="Arial"/>
          <w:sz w:val="18"/>
          <w:szCs w:val="18"/>
          <w:i w:val="1"/>
          <w:iCs w:val="1"/>
          <w:color w:val="auto"/>
        </w:rPr>
        <w:t>Chief Financial Officer (principal financial and</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accounting officer)</w:t>
      </w:r>
    </w:p>
    <w:p>
      <w:pPr>
        <w:spacing w:after="0" w:line="31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76"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Date: February 24, 2017</w:t>
            </w:r>
          </w:p>
        </w:tc>
        <w:tc>
          <w:tcPr>
            <w:tcW w:w="4440" w:type="dxa"/>
            <w:vAlign w:val="bottom"/>
          </w:tcPr>
          <w:p>
            <w:pPr>
              <w:jc w:val="center"/>
              <w:spacing w:after="0"/>
              <w:rPr>
                <w:sz w:val="20"/>
                <w:szCs w:val="20"/>
                <w:color w:val="auto"/>
              </w:rPr>
            </w:pPr>
            <w:r>
              <w:rPr>
                <w:rFonts w:ascii="Arial" w:cs="Arial" w:eastAsia="Arial" w:hAnsi="Arial"/>
                <w:sz w:val="18"/>
                <w:szCs w:val="18"/>
                <w:color w:val="auto"/>
                <w:w w:val="96"/>
              </w:rPr>
              <w:t>/s/ JAY SUGARMAN</w:t>
            </w:r>
          </w:p>
        </w:tc>
      </w:tr>
      <w:tr>
        <w:trPr>
          <w:trHeight w:val="27"/>
        </w:trPr>
        <w:tc>
          <w:tcPr>
            <w:tcW w:w="670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22"/>
        </w:trPr>
        <w:tc>
          <w:tcPr>
            <w:tcW w:w="670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86"/>
              </w:rPr>
              <w:t>Jay Sugarman</w:t>
            </w:r>
          </w:p>
        </w:tc>
      </w:tr>
      <w:tr>
        <w:trPr>
          <w:trHeight w:val="216"/>
        </w:trPr>
        <w:tc>
          <w:tcPr>
            <w:tcW w:w="6700" w:type="dxa"/>
            <w:vAlign w:val="bottom"/>
          </w:tcPr>
          <w:p>
            <w:pPr>
              <w:spacing w:after="0"/>
              <w:rPr>
                <w:sz w:val="18"/>
                <w:szCs w:val="18"/>
                <w:color w:val="auto"/>
              </w:rPr>
            </w:pPr>
          </w:p>
        </w:tc>
        <w:tc>
          <w:tcPr>
            <w:tcW w:w="4440" w:type="dxa"/>
            <w:vAlign w:val="bottom"/>
          </w:tcPr>
          <w:p>
            <w:pPr>
              <w:jc w:val="center"/>
              <w:spacing w:after="0"/>
              <w:rPr>
                <w:sz w:val="20"/>
                <w:szCs w:val="20"/>
                <w:color w:val="auto"/>
              </w:rPr>
            </w:pPr>
            <w:r>
              <w:rPr>
                <w:rFonts w:ascii="Arial" w:cs="Arial" w:eastAsia="Arial" w:hAnsi="Arial"/>
                <w:sz w:val="18"/>
                <w:szCs w:val="18"/>
                <w:i w:val="1"/>
                <w:iCs w:val="1"/>
                <w:color w:val="auto"/>
                <w:w w:val="92"/>
              </w:rPr>
              <w:t>Chairman of the Board of Directors</w:t>
            </w:r>
          </w:p>
        </w:tc>
      </w:tr>
      <w:tr>
        <w:trPr>
          <w:trHeight w:val="230"/>
        </w:trPr>
        <w:tc>
          <w:tcPr>
            <w:tcW w:w="670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Arial" w:cs="Arial" w:eastAsia="Arial" w:hAnsi="Arial"/>
                <w:sz w:val="18"/>
                <w:szCs w:val="18"/>
                <w:i w:val="1"/>
                <w:iCs w:val="1"/>
                <w:color w:val="auto"/>
                <w:w w:val="91"/>
              </w:rPr>
              <w:t>Chief Executive Officer</w:t>
            </w:r>
          </w:p>
        </w:tc>
      </w:tr>
      <w:tr>
        <w:trPr>
          <w:trHeight w:val="594"/>
        </w:trPr>
        <w:tc>
          <w:tcPr>
            <w:tcW w:w="6700" w:type="dxa"/>
            <w:vAlign w:val="bottom"/>
          </w:tcPr>
          <w:p>
            <w:pPr>
              <w:spacing w:after="0"/>
              <w:rPr>
                <w:sz w:val="20"/>
                <w:szCs w:val="20"/>
                <w:color w:val="auto"/>
              </w:rPr>
            </w:pPr>
            <w:r>
              <w:rPr>
                <w:rFonts w:ascii="Arial" w:cs="Arial" w:eastAsia="Arial" w:hAnsi="Arial"/>
                <w:sz w:val="18"/>
                <w:szCs w:val="18"/>
                <w:color w:val="auto"/>
              </w:rPr>
              <w:t>Date: February 24, 2017</w:t>
            </w:r>
          </w:p>
        </w:tc>
        <w:tc>
          <w:tcPr>
            <w:tcW w:w="4440" w:type="dxa"/>
            <w:vAlign w:val="bottom"/>
          </w:tcPr>
          <w:p>
            <w:pPr>
              <w:jc w:val="center"/>
              <w:spacing w:after="0"/>
              <w:rPr>
                <w:sz w:val="20"/>
                <w:szCs w:val="20"/>
                <w:color w:val="auto"/>
              </w:rPr>
            </w:pPr>
            <w:r>
              <w:rPr>
                <w:rFonts w:ascii="Arial" w:cs="Arial" w:eastAsia="Arial" w:hAnsi="Arial"/>
                <w:sz w:val="18"/>
                <w:szCs w:val="18"/>
                <w:color w:val="auto"/>
                <w:w w:val="94"/>
              </w:rPr>
              <w:t>/s/ CLIFFORD DE SOUZA</w:t>
            </w:r>
          </w:p>
        </w:tc>
      </w:tr>
      <w:tr>
        <w:trPr>
          <w:trHeight w:val="27"/>
        </w:trPr>
        <w:tc>
          <w:tcPr>
            <w:tcW w:w="670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22"/>
        </w:trPr>
        <w:tc>
          <w:tcPr>
            <w:tcW w:w="670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3"/>
              </w:rPr>
              <w:t>Clifford De Souza</w:t>
            </w:r>
          </w:p>
        </w:tc>
      </w:tr>
      <w:tr>
        <w:trPr>
          <w:trHeight w:val="230"/>
        </w:trPr>
        <w:tc>
          <w:tcPr>
            <w:tcW w:w="670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r>
      <w:tr>
        <w:trPr>
          <w:trHeight w:val="594"/>
        </w:trPr>
        <w:tc>
          <w:tcPr>
            <w:tcW w:w="6700" w:type="dxa"/>
            <w:vAlign w:val="bottom"/>
          </w:tcPr>
          <w:p>
            <w:pPr>
              <w:spacing w:after="0"/>
              <w:rPr>
                <w:sz w:val="20"/>
                <w:szCs w:val="20"/>
                <w:color w:val="auto"/>
              </w:rPr>
            </w:pPr>
            <w:r>
              <w:rPr>
                <w:rFonts w:ascii="Arial" w:cs="Arial" w:eastAsia="Arial" w:hAnsi="Arial"/>
                <w:sz w:val="18"/>
                <w:szCs w:val="18"/>
                <w:color w:val="auto"/>
              </w:rPr>
              <w:t>Date: February 24, 2017</w:t>
            </w:r>
          </w:p>
        </w:tc>
        <w:tc>
          <w:tcPr>
            <w:tcW w:w="4440" w:type="dxa"/>
            <w:vAlign w:val="bottom"/>
          </w:tcPr>
          <w:p>
            <w:pPr>
              <w:jc w:val="center"/>
              <w:spacing w:after="0"/>
              <w:rPr>
                <w:sz w:val="20"/>
                <w:szCs w:val="20"/>
                <w:color w:val="auto"/>
              </w:rPr>
            </w:pPr>
            <w:r>
              <w:rPr>
                <w:rFonts w:ascii="Arial" w:cs="Arial" w:eastAsia="Arial" w:hAnsi="Arial"/>
                <w:sz w:val="18"/>
                <w:szCs w:val="18"/>
                <w:color w:val="auto"/>
                <w:w w:val="94"/>
              </w:rPr>
              <w:t>/s/ ROBERT W. HOLMAN, JR.</w:t>
            </w:r>
          </w:p>
        </w:tc>
      </w:tr>
      <w:tr>
        <w:trPr>
          <w:trHeight w:val="27"/>
        </w:trPr>
        <w:tc>
          <w:tcPr>
            <w:tcW w:w="670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22"/>
        </w:trPr>
        <w:tc>
          <w:tcPr>
            <w:tcW w:w="670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89"/>
              </w:rPr>
              <w:t>Robert W. Holman, Jr.</w:t>
            </w:r>
          </w:p>
        </w:tc>
      </w:tr>
      <w:tr>
        <w:trPr>
          <w:trHeight w:val="230"/>
        </w:trPr>
        <w:tc>
          <w:tcPr>
            <w:tcW w:w="670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r>
      <w:tr>
        <w:trPr>
          <w:trHeight w:val="594"/>
        </w:trPr>
        <w:tc>
          <w:tcPr>
            <w:tcW w:w="6700" w:type="dxa"/>
            <w:vAlign w:val="bottom"/>
          </w:tcPr>
          <w:p>
            <w:pPr>
              <w:spacing w:after="0"/>
              <w:rPr>
                <w:sz w:val="20"/>
                <w:szCs w:val="20"/>
                <w:color w:val="auto"/>
              </w:rPr>
            </w:pPr>
            <w:r>
              <w:rPr>
                <w:rFonts w:ascii="Arial" w:cs="Arial" w:eastAsia="Arial" w:hAnsi="Arial"/>
                <w:sz w:val="18"/>
                <w:szCs w:val="18"/>
                <w:color w:val="auto"/>
              </w:rPr>
              <w:t>Date: February 24, 2017</w:t>
            </w:r>
          </w:p>
        </w:tc>
        <w:tc>
          <w:tcPr>
            <w:tcW w:w="4440" w:type="dxa"/>
            <w:vAlign w:val="bottom"/>
          </w:tcPr>
          <w:p>
            <w:pPr>
              <w:jc w:val="center"/>
              <w:spacing w:after="0"/>
              <w:rPr>
                <w:sz w:val="20"/>
                <w:szCs w:val="20"/>
                <w:color w:val="auto"/>
              </w:rPr>
            </w:pPr>
            <w:r>
              <w:rPr>
                <w:rFonts w:ascii="Arial" w:cs="Arial" w:eastAsia="Arial" w:hAnsi="Arial"/>
                <w:sz w:val="18"/>
                <w:szCs w:val="18"/>
                <w:color w:val="auto"/>
                <w:w w:val="91"/>
              </w:rPr>
              <w:t>/s/ ROBIN JOSEPHS</w:t>
            </w:r>
          </w:p>
        </w:tc>
      </w:tr>
      <w:tr>
        <w:trPr>
          <w:trHeight w:val="27"/>
        </w:trPr>
        <w:tc>
          <w:tcPr>
            <w:tcW w:w="670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22"/>
        </w:trPr>
        <w:tc>
          <w:tcPr>
            <w:tcW w:w="670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87"/>
              </w:rPr>
              <w:t>Robin Josephs</w:t>
            </w:r>
          </w:p>
        </w:tc>
      </w:tr>
      <w:tr>
        <w:trPr>
          <w:trHeight w:val="230"/>
        </w:trPr>
        <w:tc>
          <w:tcPr>
            <w:tcW w:w="670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r>
      <w:tr>
        <w:trPr>
          <w:trHeight w:val="594"/>
        </w:trPr>
        <w:tc>
          <w:tcPr>
            <w:tcW w:w="6700" w:type="dxa"/>
            <w:vAlign w:val="bottom"/>
          </w:tcPr>
          <w:p>
            <w:pPr>
              <w:spacing w:after="0"/>
              <w:rPr>
                <w:sz w:val="20"/>
                <w:szCs w:val="20"/>
                <w:color w:val="auto"/>
              </w:rPr>
            </w:pPr>
            <w:r>
              <w:rPr>
                <w:rFonts w:ascii="Arial" w:cs="Arial" w:eastAsia="Arial" w:hAnsi="Arial"/>
                <w:sz w:val="18"/>
                <w:szCs w:val="18"/>
                <w:color w:val="auto"/>
              </w:rPr>
              <w:t>Date: February 24, 2017</w:t>
            </w:r>
          </w:p>
        </w:tc>
        <w:tc>
          <w:tcPr>
            <w:tcW w:w="4440" w:type="dxa"/>
            <w:vAlign w:val="bottom"/>
          </w:tcPr>
          <w:p>
            <w:pPr>
              <w:jc w:val="center"/>
              <w:spacing w:after="0"/>
              <w:rPr>
                <w:sz w:val="20"/>
                <w:szCs w:val="20"/>
                <w:color w:val="auto"/>
              </w:rPr>
            </w:pPr>
            <w:r>
              <w:rPr>
                <w:rFonts w:ascii="Arial" w:cs="Arial" w:eastAsia="Arial" w:hAnsi="Arial"/>
                <w:sz w:val="18"/>
                <w:szCs w:val="18"/>
                <w:color w:val="auto"/>
                <w:w w:val="94"/>
              </w:rPr>
              <w:t>/s/ DALE A. REISS</w:t>
            </w:r>
          </w:p>
        </w:tc>
      </w:tr>
      <w:tr>
        <w:trPr>
          <w:trHeight w:val="27"/>
        </w:trPr>
        <w:tc>
          <w:tcPr>
            <w:tcW w:w="670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22"/>
        </w:trPr>
        <w:tc>
          <w:tcPr>
            <w:tcW w:w="670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1"/>
              </w:rPr>
              <w:t>Dale A. Reiss</w:t>
            </w:r>
          </w:p>
        </w:tc>
      </w:tr>
      <w:tr>
        <w:trPr>
          <w:trHeight w:val="230"/>
        </w:trPr>
        <w:tc>
          <w:tcPr>
            <w:tcW w:w="670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r>
      <w:tr>
        <w:trPr>
          <w:trHeight w:val="594"/>
        </w:trPr>
        <w:tc>
          <w:tcPr>
            <w:tcW w:w="6700" w:type="dxa"/>
            <w:vAlign w:val="bottom"/>
          </w:tcPr>
          <w:p>
            <w:pPr>
              <w:spacing w:after="0"/>
              <w:rPr>
                <w:sz w:val="20"/>
                <w:szCs w:val="20"/>
                <w:color w:val="auto"/>
              </w:rPr>
            </w:pPr>
            <w:r>
              <w:rPr>
                <w:rFonts w:ascii="Arial" w:cs="Arial" w:eastAsia="Arial" w:hAnsi="Arial"/>
                <w:sz w:val="18"/>
                <w:szCs w:val="18"/>
                <w:color w:val="auto"/>
              </w:rPr>
              <w:t>Date: February 24, 2017</w:t>
            </w:r>
          </w:p>
        </w:tc>
        <w:tc>
          <w:tcPr>
            <w:tcW w:w="4440" w:type="dxa"/>
            <w:vAlign w:val="bottom"/>
          </w:tcPr>
          <w:p>
            <w:pPr>
              <w:jc w:val="center"/>
              <w:spacing w:after="0"/>
              <w:rPr>
                <w:sz w:val="20"/>
                <w:szCs w:val="20"/>
                <w:color w:val="auto"/>
              </w:rPr>
            </w:pPr>
            <w:r>
              <w:rPr>
                <w:rFonts w:ascii="Arial" w:cs="Arial" w:eastAsia="Arial" w:hAnsi="Arial"/>
                <w:sz w:val="18"/>
                <w:szCs w:val="18"/>
                <w:color w:val="auto"/>
                <w:w w:val="95"/>
              </w:rPr>
              <w:t>/s/ BARRY W. RIDINGS</w:t>
            </w:r>
          </w:p>
        </w:tc>
      </w:tr>
      <w:tr>
        <w:trPr>
          <w:trHeight w:val="27"/>
        </w:trPr>
        <w:tc>
          <w:tcPr>
            <w:tcW w:w="670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22"/>
        </w:trPr>
        <w:tc>
          <w:tcPr>
            <w:tcW w:w="670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3"/>
              </w:rPr>
              <w:t>Barry W. Ridings</w:t>
            </w:r>
          </w:p>
        </w:tc>
      </w:tr>
      <w:tr>
        <w:trPr>
          <w:trHeight w:val="230"/>
        </w:trPr>
        <w:tc>
          <w:tcPr>
            <w:tcW w:w="670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126</w:t>
      </w:r>
    </w:p>
    <w:p>
      <w:pPr>
        <w:sectPr>
          <w:pgSz w:w="11900" w:h="16838" w:orient="portrait"/>
          <w:cols w:equalWidth="0" w:num="1">
            <w:col w:w="11420"/>
          </w:cols>
          <w:pgMar w:left="240" w:top="122" w:right="239" w:bottom="1440" w:gutter="0" w:footer="0" w:header="0"/>
          <w:type w:val="continuous"/>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Computation of Ratio of Earnings to Fixed Charges and Earnings to Fixed Charges and Preferred Dividends</w:t>
      </w:r>
    </w:p>
    <w:p>
      <w:pPr>
        <w:spacing w:after="0" w:line="27"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 in thousands, except ratios)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8"/>
          </w:tcPr>
          <w:p>
            <w:pPr>
              <w:ind w:left="440"/>
              <w:spacing w:after="0"/>
              <w:rPr>
                <w:sz w:val="20"/>
                <w:szCs w:val="20"/>
                <w:color w:val="auto"/>
              </w:rPr>
            </w:pPr>
            <w:r>
              <w:rPr>
                <w:rFonts w:ascii="Arial" w:cs="Arial" w:eastAsia="Arial" w:hAnsi="Arial"/>
                <w:sz w:val="14"/>
                <w:szCs w:val="14"/>
                <w:b w:val="1"/>
                <w:bCs w:val="1"/>
                <w:color w:val="auto"/>
              </w:rPr>
              <w:t>For the Years Ended December 31,</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3"/>
        </w:trPr>
        <w:tc>
          <w:tcPr>
            <w:tcW w:w="55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2012</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Earnings: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Pre-tax income from continuing operations before earnings from equity</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method investments and other items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(92,629)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(124,487)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(165,171)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(255,574)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(409,242)</w:t>
            </w:r>
          </w:p>
        </w:tc>
      </w:tr>
      <w:tr>
        <w:trPr>
          <w:trHeight w:val="243"/>
        </w:trPr>
        <w:tc>
          <w:tcPr>
            <w:tcW w:w="5500" w:type="dxa"/>
            <w:vAlign w:val="bottom"/>
          </w:tcPr>
          <w:p>
            <w:pPr>
              <w:ind w:left="200"/>
              <w:spacing w:after="0"/>
              <w:rPr>
                <w:sz w:val="20"/>
                <w:szCs w:val="20"/>
                <w:color w:val="auto"/>
              </w:rPr>
            </w:pPr>
            <w:r>
              <w:rPr>
                <w:rFonts w:ascii="Arial" w:cs="Arial" w:eastAsia="Arial" w:hAnsi="Arial"/>
                <w:sz w:val="18"/>
                <w:szCs w:val="18"/>
                <w:color w:val="auto"/>
              </w:rPr>
              <w:t>Add: Fixed charges as calculated below</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229,152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231,967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232,037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270,872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359,844</w:t>
            </w:r>
          </w:p>
        </w:tc>
      </w:tr>
      <w:tr>
        <w:trPr>
          <w:trHeight w:val="27"/>
        </w:trPr>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Add: Distributions from operations of equity method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48,732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80,116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105,586</w:t>
            </w:r>
          </w:p>
        </w:tc>
      </w:tr>
      <w:tr>
        <w:trPr>
          <w:trHeight w:val="243"/>
        </w:trPr>
        <w:tc>
          <w:tcPr>
            <w:tcW w:w="5500" w:type="dxa"/>
            <w:vAlign w:val="bottom"/>
          </w:tcPr>
          <w:p>
            <w:pPr>
              <w:ind w:left="200"/>
              <w:spacing w:after="0"/>
              <w:rPr>
                <w:sz w:val="20"/>
                <w:szCs w:val="20"/>
                <w:color w:val="auto"/>
              </w:rPr>
            </w:pPr>
            <w:r>
              <w:rPr>
                <w:rFonts w:ascii="Arial" w:cs="Arial" w:eastAsia="Arial" w:hAnsi="Arial"/>
                <w:sz w:val="18"/>
                <w:szCs w:val="18"/>
                <w:color w:val="auto"/>
              </w:rPr>
              <w:t>Less: Capitalized interest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(1,794)</w:t>
            </w:r>
          </w:p>
        </w:tc>
      </w:tr>
      <w:tr>
        <w:trPr>
          <w:trHeight w:val="27"/>
        </w:trPr>
        <w:tc>
          <w:tcPr>
            <w:tcW w:w="5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earnings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179,446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132,142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142,089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29,960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54,394</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Fixed charges: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500" w:type="dxa"/>
            <w:vAlign w:val="bottom"/>
            <w:shd w:val="clear" w:color="auto" w:fill="CCEEFF"/>
          </w:tcPr>
          <w:p>
            <w:pPr>
              <w:ind w:left="220"/>
              <w:spacing w:after="0" w:line="270" w:lineRule="exact"/>
              <w:rPr>
                <w:sz w:val="20"/>
                <w:szCs w:val="20"/>
                <w:color w:val="auto"/>
              </w:rPr>
            </w:pPr>
            <w:r>
              <w:rPr>
                <w:rFonts w:ascii="Arial" w:cs="Arial" w:eastAsia="Arial" w:hAnsi="Arial"/>
                <w:sz w:val="18"/>
                <w:szCs w:val="18"/>
                <w:color w:val="auto"/>
              </w:rPr>
              <w:t>Interest expense</w:t>
            </w:r>
            <w:r>
              <w:rPr>
                <w:rFonts w:ascii="Arial" w:cs="Arial" w:eastAsia="Arial" w:hAnsi="Arial"/>
                <w:sz w:val="25"/>
                <w:szCs w:val="25"/>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221,398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224,639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224,483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266,225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356,161</w:t>
            </w:r>
          </w:p>
        </w:tc>
      </w:tr>
      <w:tr>
        <w:trPr>
          <w:trHeight w:val="243"/>
        </w:trPr>
        <w:tc>
          <w:tcPr>
            <w:tcW w:w="5500" w:type="dxa"/>
            <w:vAlign w:val="bottom"/>
          </w:tcPr>
          <w:p>
            <w:pPr>
              <w:ind w:left="200"/>
              <w:spacing w:after="0"/>
              <w:rPr>
                <w:sz w:val="20"/>
                <w:szCs w:val="20"/>
                <w:color w:val="auto"/>
              </w:rPr>
            </w:pPr>
            <w:r>
              <w:rPr>
                <w:rFonts w:ascii="Arial" w:cs="Arial" w:eastAsia="Arial" w:hAnsi="Arial"/>
                <w:sz w:val="18"/>
                <w:szCs w:val="18"/>
                <w:color w:val="auto"/>
              </w:rPr>
              <w:t>Add: Capitalized interest</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5,809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5,337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4,893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2,590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1,794</w:t>
            </w:r>
          </w:p>
        </w:tc>
      </w:tr>
      <w:tr>
        <w:trPr>
          <w:trHeight w:val="27"/>
        </w:trPr>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Implied interest component on the company's rent obligations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1,889</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Fixed charges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229,152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231,967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232,037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270,872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359,844</w:t>
            </w:r>
          </w:p>
        </w:tc>
      </w:tr>
      <w:tr>
        <w:trPr>
          <w:trHeight w:val="27"/>
        </w:trPr>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Preferred dividends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51,320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51,320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49,020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42,320</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Fixed charges and preferred dividends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280,472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283,287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283,357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319,892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402,164</w:t>
            </w:r>
          </w:p>
        </w:tc>
      </w:tr>
      <w:tr>
        <w:trPr>
          <w:trHeight w:val="27"/>
        </w:trPr>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500" w:type="dxa"/>
            <w:vAlign w:val="bottom"/>
            <w:shd w:val="clear" w:color="auto" w:fill="CCEEFF"/>
          </w:tcPr>
          <w:p>
            <w:pPr>
              <w:ind w:left="220"/>
              <w:spacing w:after="0" w:line="270" w:lineRule="exact"/>
              <w:rPr>
                <w:sz w:val="20"/>
                <w:szCs w:val="20"/>
                <w:color w:val="auto"/>
              </w:rPr>
            </w:pPr>
            <w:r>
              <w:rPr>
                <w:rFonts w:ascii="Arial" w:cs="Arial" w:eastAsia="Arial" w:hAnsi="Arial"/>
                <w:sz w:val="18"/>
                <w:szCs w:val="18"/>
                <w:color w:val="auto"/>
              </w:rPr>
              <w:t>Earnings to fixed charges</w:t>
            </w:r>
            <w:r>
              <w:rPr>
                <w:rFonts w:ascii="Arial" w:cs="Arial" w:eastAsia="Arial" w:hAnsi="Arial"/>
                <w:sz w:val="25"/>
                <w:szCs w:val="25"/>
                <w:color w:val="auto"/>
                <w:vertAlign w:val="superscript"/>
              </w:rPr>
              <w:t>(2)</w:t>
            </w:r>
          </w:p>
        </w:tc>
        <w:tc>
          <w:tcPr>
            <w:tcW w:w="28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5500" w:type="dxa"/>
            <w:vAlign w:val="bottom"/>
          </w:tcPr>
          <w:p>
            <w:pPr>
              <w:ind w:left="220"/>
              <w:spacing w:after="0" w:line="263" w:lineRule="exact"/>
              <w:rPr>
                <w:sz w:val="20"/>
                <w:szCs w:val="20"/>
                <w:color w:val="auto"/>
              </w:rPr>
            </w:pPr>
            <w:r>
              <w:rPr>
                <w:rFonts w:ascii="Arial" w:cs="Arial" w:eastAsia="Arial" w:hAnsi="Arial"/>
                <w:sz w:val="18"/>
                <w:szCs w:val="18"/>
                <w:color w:val="auto"/>
              </w:rPr>
              <w:t>Earnings to fixed charges and preferred dividends</w:t>
            </w:r>
            <w:r>
              <w:rPr>
                <w:rFonts w:ascii="Arial" w:cs="Arial" w:eastAsia="Arial" w:hAnsi="Arial"/>
                <w:sz w:val="25"/>
                <w:szCs w:val="25"/>
                <w:color w:val="auto"/>
                <w:vertAlign w:val="superscript"/>
              </w:rPr>
              <w:t>(2)</w:t>
            </w:r>
          </w:p>
        </w:tc>
        <w:tc>
          <w:tcPr>
            <w:tcW w:w="2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bl>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For the years ended December 31, 2012, interest expense includes $1,064 of interest expense reclassified to discontinued operations.</w:t>
      </w:r>
    </w:p>
    <w:p>
      <w:pPr>
        <w:spacing w:after="0" w:line="1" w:lineRule="exact"/>
        <w:rPr>
          <w:rFonts w:ascii="Arial" w:cs="Arial" w:eastAsia="Arial" w:hAnsi="Arial"/>
          <w:sz w:val="14"/>
          <w:szCs w:val="14"/>
          <w:color w:val="auto"/>
        </w:rPr>
      </w:pPr>
    </w:p>
    <w:p>
      <w:pPr>
        <w:ind w:left="660" w:right="20" w:hanging="652"/>
        <w:spacing w:after="0" w:line="293" w:lineRule="auto"/>
        <w:tabs>
          <w:tab w:leader="none" w:pos="660" w:val="left"/>
        </w:tabs>
        <w:numPr>
          <w:ilvl w:val="0"/>
          <w:numId w:val="68"/>
        </w:numPr>
        <w:rPr>
          <w:rFonts w:ascii="Arial" w:cs="Arial" w:eastAsia="Arial" w:hAnsi="Arial"/>
          <w:sz w:val="13"/>
          <w:szCs w:val="13"/>
          <w:color w:val="auto"/>
        </w:rPr>
      </w:pPr>
      <w:r>
        <w:rPr>
          <w:rFonts w:ascii="Arial" w:cs="Arial" w:eastAsia="Arial" w:hAnsi="Arial"/>
          <w:sz w:val="13"/>
          <w:szCs w:val="13"/>
          <w:color w:val="auto"/>
        </w:rPr>
        <w:t>For the years ended December 31, 2016, 2015, 2014, 2013 and 2012 earnings were not sufficient to cover fixed charges by $49,706, $99,825, $89,948, $240,912 and $305,450, respectively, and earnings were not sufficient to cover fixed charges and preferred dividends by $101,026, $151,145, $141,268, $289,932 and $347,770, respectively.</w:t>
      </w:r>
    </w:p>
    <w:p>
      <w:pPr>
        <w:sectPr>
          <w:pgSz w:w="11900" w:h="16838" w:orient="portrait"/>
          <w:cols w:equalWidth="0" w:num="1">
            <w:col w:w="11420"/>
          </w:cols>
          <w:pgMar w:left="240" w:top="796"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 of Subsidiaries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gridSpan w:val="3"/>
          </w:tcPr>
          <w:p>
            <w:pPr>
              <w:ind w:left="40"/>
              <w:spacing w:after="0"/>
              <w:rPr>
                <w:sz w:val="20"/>
                <w:szCs w:val="20"/>
                <w:color w:val="auto"/>
              </w:rPr>
            </w:pPr>
            <w:r>
              <w:rPr>
                <w:rFonts w:ascii="Arial" w:cs="Arial" w:eastAsia="Arial" w:hAnsi="Arial"/>
                <w:sz w:val="14"/>
                <w:szCs w:val="14"/>
                <w:b w:val="1"/>
                <w:bCs w:val="1"/>
                <w:color w:val="auto"/>
              </w:rPr>
              <w:t>Subsidiary</w:t>
            </w:r>
          </w:p>
        </w:tc>
        <w:tc>
          <w:tcPr>
            <w:tcW w:w="2120" w:type="dxa"/>
            <w:vAlign w:val="bottom"/>
          </w:tcPr>
          <w:p>
            <w:pPr>
              <w:ind w:left="820"/>
              <w:spacing w:after="0"/>
              <w:rPr>
                <w:sz w:val="20"/>
                <w:szCs w:val="20"/>
                <w:color w:val="auto"/>
              </w:rPr>
            </w:pPr>
            <w:r>
              <w:rPr>
                <w:rFonts w:ascii="Arial" w:cs="Arial" w:eastAsia="Arial" w:hAnsi="Arial"/>
                <w:sz w:val="14"/>
                <w:szCs w:val="14"/>
                <w:b w:val="1"/>
                <w:bCs w:val="1"/>
                <w:color w:val="auto"/>
              </w:rPr>
              <w:t>State of Formation</w:t>
            </w:r>
          </w:p>
        </w:tc>
        <w:tc>
          <w:tcPr>
            <w:tcW w:w="4560" w:type="dxa"/>
            <w:vAlign w:val="bottom"/>
          </w:tcPr>
          <w:p>
            <w:pPr>
              <w:ind w:left="1540"/>
              <w:spacing w:after="0"/>
              <w:rPr>
                <w:sz w:val="20"/>
                <w:szCs w:val="20"/>
                <w:color w:val="auto"/>
              </w:rPr>
            </w:pPr>
            <w:r>
              <w:rPr>
                <w:rFonts w:ascii="Arial" w:cs="Arial" w:eastAsia="Arial" w:hAnsi="Arial"/>
                <w:sz w:val="14"/>
                <w:szCs w:val="14"/>
                <w:b w:val="1"/>
                <w:bCs w:val="1"/>
                <w:color w:val="auto"/>
              </w:rPr>
              <w:t>Other Names Used</w:t>
            </w:r>
          </w:p>
        </w:tc>
      </w:tr>
      <w:tr>
        <w:trPr>
          <w:trHeight w:val="256"/>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12 Union Street-Westborough LLC</w:t>
            </w:r>
          </w:p>
        </w:tc>
        <w:tc>
          <w:tcPr>
            <w:tcW w:w="2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Delaware</w:t>
            </w:r>
          </w:p>
        </w:tc>
        <w:tc>
          <w:tcPr>
            <w:tcW w:w="4560" w:type="dxa"/>
            <w:vAlign w:val="bottom"/>
            <w:tcBorders>
              <w:bottom w:val="single" w:sz="8" w:color="CCEEFF"/>
            </w:tcBorders>
            <w:shd w:val="clear" w:color="auto" w:fill="CCEEFF"/>
          </w:tcPr>
          <w:p>
            <w:pPr>
              <w:spacing w:after="0"/>
              <w:rPr>
                <w:sz w:val="22"/>
                <w:szCs w:val="22"/>
                <w:color w:val="auto"/>
              </w:rPr>
            </w:pPr>
          </w:p>
        </w:tc>
      </w:tr>
      <w:tr>
        <w:trPr>
          <w:trHeight w:val="243"/>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99 Shawan Road Joint Venture LLC</w:t>
            </w:r>
          </w:p>
        </w:tc>
        <w:tc>
          <w:tcPr>
            <w:tcW w:w="2120" w:type="dxa"/>
            <w:vAlign w:val="bottom"/>
          </w:tcPr>
          <w:p>
            <w:pPr>
              <w:ind w:left="820"/>
              <w:spacing w:after="0"/>
              <w:rPr>
                <w:sz w:val="20"/>
                <w:szCs w:val="20"/>
                <w:color w:val="auto"/>
              </w:rPr>
            </w:pPr>
            <w:r>
              <w:rPr>
                <w:rFonts w:ascii="Arial" w:cs="Arial" w:eastAsia="Arial" w:hAnsi="Arial"/>
                <w:sz w:val="18"/>
                <w:szCs w:val="18"/>
                <w:color w:val="auto"/>
              </w:rPr>
              <w:t>Delaware</w:t>
            </w:r>
          </w:p>
        </w:tc>
        <w:tc>
          <w:tcPr>
            <w:tcW w:w="4560" w:type="dxa"/>
            <w:vAlign w:val="bottom"/>
          </w:tcPr>
          <w:p>
            <w:pPr>
              <w:spacing w:after="0"/>
              <w:rPr>
                <w:sz w:val="21"/>
                <w:szCs w:val="21"/>
                <w:color w:val="auto"/>
              </w:rPr>
            </w:pPr>
          </w:p>
        </w:tc>
      </w:tr>
      <w:tr>
        <w:trPr>
          <w:trHeight w:val="27"/>
        </w:trPr>
        <w:tc>
          <w:tcPr>
            <w:tcW w:w="320" w:type="dxa"/>
            <w:vAlign w:val="bottom"/>
          </w:tcPr>
          <w:p>
            <w:pPr>
              <w:spacing w:after="0"/>
              <w:rPr>
                <w:sz w:val="2"/>
                <w:szCs w:val="2"/>
                <w:color w:val="auto"/>
              </w:rPr>
            </w:pPr>
          </w:p>
        </w:tc>
        <w:tc>
          <w:tcPr>
            <w:tcW w:w="4140" w:type="dxa"/>
            <w:vAlign w:val="bottom"/>
            <w:gridSpan w:val="2"/>
          </w:tcPr>
          <w:p>
            <w:pPr>
              <w:spacing w:after="0"/>
              <w:rPr>
                <w:sz w:val="2"/>
                <w:szCs w:val="2"/>
                <w:color w:val="auto"/>
              </w:rPr>
            </w:pPr>
          </w:p>
        </w:tc>
        <w:tc>
          <w:tcPr>
            <w:tcW w:w="212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6"/>
              </w:rPr>
              <w:t>100</w:t>
            </w:r>
          </w:p>
        </w:tc>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Elkhorn Road-Sun Valley LLC</w:t>
            </w:r>
          </w:p>
        </w:tc>
        <w:tc>
          <w:tcPr>
            <w:tcW w:w="2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Delaware</w:t>
            </w:r>
          </w:p>
        </w:tc>
        <w:tc>
          <w:tcPr>
            <w:tcW w:w="4560" w:type="dxa"/>
            <w:vAlign w:val="bottom"/>
            <w:tcBorders>
              <w:bottom w:val="single" w:sz="8" w:color="CCEEFF"/>
            </w:tcBorders>
            <w:shd w:val="clear" w:color="auto" w:fill="CCEEFF"/>
          </w:tcPr>
          <w:p>
            <w:pPr>
              <w:spacing w:after="0"/>
              <w:rPr>
                <w:sz w:val="21"/>
                <w:szCs w:val="21"/>
                <w:color w:val="auto"/>
              </w:rPr>
            </w:pPr>
          </w:p>
        </w:tc>
      </w:tr>
      <w:tr>
        <w:trPr>
          <w:trHeight w:val="243"/>
        </w:trPr>
        <w:tc>
          <w:tcPr>
            <w:tcW w:w="320" w:type="dxa"/>
            <w:vAlign w:val="bottom"/>
          </w:tcPr>
          <w:p>
            <w:pPr>
              <w:ind w:left="40"/>
              <w:spacing w:after="0"/>
              <w:rPr>
                <w:sz w:val="20"/>
                <w:szCs w:val="20"/>
                <w:color w:val="auto"/>
              </w:rPr>
            </w:pPr>
            <w:r>
              <w:rPr>
                <w:rFonts w:ascii="Arial" w:cs="Arial" w:eastAsia="Arial" w:hAnsi="Arial"/>
                <w:sz w:val="18"/>
                <w:szCs w:val="18"/>
                <w:color w:val="auto"/>
                <w:w w:val="86"/>
              </w:rPr>
              <w:t>100</w:t>
            </w:r>
          </w:p>
        </w:tc>
        <w:tc>
          <w:tcPr>
            <w:tcW w:w="4140" w:type="dxa"/>
            <w:vAlign w:val="bottom"/>
            <w:gridSpan w:val="2"/>
          </w:tcPr>
          <w:p>
            <w:pPr>
              <w:ind w:left="20"/>
              <w:spacing w:after="0"/>
              <w:rPr>
                <w:sz w:val="20"/>
                <w:szCs w:val="20"/>
                <w:color w:val="auto"/>
              </w:rPr>
            </w:pPr>
            <w:r>
              <w:rPr>
                <w:rFonts w:ascii="Arial" w:cs="Arial" w:eastAsia="Arial" w:hAnsi="Arial"/>
                <w:sz w:val="18"/>
                <w:szCs w:val="18"/>
                <w:color w:val="auto"/>
              </w:rPr>
              <w:t>Riverview Condominium Association Inc.</w:t>
            </w:r>
          </w:p>
        </w:tc>
        <w:tc>
          <w:tcPr>
            <w:tcW w:w="2120" w:type="dxa"/>
            <w:vAlign w:val="bottom"/>
          </w:tcPr>
          <w:p>
            <w:pPr>
              <w:ind w:left="820"/>
              <w:spacing w:after="0"/>
              <w:rPr>
                <w:sz w:val="20"/>
                <w:szCs w:val="20"/>
                <w:color w:val="auto"/>
              </w:rPr>
            </w:pPr>
            <w:r>
              <w:rPr>
                <w:rFonts w:ascii="Arial" w:cs="Arial" w:eastAsia="Arial" w:hAnsi="Arial"/>
                <w:sz w:val="18"/>
                <w:szCs w:val="18"/>
                <w:color w:val="auto"/>
              </w:rPr>
              <w:t>New Jersey</w:t>
            </w:r>
          </w:p>
        </w:tc>
        <w:tc>
          <w:tcPr>
            <w:tcW w:w="4560" w:type="dxa"/>
            <w:vAlign w:val="bottom"/>
          </w:tcPr>
          <w:p>
            <w:pPr>
              <w:spacing w:after="0"/>
              <w:rPr>
                <w:sz w:val="21"/>
                <w:szCs w:val="21"/>
                <w:color w:val="auto"/>
              </w:rPr>
            </w:pPr>
          </w:p>
        </w:tc>
      </w:tr>
      <w:tr>
        <w:trPr>
          <w:trHeight w:val="27"/>
        </w:trPr>
        <w:tc>
          <w:tcPr>
            <w:tcW w:w="4460" w:type="dxa"/>
            <w:vAlign w:val="bottom"/>
            <w:gridSpan w:val="3"/>
          </w:tcPr>
          <w:p>
            <w:pPr>
              <w:spacing w:after="0"/>
              <w:rPr>
                <w:sz w:val="2"/>
                <w:szCs w:val="2"/>
                <w:color w:val="auto"/>
              </w:rPr>
            </w:pPr>
          </w:p>
        </w:tc>
        <w:tc>
          <w:tcPr>
            <w:tcW w:w="212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38 North Almaden Boulevard Venture LLC</w:t>
            </w:r>
          </w:p>
        </w:tc>
        <w:tc>
          <w:tcPr>
            <w:tcW w:w="2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Delaware</w:t>
            </w:r>
          </w:p>
        </w:tc>
        <w:tc>
          <w:tcPr>
            <w:tcW w:w="4560" w:type="dxa"/>
            <w:vAlign w:val="bottom"/>
            <w:tcBorders>
              <w:bottom w:val="single" w:sz="8" w:color="CCEEFF"/>
            </w:tcBorders>
            <w:shd w:val="clear" w:color="auto" w:fill="CCEEFF"/>
          </w:tcPr>
          <w:p>
            <w:pPr>
              <w:spacing w:after="0"/>
              <w:rPr>
                <w:sz w:val="21"/>
                <w:szCs w:val="21"/>
                <w:color w:val="auto"/>
              </w:rPr>
            </w:pPr>
          </w:p>
        </w:tc>
      </w:tr>
      <w:tr>
        <w:trPr>
          <w:trHeight w:val="270"/>
        </w:trPr>
        <w:tc>
          <w:tcPr>
            <w:tcW w:w="320" w:type="dxa"/>
            <w:vAlign w:val="bottom"/>
          </w:tcPr>
          <w:p>
            <w:pPr>
              <w:ind w:left="40"/>
              <w:spacing w:after="0"/>
              <w:rPr>
                <w:sz w:val="20"/>
                <w:szCs w:val="20"/>
                <w:color w:val="auto"/>
              </w:rPr>
            </w:pPr>
            <w:r>
              <w:rPr>
                <w:rFonts w:ascii="Arial" w:cs="Arial" w:eastAsia="Arial" w:hAnsi="Arial"/>
                <w:sz w:val="18"/>
                <w:szCs w:val="18"/>
                <w:color w:val="auto"/>
                <w:w w:val="86"/>
              </w:rPr>
              <w:t>210</w:t>
            </w:r>
          </w:p>
        </w:tc>
        <w:tc>
          <w:tcPr>
            <w:tcW w:w="4140" w:type="dxa"/>
            <w:vAlign w:val="bottom"/>
            <w:gridSpan w:val="2"/>
          </w:tcPr>
          <w:p>
            <w:pPr>
              <w:ind w:left="20"/>
              <w:spacing w:after="0"/>
              <w:rPr>
                <w:sz w:val="20"/>
                <w:szCs w:val="20"/>
                <w:color w:val="auto"/>
              </w:rPr>
            </w:pPr>
            <w:r>
              <w:rPr>
                <w:rFonts w:ascii="Arial" w:cs="Arial" w:eastAsia="Arial" w:hAnsi="Arial"/>
                <w:sz w:val="18"/>
                <w:szCs w:val="18"/>
                <w:color w:val="auto"/>
              </w:rPr>
              <w:t>5th Ave. Venture Urban Renewal LLC</w:t>
            </w:r>
          </w:p>
        </w:tc>
        <w:tc>
          <w:tcPr>
            <w:tcW w:w="2120" w:type="dxa"/>
            <w:vAlign w:val="bottom"/>
          </w:tcPr>
          <w:p>
            <w:pPr>
              <w:ind w:left="820"/>
              <w:spacing w:after="0"/>
              <w:rPr>
                <w:sz w:val="20"/>
                <w:szCs w:val="20"/>
                <w:color w:val="auto"/>
              </w:rPr>
            </w:pPr>
            <w:r>
              <w:rPr>
                <w:rFonts w:ascii="Arial" w:cs="Arial" w:eastAsia="Arial" w:hAnsi="Arial"/>
                <w:sz w:val="18"/>
                <w:szCs w:val="18"/>
                <w:color w:val="auto"/>
              </w:rPr>
              <w:t>Delaware</w:t>
            </w:r>
          </w:p>
        </w:tc>
        <w:tc>
          <w:tcPr>
            <w:tcW w:w="4560" w:type="dxa"/>
            <w:vAlign w:val="bottom"/>
          </w:tcPr>
          <w:p>
            <w:pPr>
              <w:ind w:left="140"/>
              <w:spacing w:after="0" w:line="270" w:lineRule="exact"/>
              <w:rPr>
                <w:sz w:val="20"/>
                <w:szCs w:val="20"/>
                <w:color w:val="auto"/>
              </w:rPr>
            </w:pPr>
            <w:r>
              <w:rPr>
                <w:rFonts w:ascii="Arial" w:cs="Arial" w:eastAsia="Arial" w:hAnsi="Arial"/>
                <w:sz w:val="18"/>
                <w:szCs w:val="18"/>
                <w:color w:val="auto"/>
              </w:rPr>
              <w:t>210 5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Ave. Venture LLC</w:t>
            </w:r>
          </w:p>
        </w:tc>
      </w:tr>
      <w:tr>
        <w:trPr>
          <w:trHeight w:val="250"/>
        </w:trPr>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6"/>
              </w:rPr>
              <w:t>212</w:t>
            </w:r>
          </w:p>
        </w:tc>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Fifth Lender LLC</w:t>
            </w:r>
          </w:p>
        </w:tc>
        <w:tc>
          <w:tcPr>
            <w:tcW w:w="2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Delaware</w:t>
            </w:r>
          </w:p>
        </w:tc>
        <w:tc>
          <w:tcPr>
            <w:tcW w:w="456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215 North Michigan Owner LLC</w:t>
            </w:r>
          </w:p>
        </w:tc>
        <w:tc>
          <w:tcPr>
            <w:tcW w:w="2120" w:type="dxa"/>
            <w:vAlign w:val="bottom"/>
          </w:tcPr>
          <w:p>
            <w:pPr>
              <w:ind w:left="820"/>
              <w:spacing w:after="0"/>
              <w:rPr>
                <w:sz w:val="20"/>
                <w:szCs w:val="20"/>
                <w:color w:val="auto"/>
              </w:rPr>
            </w:pPr>
            <w:r>
              <w:rPr>
                <w:rFonts w:ascii="Arial" w:cs="Arial" w:eastAsia="Arial" w:hAnsi="Arial"/>
                <w:sz w:val="18"/>
                <w:szCs w:val="18"/>
                <w:color w:val="auto"/>
              </w:rPr>
              <w:t>Delaware</w:t>
            </w:r>
          </w:p>
        </w:tc>
        <w:tc>
          <w:tcPr>
            <w:tcW w:w="4560" w:type="dxa"/>
            <w:vAlign w:val="bottom"/>
          </w:tcPr>
          <w:p>
            <w:pPr>
              <w:spacing w:after="0"/>
              <w:rPr>
                <w:sz w:val="21"/>
                <w:szCs w:val="21"/>
                <w:color w:val="auto"/>
              </w:rPr>
            </w:pPr>
          </w:p>
        </w:tc>
      </w:tr>
      <w:tr>
        <w:trPr>
          <w:trHeight w:val="27"/>
        </w:trPr>
        <w:tc>
          <w:tcPr>
            <w:tcW w:w="320" w:type="dxa"/>
            <w:vAlign w:val="bottom"/>
          </w:tcPr>
          <w:p>
            <w:pPr>
              <w:spacing w:after="0"/>
              <w:rPr>
                <w:sz w:val="2"/>
                <w:szCs w:val="2"/>
                <w:color w:val="auto"/>
              </w:rPr>
            </w:pPr>
          </w:p>
        </w:tc>
        <w:tc>
          <w:tcPr>
            <w:tcW w:w="4140" w:type="dxa"/>
            <w:vAlign w:val="bottom"/>
            <w:gridSpan w:val="2"/>
          </w:tcPr>
          <w:p>
            <w:pPr>
              <w:spacing w:after="0"/>
              <w:rPr>
                <w:sz w:val="2"/>
                <w:szCs w:val="2"/>
                <w:color w:val="auto"/>
              </w:rPr>
            </w:pPr>
          </w:p>
        </w:tc>
        <w:tc>
          <w:tcPr>
            <w:tcW w:w="212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6"/>
              </w:rPr>
              <w:t>221</w:t>
            </w:r>
          </w:p>
        </w:tc>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American Boulevard-Bloomington LLC</w:t>
            </w:r>
          </w:p>
        </w:tc>
        <w:tc>
          <w:tcPr>
            <w:tcW w:w="2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Delaware</w:t>
            </w:r>
          </w:p>
        </w:tc>
        <w:tc>
          <w:tcPr>
            <w:tcW w:w="4560" w:type="dxa"/>
            <w:vAlign w:val="bottom"/>
            <w:tcBorders>
              <w:bottom w:val="single" w:sz="8" w:color="CCEEFF"/>
            </w:tcBorders>
            <w:shd w:val="clear" w:color="auto" w:fill="CCEEFF"/>
          </w:tcPr>
          <w:p>
            <w:pPr>
              <w:spacing w:after="0"/>
              <w:rPr>
                <w:sz w:val="21"/>
                <w:szCs w:val="21"/>
                <w:color w:val="auto"/>
              </w:rPr>
            </w:pPr>
          </w:p>
        </w:tc>
      </w:tr>
      <w:tr>
        <w:trPr>
          <w:trHeight w:val="243"/>
        </w:trPr>
        <w:tc>
          <w:tcPr>
            <w:tcW w:w="320" w:type="dxa"/>
            <w:vAlign w:val="bottom"/>
          </w:tcPr>
          <w:p>
            <w:pPr>
              <w:ind w:left="40"/>
              <w:spacing w:after="0"/>
              <w:rPr>
                <w:sz w:val="20"/>
                <w:szCs w:val="20"/>
                <w:color w:val="auto"/>
              </w:rPr>
            </w:pPr>
            <w:r>
              <w:rPr>
                <w:rFonts w:ascii="Arial" w:cs="Arial" w:eastAsia="Arial" w:hAnsi="Arial"/>
                <w:sz w:val="18"/>
                <w:szCs w:val="18"/>
                <w:color w:val="auto"/>
                <w:w w:val="86"/>
              </w:rPr>
              <w:t>240</w:t>
            </w:r>
          </w:p>
        </w:tc>
        <w:tc>
          <w:tcPr>
            <w:tcW w:w="4140" w:type="dxa"/>
            <w:vAlign w:val="bottom"/>
            <w:gridSpan w:val="2"/>
          </w:tcPr>
          <w:p>
            <w:pPr>
              <w:ind w:left="20"/>
              <w:spacing w:after="0"/>
              <w:rPr>
                <w:sz w:val="20"/>
                <w:szCs w:val="20"/>
                <w:color w:val="auto"/>
              </w:rPr>
            </w:pPr>
            <w:r>
              <w:rPr>
                <w:rFonts w:ascii="Arial" w:cs="Arial" w:eastAsia="Arial" w:hAnsi="Arial"/>
                <w:sz w:val="18"/>
                <w:szCs w:val="18"/>
                <w:color w:val="auto"/>
              </w:rPr>
              <w:t>S Pineapple Office-Sarasota LLC</w:t>
            </w:r>
          </w:p>
        </w:tc>
        <w:tc>
          <w:tcPr>
            <w:tcW w:w="2120" w:type="dxa"/>
            <w:vAlign w:val="bottom"/>
          </w:tcPr>
          <w:p>
            <w:pPr>
              <w:ind w:left="820"/>
              <w:spacing w:after="0"/>
              <w:rPr>
                <w:sz w:val="20"/>
                <w:szCs w:val="20"/>
                <w:color w:val="auto"/>
              </w:rPr>
            </w:pPr>
            <w:r>
              <w:rPr>
                <w:rFonts w:ascii="Arial" w:cs="Arial" w:eastAsia="Arial" w:hAnsi="Arial"/>
                <w:sz w:val="18"/>
                <w:szCs w:val="18"/>
                <w:color w:val="auto"/>
              </w:rPr>
              <w:t>Delaware</w:t>
            </w:r>
          </w:p>
        </w:tc>
        <w:tc>
          <w:tcPr>
            <w:tcW w:w="4560" w:type="dxa"/>
            <w:vAlign w:val="bottom"/>
          </w:tcPr>
          <w:p>
            <w:pPr>
              <w:ind w:left="140"/>
              <w:spacing w:after="0"/>
              <w:rPr>
                <w:sz w:val="20"/>
                <w:szCs w:val="20"/>
                <w:color w:val="auto"/>
              </w:rPr>
            </w:pPr>
            <w:r>
              <w:rPr>
                <w:rFonts w:ascii="Arial" w:cs="Arial" w:eastAsia="Arial" w:hAnsi="Arial"/>
                <w:sz w:val="18"/>
                <w:szCs w:val="18"/>
                <w:color w:val="auto"/>
              </w:rPr>
              <w:t>240 S Pineapple Parking-Sarasota LLC</w:t>
            </w:r>
          </w:p>
        </w:tc>
      </w:tr>
      <w:tr>
        <w:trPr>
          <w:trHeight w:val="27"/>
        </w:trPr>
        <w:tc>
          <w:tcPr>
            <w:tcW w:w="320" w:type="dxa"/>
            <w:vAlign w:val="bottom"/>
          </w:tcPr>
          <w:p>
            <w:pPr>
              <w:spacing w:after="0"/>
              <w:rPr>
                <w:sz w:val="2"/>
                <w:szCs w:val="2"/>
                <w:color w:val="auto"/>
              </w:rPr>
            </w:pPr>
          </w:p>
        </w:tc>
        <w:tc>
          <w:tcPr>
            <w:tcW w:w="4140" w:type="dxa"/>
            <w:vAlign w:val="bottom"/>
            <w:gridSpan w:val="2"/>
          </w:tcPr>
          <w:p>
            <w:pPr>
              <w:spacing w:after="0"/>
              <w:rPr>
                <w:sz w:val="2"/>
                <w:szCs w:val="2"/>
                <w:color w:val="auto"/>
              </w:rPr>
            </w:pPr>
          </w:p>
        </w:tc>
        <w:tc>
          <w:tcPr>
            <w:tcW w:w="212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6"/>
              </w:rPr>
              <w:t>300</w:t>
            </w:r>
          </w:p>
        </w:tc>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Riverview Condominium Association Inc.</w:t>
            </w:r>
          </w:p>
        </w:tc>
        <w:tc>
          <w:tcPr>
            <w:tcW w:w="2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New Jersey</w:t>
            </w:r>
          </w:p>
        </w:tc>
        <w:tc>
          <w:tcPr>
            <w:tcW w:w="4560" w:type="dxa"/>
            <w:vAlign w:val="bottom"/>
            <w:tcBorders>
              <w:bottom w:val="single" w:sz="8" w:color="CCEEFF"/>
            </w:tcBorders>
            <w:shd w:val="clear" w:color="auto" w:fill="CCEEFF"/>
          </w:tcPr>
          <w:p>
            <w:pPr>
              <w:spacing w:after="0"/>
              <w:rPr>
                <w:sz w:val="21"/>
                <w:szCs w:val="21"/>
                <w:color w:val="auto"/>
              </w:rPr>
            </w:pPr>
          </w:p>
        </w:tc>
      </w:tr>
      <w:tr>
        <w:trPr>
          <w:trHeight w:val="243"/>
        </w:trPr>
        <w:tc>
          <w:tcPr>
            <w:tcW w:w="320" w:type="dxa"/>
            <w:vAlign w:val="bottom"/>
          </w:tcPr>
          <w:p>
            <w:pPr>
              <w:ind w:left="40"/>
              <w:spacing w:after="0"/>
              <w:rPr>
                <w:sz w:val="20"/>
                <w:szCs w:val="20"/>
                <w:color w:val="auto"/>
              </w:rPr>
            </w:pPr>
            <w:r>
              <w:rPr>
                <w:rFonts w:ascii="Arial" w:cs="Arial" w:eastAsia="Arial" w:hAnsi="Arial"/>
                <w:sz w:val="18"/>
                <w:szCs w:val="18"/>
                <w:color w:val="auto"/>
                <w:w w:val="86"/>
              </w:rPr>
              <w:t>333</w:t>
            </w:r>
          </w:p>
        </w:tc>
        <w:tc>
          <w:tcPr>
            <w:tcW w:w="4140" w:type="dxa"/>
            <w:vAlign w:val="bottom"/>
            <w:gridSpan w:val="2"/>
          </w:tcPr>
          <w:p>
            <w:pPr>
              <w:ind w:left="20"/>
              <w:spacing w:after="0"/>
              <w:rPr>
                <w:sz w:val="20"/>
                <w:szCs w:val="20"/>
                <w:color w:val="auto"/>
              </w:rPr>
            </w:pPr>
            <w:r>
              <w:rPr>
                <w:rFonts w:ascii="Arial" w:cs="Arial" w:eastAsia="Arial" w:hAnsi="Arial"/>
                <w:sz w:val="18"/>
                <w:szCs w:val="18"/>
                <w:color w:val="auto"/>
              </w:rPr>
              <w:t>Rector Park-River Rose LLC</w:t>
            </w:r>
          </w:p>
        </w:tc>
        <w:tc>
          <w:tcPr>
            <w:tcW w:w="2120" w:type="dxa"/>
            <w:vAlign w:val="bottom"/>
          </w:tcPr>
          <w:p>
            <w:pPr>
              <w:ind w:left="820"/>
              <w:spacing w:after="0"/>
              <w:rPr>
                <w:sz w:val="20"/>
                <w:szCs w:val="20"/>
                <w:color w:val="auto"/>
              </w:rPr>
            </w:pPr>
            <w:r>
              <w:rPr>
                <w:rFonts w:ascii="Arial" w:cs="Arial" w:eastAsia="Arial" w:hAnsi="Arial"/>
                <w:sz w:val="18"/>
                <w:szCs w:val="18"/>
                <w:color w:val="auto"/>
              </w:rPr>
              <w:t>Delaware</w:t>
            </w:r>
          </w:p>
        </w:tc>
        <w:tc>
          <w:tcPr>
            <w:tcW w:w="4560" w:type="dxa"/>
            <w:vAlign w:val="bottom"/>
          </w:tcPr>
          <w:p>
            <w:pPr>
              <w:ind w:left="140"/>
              <w:spacing w:after="0"/>
              <w:rPr>
                <w:sz w:val="20"/>
                <w:szCs w:val="20"/>
                <w:color w:val="auto"/>
              </w:rPr>
            </w:pPr>
            <w:r>
              <w:rPr>
                <w:rFonts w:ascii="Arial" w:cs="Arial" w:eastAsia="Arial" w:hAnsi="Arial"/>
                <w:sz w:val="18"/>
                <w:szCs w:val="18"/>
                <w:color w:val="auto"/>
              </w:rPr>
              <w:t>iStar Garden City LLC</w:t>
            </w:r>
          </w:p>
        </w:tc>
      </w:tr>
      <w:tr>
        <w:trPr>
          <w:trHeight w:val="27"/>
        </w:trPr>
        <w:tc>
          <w:tcPr>
            <w:tcW w:w="320" w:type="dxa"/>
            <w:vAlign w:val="bottom"/>
          </w:tcPr>
          <w:p>
            <w:pPr>
              <w:spacing w:after="0"/>
              <w:rPr>
                <w:sz w:val="2"/>
                <w:szCs w:val="2"/>
                <w:color w:val="auto"/>
              </w:rPr>
            </w:pPr>
          </w:p>
        </w:tc>
        <w:tc>
          <w:tcPr>
            <w:tcW w:w="4140" w:type="dxa"/>
            <w:vAlign w:val="bottom"/>
            <w:gridSpan w:val="2"/>
          </w:tcPr>
          <w:p>
            <w:pPr>
              <w:spacing w:after="0"/>
              <w:rPr>
                <w:sz w:val="2"/>
                <w:szCs w:val="2"/>
                <w:color w:val="auto"/>
              </w:rPr>
            </w:pPr>
          </w:p>
        </w:tc>
        <w:tc>
          <w:tcPr>
            <w:tcW w:w="212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6"/>
              </w:rPr>
              <w:t>377</w:t>
            </w:r>
          </w:p>
        </w:tc>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East 33rd Investor LLC</w:t>
            </w:r>
          </w:p>
        </w:tc>
        <w:tc>
          <w:tcPr>
            <w:tcW w:w="2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Delaware</w:t>
            </w:r>
          </w:p>
        </w:tc>
        <w:tc>
          <w:tcPr>
            <w:tcW w:w="4560" w:type="dxa"/>
            <w:vAlign w:val="bottom"/>
            <w:tcBorders>
              <w:bottom w:val="single" w:sz="8" w:color="CCEEFF"/>
            </w:tcBorders>
            <w:shd w:val="clear" w:color="auto" w:fill="CCEEFF"/>
          </w:tcPr>
          <w:p>
            <w:pPr>
              <w:spacing w:after="0"/>
              <w:rPr>
                <w:sz w:val="21"/>
                <w:szCs w:val="21"/>
                <w:color w:val="auto"/>
              </w:rPr>
            </w:pPr>
          </w:p>
        </w:tc>
      </w:tr>
      <w:tr>
        <w:trPr>
          <w:trHeight w:val="243"/>
        </w:trPr>
        <w:tc>
          <w:tcPr>
            <w:tcW w:w="320" w:type="dxa"/>
            <w:vAlign w:val="bottom"/>
          </w:tcPr>
          <w:p>
            <w:pPr>
              <w:ind w:left="40"/>
              <w:spacing w:after="0"/>
              <w:rPr>
                <w:sz w:val="20"/>
                <w:szCs w:val="20"/>
                <w:color w:val="auto"/>
              </w:rPr>
            </w:pPr>
            <w:r>
              <w:rPr>
                <w:rFonts w:ascii="Arial" w:cs="Arial" w:eastAsia="Arial" w:hAnsi="Arial"/>
                <w:sz w:val="18"/>
                <w:szCs w:val="18"/>
                <w:color w:val="auto"/>
                <w:w w:val="86"/>
              </w:rPr>
              <w:t>401</w:t>
            </w:r>
          </w:p>
        </w:tc>
        <w:tc>
          <w:tcPr>
            <w:tcW w:w="4140" w:type="dxa"/>
            <w:vAlign w:val="bottom"/>
            <w:gridSpan w:val="2"/>
          </w:tcPr>
          <w:p>
            <w:pPr>
              <w:ind w:left="20"/>
              <w:spacing w:after="0"/>
              <w:rPr>
                <w:sz w:val="20"/>
                <w:szCs w:val="20"/>
                <w:color w:val="auto"/>
              </w:rPr>
            </w:pPr>
            <w:r>
              <w:rPr>
                <w:rFonts w:ascii="Arial" w:cs="Arial" w:eastAsia="Arial" w:hAnsi="Arial"/>
                <w:sz w:val="18"/>
                <w:szCs w:val="18"/>
                <w:color w:val="auto"/>
              </w:rPr>
              <w:t>W Michigan Street-Milwaukee LLC</w:t>
            </w:r>
          </w:p>
        </w:tc>
        <w:tc>
          <w:tcPr>
            <w:tcW w:w="2120" w:type="dxa"/>
            <w:vAlign w:val="bottom"/>
          </w:tcPr>
          <w:p>
            <w:pPr>
              <w:ind w:left="820"/>
              <w:spacing w:after="0"/>
              <w:rPr>
                <w:sz w:val="20"/>
                <w:szCs w:val="20"/>
                <w:color w:val="auto"/>
              </w:rPr>
            </w:pPr>
            <w:r>
              <w:rPr>
                <w:rFonts w:ascii="Arial" w:cs="Arial" w:eastAsia="Arial" w:hAnsi="Arial"/>
                <w:sz w:val="18"/>
                <w:szCs w:val="18"/>
                <w:color w:val="auto"/>
              </w:rPr>
              <w:t>Delaware</w:t>
            </w:r>
          </w:p>
        </w:tc>
        <w:tc>
          <w:tcPr>
            <w:tcW w:w="4560" w:type="dxa"/>
            <w:vAlign w:val="bottom"/>
          </w:tcPr>
          <w:p>
            <w:pPr>
              <w:spacing w:after="0"/>
              <w:rPr>
                <w:sz w:val="21"/>
                <w:szCs w:val="21"/>
                <w:color w:val="auto"/>
              </w:rPr>
            </w:pPr>
          </w:p>
        </w:tc>
      </w:tr>
      <w:tr>
        <w:trPr>
          <w:trHeight w:val="27"/>
        </w:trPr>
        <w:tc>
          <w:tcPr>
            <w:tcW w:w="4460" w:type="dxa"/>
            <w:vAlign w:val="bottom"/>
            <w:gridSpan w:val="3"/>
          </w:tcPr>
          <w:p>
            <w:pPr>
              <w:spacing w:after="0"/>
              <w:rPr>
                <w:sz w:val="2"/>
                <w:szCs w:val="2"/>
                <w:color w:val="auto"/>
              </w:rPr>
            </w:pPr>
          </w:p>
        </w:tc>
        <w:tc>
          <w:tcPr>
            <w:tcW w:w="212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475-525 Sycamore Drive-Milpitas LLC</w:t>
            </w:r>
          </w:p>
        </w:tc>
        <w:tc>
          <w:tcPr>
            <w:tcW w:w="2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Delaware</w:t>
            </w:r>
          </w:p>
        </w:tc>
        <w:tc>
          <w:tcPr>
            <w:tcW w:w="456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500 Woodward LLC</w:t>
            </w:r>
          </w:p>
        </w:tc>
        <w:tc>
          <w:tcPr>
            <w:tcW w:w="2120" w:type="dxa"/>
            <w:vAlign w:val="bottom"/>
          </w:tcPr>
          <w:p>
            <w:pPr>
              <w:ind w:left="820"/>
              <w:spacing w:after="0"/>
              <w:rPr>
                <w:sz w:val="20"/>
                <w:szCs w:val="20"/>
                <w:color w:val="auto"/>
              </w:rPr>
            </w:pPr>
            <w:r>
              <w:rPr>
                <w:rFonts w:ascii="Arial" w:cs="Arial" w:eastAsia="Arial" w:hAnsi="Arial"/>
                <w:sz w:val="18"/>
                <w:szCs w:val="18"/>
                <w:color w:val="auto"/>
              </w:rPr>
              <w:t>Delaware</w:t>
            </w:r>
          </w:p>
        </w:tc>
        <w:tc>
          <w:tcPr>
            <w:tcW w:w="4560" w:type="dxa"/>
            <w:vAlign w:val="bottom"/>
          </w:tcPr>
          <w:p>
            <w:pPr>
              <w:spacing w:after="0"/>
              <w:rPr>
                <w:sz w:val="21"/>
                <w:szCs w:val="21"/>
                <w:color w:val="auto"/>
              </w:rPr>
            </w:pPr>
          </w:p>
        </w:tc>
      </w:tr>
      <w:tr>
        <w:trPr>
          <w:trHeight w:val="27"/>
        </w:trPr>
        <w:tc>
          <w:tcPr>
            <w:tcW w:w="420" w:type="dxa"/>
            <w:vAlign w:val="bottom"/>
            <w:gridSpan w:val="2"/>
          </w:tcPr>
          <w:p>
            <w:pPr>
              <w:spacing w:after="0"/>
              <w:rPr>
                <w:sz w:val="2"/>
                <w:szCs w:val="2"/>
                <w:color w:val="auto"/>
              </w:rPr>
            </w:pPr>
          </w:p>
        </w:tc>
        <w:tc>
          <w:tcPr>
            <w:tcW w:w="4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89"/>
              </w:rPr>
              <w:t>1000</w:t>
            </w:r>
          </w:p>
        </w:tc>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South Clark Street LLC</w:t>
            </w:r>
          </w:p>
        </w:tc>
        <w:tc>
          <w:tcPr>
            <w:tcW w:w="2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Delaware</w:t>
            </w:r>
          </w:p>
        </w:tc>
        <w:tc>
          <w:tcPr>
            <w:tcW w:w="4560" w:type="dxa"/>
            <w:vAlign w:val="bottom"/>
            <w:tcBorders>
              <w:bottom w:val="single" w:sz="8" w:color="CCEEFF"/>
            </w:tcBorders>
            <w:shd w:val="clear" w:color="auto" w:fill="CCEEFF"/>
          </w:tcPr>
          <w:p>
            <w:pPr>
              <w:spacing w:after="0"/>
              <w:rPr>
                <w:sz w:val="21"/>
                <w:szCs w:val="21"/>
                <w:color w:val="auto"/>
              </w:rPr>
            </w:pPr>
          </w:p>
        </w:tc>
      </w:tr>
      <w:tr>
        <w:trPr>
          <w:trHeight w:val="243"/>
        </w:trPr>
        <w:tc>
          <w:tcPr>
            <w:tcW w:w="420" w:type="dxa"/>
            <w:vAlign w:val="bottom"/>
            <w:gridSpan w:val="2"/>
          </w:tcPr>
          <w:p>
            <w:pPr>
              <w:ind w:left="40"/>
              <w:spacing w:after="0"/>
              <w:rPr>
                <w:sz w:val="20"/>
                <w:szCs w:val="20"/>
                <w:color w:val="auto"/>
              </w:rPr>
            </w:pPr>
            <w:r>
              <w:rPr>
                <w:rFonts w:ascii="Arial" w:cs="Arial" w:eastAsia="Arial" w:hAnsi="Arial"/>
                <w:sz w:val="18"/>
                <w:szCs w:val="18"/>
                <w:color w:val="auto"/>
                <w:w w:val="89"/>
              </w:rPr>
              <w:t>1000</w:t>
            </w:r>
          </w:p>
        </w:tc>
        <w:tc>
          <w:tcPr>
            <w:tcW w:w="4040" w:type="dxa"/>
            <w:vAlign w:val="bottom"/>
          </w:tcPr>
          <w:p>
            <w:pPr>
              <w:ind w:left="20"/>
              <w:spacing w:after="0"/>
              <w:rPr>
                <w:sz w:val="20"/>
                <w:szCs w:val="20"/>
                <w:color w:val="auto"/>
              </w:rPr>
            </w:pPr>
            <w:r>
              <w:rPr>
                <w:rFonts w:ascii="Arial" w:cs="Arial" w:eastAsia="Arial" w:hAnsi="Arial"/>
                <w:sz w:val="18"/>
                <w:szCs w:val="18"/>
                <w:color w:val="auto"/>
              </w:rPr>
              <w:t>South Clark Holdings LLC</w:t>
            </w:r>
          </w:p>
        </w:tc>
        <w:tc>
          <w:tcPr>
            <w:tcW w:w="2120" w:type="dxa"/>
            <w:vAlign w:val="bottom"/>
          </w:tcPr>
          <w:p>
            <w:pPr>
              <w:ind w:left="820"/>
              <w:spacing w:after="0"/>
              <w:rPr>
                <w:sz w:val="20"/>
                <w:szCs w:val="20"/>
                <w:color w:val="auto"/>
              </w:rPr>
            </w:pPr>
            <w:r>
              <w:rPr>
                <w:rFonts w:ascii="Arial" w:cs="Arial" w:eastAsia="Arial" w:hAnsi="Arial"/>
                <w:sz w:val="18"/>
                <w:szCs w:val="18"/>
                <w:color w:val="auto"/>
              </w:rPr>
              <w:t>Delaware</w:t>
            </w:r>
          </w:p>
        </w:tc>
        <w:tc>
          <w:tcPr>
            <w:tcW w:w="4560" w:type="dxa"/>
            <w:vAlign w:val="bottom"/>
          </w:tcPr>
          <w:p>
            <w:pPr>
              <w:spacing w:after="0"/>
              <w:rPr>
                <w:sz w:val="21"/>
                <w:szCs w:val="21"/>
                <w:color w:val="auto"/>
              </w:rPr>
            </w:pPr>
          </w:p>
        </w:tc>
      </w:tr>
      <w:tr>
        <w:trPr>
          <w:trHeight w:val="27"/>
        </w:trPr>
        <w:tc>
          <w:tcPr>
            <w:tcW w:w="420" w:type="dxa"/>
            <w:vAlign w:val="bottom"/>
            <w:gridSpan w:val="2"/>
          </w:tcPr>
          <w:p>
            <w:pPr>
              <w:spacing w:after="0"/>
              <w:rPr>
                <w:sz w:val="2"/>
                <w:szCs w:val="2"/>
                <w:color w:val="auto"/>
              </w:rPr>
            </w:pPr>
          </w:p>
        </w:tc>
        <w:tc>
          <w:tcPr>
            <w:tcW w:w="4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89"/>
              </w:rPr>
              <w:t>1000</w:t>
            </w:r>
          </w:p>
        </w:tc>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South Clark Street Partners LLC</w:t>
            </w:r>
          </w:p>
        </w:tc>
        <w:tc>
          <w:tcPr>
            <w:tcW w:w="2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Delaware</w:t>
            </w:r>
          </w:p>
        </w:tc>
        <w:tc>
          <w:tcPr>
            <w:tcW w:w="4560" w:type="dxa"/>
            <w:vAlign w:val="bottom"/>
            <w:tcBorders>
              <w:bottom w:val="single" w:sz="8" w:color="CCEEFF"/>
            </w:tcBorders>
            <w:shd w:val="clear" w:color="auto" w:fill="CCEEFF"/>
          </w:tcPr>
          <w:p>
            <w:pPr>
              <w:spacing w:after="0"/>
              <w:rPr>
                <w:sz w:val="21"/>
                <w:szCs w:val="21"/>
                <w:color w:val="auto"/>
              </w:rPr>
            </w:pPr>
          </w:p>
        </w:tc>
      </w:tr>
      <w:tr>
        <w:trPr>
          <w:trHeight w:val="243"/>
        </w:trPr>
        <w:tc>
          <w:tcPr>
            <w:tcW w:w="420" w:type="dxa"/>
            <w:vAlign w:val="bottom"/>
            <w:gridSpan w:val="2"/>
          </w:tcPr>
          <w:p>
            <w:pPr>
              <w:ind w:left="40"/>
              <w:spacing w:after="0"/>
              <w:rPr>
                <w:sz w:val="20"/>
                <w:szCs w:val="20"/>
                <w:color w:val="auto"/>
              </w:rPr>
            </w:pPr>
            <w:r>
              <w:rPr>
                <w:rFonts w:ascii="Arial" w:cs="Arial" w:eastAsia="Arial" w:hAnsi="Arial"/>
                <w:sz w:val="18"/>
                <w:szCs w:val="18"/>
                <w:color w:val="auto"/>
                <w:w w:val="89"/>
              </w:rPr>
              <w:t>1050</w:t>
            </w:r>
          </w:p>
        </w:tc>
        <w:tc>
          <w:tcPr>
            <w:tcW w:w="4040" w:type="dxa"/>
            <w:vAlign w:val="bottom"/>
          </w:tcPr>
          <w:p>
            <w:pPr>
              <w:ind w:left="20"/>
              <w:spacing w:after="0"/>
              <w:rPr>
                <w:sz w:val="20"/>
                <w:szCs w:val="20"/>
                <w:color w:val="auto"/>
              </w:rPr>
            </w:pPr>
            <w:r>
              <w:rPr>
                <w:rFonts w:ascii="Arial" w:cs="Arial" w:eastAsia="Arial" w:hAnsi="Arial"/>
                <w:sz w:val="18"/>
                <w:szCs w:val="18"/>
                <w:color w:val="auto"/>
              </w:rPr>
              <w:t>N. El Mirage Road-Avondale LLC</w:t>
            </w:r>
          </w:p>
        </w:tc>
        <w:tc>
          <w:tcPr>
            <w:tcW w:w="2120" w:type="dxa"/>
            <w:vAlign w:val="bottom"/>
          </w:tcPr>
          <w:p>
            <w:pPr>
              <w:ind w:left="820"/>
              <w:spacing w:after="0"/>
              <w:rPr>
                <w:sz w:val="20"/>
                <w:szCs w:val="20"/>
                <w:color w:val="auto"/>
              </w:rPr>
            </w:pPr>
            <w:r>
              <w:rPr>
                <w:rFonts w:ascii="Arial" w:cs="Arial" w:eastAsia="Arial" w:hAnsi="Arial"/>
                <w:sz w:val="18"/>
                <w:szCs w:val="18"/>
                <w:color w:val="auto"/>
              </w:rPr>
              <w:t>Delaware</w:t>
            </w:r>
          </w:p>
        </w:tc>
        <w:tc>
          <w:tcPr>
            <w:tcW w:w="4560" w:type="dxa"/>
            <w:vAlign w:val="bottom"/>
          </w:tcPr>
          <w:p>
            <w:pPr>
              <w:spacing w:after="0"/>
              <w:rPr>
                <w:sz w:val="21"/>
                <w:szCs w:val="21"/>
                <w:color w:val="auto"/>
              </w:rPr>
            </w:pPr>
          </w:p>
        </w:tc>
      </w:tr>
      <w:tr>
        <w:trPr>
          <w:trHeight w:val="27"/>
        </w:trPr>
        <w:tc>
          <w:tcPr>
            <w:tcW w:w="420" w:type="dxa"/>
            <w:vAlign w:val="bottom"/>
            <w:gridSpan w:val="2"/>
          </w:tcPr>
          <w:p>
            <w:pPr>
              <w:spacing w:after="0"/>
              <w:rPr>
                <w:sz w:val="2"/>
                <w:szCs w:val="2"/>
                <w:color w:val="auto"/>
              </w:rPr>
            </w:pPr>
          </w:p>
        </w:tc>
        <w:tc>
          <w:tcPr>
            <w:tcW w:w="4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89"/>
              </w:rPr>
              <w:t>1250</w:t>
            </w:r>
          </w:p>
        </w:tc>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 El Mirage Road-Avondale LLC</w:t>
            </w:r>
          </w:p>
        </w:tc>
        <w:tc>
          <w:tcPr>
            <w:tcW w:w="2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Delaware</w:t>
            </w:r>
          </w:p>
        </w:tc>
        <w:tc>
          <w:tcPr>
            <w:tcW w:w="456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1504-1530 McCarthy Boulevard-Milpitas LLC</w:t>
            </w:r>
          </w:p>
        </w:tc>
        <w:tc>
          <w:tcPr>
            <w:tcW w:w="2120" w:type="dxa"/>
            <w:vAlign w:val="bottom"/>
          </w:tcPr>
          <w:p>
            <w:pPr>
              <w:ind w:left="820"/>
              <w:spacing w:after="0"/>
              <w:rPr>
                <w:sz w:val="20"/>
                <w:szCs w:val="20"/>
                <w:color w:val="auto"/>
              </w:rPr>
            </w:pPr>
            <w:r>
              <w:rPr>
                <w:rFonts w:ascii="Arial" w:cs="Arial" w:eastAsia="Arial" w:hAnsi="Arial"/>
                <w:sz w:val="18"/>
                <w:szCs w:val="18"/>
                <w:color w:val="auto"/>
              </w:rPr>
              <w:t>Delaware</w:t>
            </w:r>
          </w:p>
        </w:tc>
        <w:tc>
          <w:tcPr>
            <w:tcW w:w="4560" w:type="dxa"/>
            <w:vAlign w:val="bottom"/>
          </w:tcPr>
          <w:p>
            <w:pPr>
              <w:spacing w:after="0"/>
              <w:rPr>
                <w:sz w:val="21"/>
                <w:szCs w:val="21"/>
                <w:color w:val="auto"/>
              </w:rPr>
            </w:pPr>
          </w:p>
        </w:tc>
      </w:tr>
      <w:tr>
        <w:trPr>
          <w:trHeight w:val="27"/>
        </w:trPr>
        <w:tc>
          <w:tcPr>
            <w:tcW w:w="420" w:type="dxa"/>
            <w:vAlign w:val="bottom"/>
            <w:gridSpan w:val="2"/>
          </w:tcPr>
          <w:p>
            <w:pPr>
              <w:spacing w:after="0"/>
              <w:rPr>
                <w:sz w:val="2"/>
                <w:szCs w:val="2"/>
                <w:color w:val="auto"/>
              </w:rPr>
            </w:pPr>
          </w:p>
        </w:tc>
        <w:tc>
          <w:tcPr>
            <w:tcW w:w="4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89"/>
              </w:rPr>
              <w:t>1515</w:t>
            </w:r>
          </w:p>
        </w:tc>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Dock Street-Tacoma LLC</w:t>
            </w:r>
          </w:p>
        </w:tc>
        <w:tc>
          <w:tcPr>
            <w:tcW w:w="2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Delaware</w:t>
            </w:r>
          </w:p>
        </w:tc>
        <w:tc>
          <w:tcPr>
            <w:tcW w:w="456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1812 North Moore Lender LLC</w:t>
            </w:r>
          </w:p>
        </w:tc>
        <w:tc>
          <w:tcPr>
            <w:tcW w:w="2120" w:type="dxa"/>
            <w:vAlign w:val="bottom"/>
          </w:tcPr>
          <w:p>
            <w:pPr>
              <w:ind w:left="820"/>
              <w:spacing w:after="0"/>
              <w:rPr>
                <w:sz w:val="20"/>
                <w:szCs w:val="20"/>
                <w:color w:val="auto"/>
              </w:rPr>
            </w:pPr>
            <w:r>
              <w:rPr>
                <w:rFonts w:ascii="Arial" w:cs="Arial" w:eastAsia="Arial" w:hAnsi="Arial"/>
                <w:sz w:val="18"/>
                <w:szCs w:val="18"/>
                <w:color w:val="auto"/>
              </w:rPr>
              <w:t>Delaware</w:t>
            </w:r>
          </w:p>
        </w:tc>
        <w:tc>
          <w:tcPr>
            <w:tcW w:w="4560" w:type="dxa"/>
            <w:vAlign w:val="bottom"/>
          </w:tcPr>
          <w:p>
            <w:pPr>
              <w:spacing w:after="0"/>
              <w:rPr>
                <w:sz w:val="21"/>
                <w:szCs w:val="21"/>
                <w:color w:val="auto"/>
              </w:rPr>
            </w:pPr>
          </w:p>
        </w:tc>
      </w:tr>
      <w:tr>
        <w:trPr>
          <w:trHeight w:val="27"/>
        </w:trPr>
        <w:tc>
          <w:tcPr>
            <w:tcW w:w="420" w:type="dxa"/>
            <w:vAlign w:val="bottom"/>
            <w:gridSpan w:val="2"/>
          </w:tcPr>
          <w:p>
            <w:pPr>
              <w:spacing w:after="0"/>
              <w:rPr>
                <w:sz w:val="2"/>
                <w:szCs w:val="2"/>
                <w:color w:val="auto"/>
              </w:rPr>
            </w:pPr>
          </w:p>
        </w:tc>
        <w:tc>
          <w:tcPr>
            <w:tcW w:w="4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89"/>
              </w:rPr>
              <w:t>1855</w:t>
            </w:r>
          </w:p>
        </w:tc>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Barber Lane-Milpitas LLC</w:t>
            </w:r>
          </w:p>
        </w:tc>
        <w:tc>
          <w:tcPr>
            <w:tcW w:w="2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Delaware</w:t>
            </w:r>
          </w:p>
        </w:tc>
        <w:tc>
          <w:tcPr>
            <w:tcW w:w="456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2003-2007 Nonconnah Boulevard-Memphis LLC</w:t>
            </w:r>
          </w:p>
        </w:tc>
        <w:tc>
          <w:tcPr>
            <w:tcW w:w="2120" w:type="dxa"/>
            <w:vAlign w:val="bottom"/>
          </w:tcPr>
          <w:p>
            <w:pPr>
              <w:ind w:left="820"/>
              <w:spacing w:after="0"/>
              <w:rPr>
                <w:sz w:val="20"/>
                <w:szCs w:val="20"/>
                <w:color w:val="auto"/>
              </w:rPr>
            </w:pPr>
            <w:r>
              <w:rPr>
                <w:rFonts w:ascii="Arial" w:cs="Arial" w:eastAsia="Arial" w:hAnsi="Arial"/>
                <w:sz w:val="18"/>
                <w:szCs w:val="18"/>
                <w:color w:val="auto"/>
              </w:rPr>
              <w:t>Delaware</w:t>
            </w:r>
          </w:p>
        </w:tc>
        <w:tc>
          <w:tcPr>
            <w:tcW w:w="4560" w:type="dxa"/>
            <w:vAlign w:val="bottom"/>
          </w:tcPr>
          <w:p>
            <w:pPr>
              <w:spacing w:after="0"/>
              <w:rPr>
                <w:sz w:val="21"/>
                <w:szCs w:val="21"/>
                <w:color w:val="auto"/>
              </w:rPr>
            </w:pPr>
          </w:p>
        </w:tc>
      </w:tr>
      <w:tr>
        <w:trPr>
          <w:trHeight w:val="27"/>
        </w:trPr>
        <w:tc>
          <w:tcPr>
            <w:tcW w:w="420" w:type="dxa"/>
            <w:vAlign w:val="bottom"/>
            <w:gridSpan w:val="2"/>
          </w:tcPr>
          <w:p>
            <w:pPr>
              <w:spacing w:after="0"/>
              <w:rPr>
                <w:sz w:val="2"/>
                <w:szCs w:val="2"/>
                <w:color w:val="auto"/>
              </w:rPr>
            </w:pPr>
          </w:p>
        </w:tc>
        <w:tc>
          <w:tcPr>
            <w:tcW w:w="4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89"/>
              </w:rPr>
              <w:t>2021</w:t>
            </w:r>
          </w:p>
        </w:tc>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Lakeside Boulevard-Richardson LLC</w:t>
            </w:r>
          </w:p>
        </w:tc>
        <w:tc>
          <w:tcPr>
            <w:tcW w:w="2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Delaware</w:t>
            </w:r>
          </w:p>
        </w:tc>
        <w:tc>
          <w:tcPr>
            <w:tcW w:w="4560" w:type="dxa"/>
            <w:vAlign w:val="bottom"/>
            <w:tcBorders>
              <w:bottom w:val="single" w:sz="8" w:color="CCEEFF"/>
            </w:tcBorders>
            <w:shd w:val="clear" w:color="auto" w:fill="CCEEFF"/>
          </w:tcPr>
          <w:p>
            <w:pPr>
              <w:spacing w:after="0"/>
              <w:rPr>
                <w:sz w:val="21"/>
                <w:szCs w:val="21"/>
                <w:color w:val="auto"/>
              </w:rPr>
            </w:pPr>
          </w:p>
        </w:tc>
      </w:tr>
      <w:tr>
        <w:trPr>
          <w:trHeight w:val="243"/>
        </w:trPr>
        <w:tc>
          <w:tcPr>
            <w:tcW w:w="420" w:type="dxa"/>
            <w:vAlign w:val="bottom"/>
            <w:gridSpan w:val="2"/>
          </w:tcPr>
          <w:p>
            <w:pPr>
              <w:ind w:left="40"/>
              <w:spacing w:after="0"/>
              <w:rPr>
                <w:sz w:val="20"/>
                <w:szCs w:val="20"/>
                <w:color w:val="auto"/>
              </w:rPr>
            </w:pPr>
            <w:r>
              <w:rPr>
                <w:rFonts w:ascii="Arial" w:cs="Arial" w:eastAsia="Arial" w:hAnsi="Arial"/>
                <w:sz w:val="18"/>
                <w:szCs w:val="18"/>
                <w:color w:val="auto"/>
                <w:w w:val="89"/>
              </w:rPr>
              <w:t>2220</w:t>
            </w:r>
          </w:p>
        </w:tc>
        <w:tc>
          <w:tcPr>
            <w:tcW w:w="4040" w:type="dxa"/>
            <w:vAlign w:val="bottom"/>
          </w:tcPr>
          <w:p>
            <w:pPr>
              <w:ind w:left="20"/>
              <w:spacing w:after="0"/>
              <w:rPr>
                <w:sz w:val="20"/>
                <w:szCs w:val="20"/>
                <w:color w:val="auto"/>
              </w:rPr>
            </w:pPr>
            <w:r>
              <w:rPr>
                <w:rFonts w:ascii="Arial" w:cs="Arial" w:eastAsia="Arial" w:hAnsi="Arial"/>
                <w:sz w:val="18"/>
                <w:szCs w:val="18"/>
                <w:color w:val="auto"/>
              </w:rPr>
              <w:t>West First Street-Fort Myers LLC</w:t>
            </w:r>
          </w:p>
        </w:tc>
        <w:tc>
          <w:tcPr>
            <w:tcW w:w="2120" w:type="dxa"/>
            <w:vAlign w:val="bottom"/>
          </w:tcPr>
          <w:p>
            <w:pPr>
              <w:ind w:left="820"/>
              <w:spacing w:after="0"/>
              <w:rPr>
                <w:sz w:val="20"/>
                <w:szCs w:val="20"/>
                <w:color w:val="auto"/>
              </w:rPr>
            </w:pPr>
            <w:r>
              <w:rPr>
                <w:rFonts w:ascii="Arial" w:cs="Arial" w:eastAsia="Arial" w:hAnsi="Arial"/>
                <w:sz w:val="18"/>
                <w:szCs w:val="18"/>
                <w:color w:val="auto"/>
              </w:rPr>
              <w:t>Delaware</w:t>
            </w:r>
          </w:p>
        </w:tc>
        <w:tc>
          <w:tcPr>
            <w:tcW w:w="4560" w:type="dxa"/>
            <w:vAlign w:val="bottom"/>
          </w:tcPr>
          <w:p>
            <w:pPr>
              <w:spacing w:after="0"/>
              <w:rPr>
                <w:sz w:val="21"/>
                <w:szCs w:val="21"/>
                <w:color w:val="auto"/>
              </w:rPr>
            </w:pPr>
          </w:p>
        </w:tc>
      </w:tr>
      <w:tr>
        <w:trPr>
          <w:trHeight w:val="27"/>
        </w:trPr>
        <w:tc>
          <w:tcPr>
            <w:tcW w:w="4460" w:type="dxa"/>
            <w:vAlign w:val="bottom"/>
            <w:gridSpan w:val="3"/>
          </w:tcPr>
          <w:p>
            <w:pPr>
              <w:spacing w:after="0"/>
              <w:rPr>
                <w:sz w:val="2"/>
                <w:szCs w:val="2"/>
                <w:color w:val="auto"/>
              </w:rPr>
            </w:pPr>
          </w:p>
        </w:tc>
        <w:tc>
          <w:tcPr>
            <w:tcW w:w="212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2611 Corporate West Drive Venture LLC</w:t>
            </w:r>
          </w:p>
        </w:tc>
        <w:tc>
          <w:tcPr>
            <w:tcW w:w="2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Delaware</w:t>
            </w:r>
          </w:p>
        </w:tc>
        <w:tc>
          <w:tcPr>
            <w:tcW w:w="456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2611 CWD Net Lease REIT</w:t>
            </w:r>
          </w:p>
        </w:tc>
        <w:tc>
          <w:tcPr>
            <w:tcW w:w="2120" w:type="dxa"/>
            <w:vAlign w:val="bottom"/>
          </w:tcPr>
          <w:p>
            <w:pPr>
              <w:ind w:left="820"/>
              <w:spacing w:after="0"/>
              <w:rPr>
                <w:sz w:val="20"/>
                <w:szCs w:val="20"/>
                <w:color w:val="auto"/>
              </w:rPr>
            </w:pPr>
            <w:r>
              <w:rPr>
                <w:rFonts w:ascii="Arial" w:cs="Arial" w:eastAsia="Arial" w:hAnsi="Arial"/>
                <w:sz w:val="18"/>
                <w:szCs w:val="18"/>
                <w:color w:val="auto"/>
              </w:rPr>
              <w:t>Maryland</w:t>
            </w:r>
          </w:p>
        </w:tc>
        <w:tc>
          <w:tcPr>
            <w:tcW w:w="4560" w:type="dxa"/>
            <w:vAlign w:val="bottom"/>
          </w:tcPr>
          <w:p>
            <w:pPr>
              <w:spacing w:after="0"/>
              <w:rPr>
                <w:sz w:val="21"/>
                <w:szCs w:val="21"/>
                <w:color w:val="auto"/>
              </w:rPr>
            </w:pPr>
          </w:p>
        </w:tc>
      </w:tr>
      <w:tr>
        <w:trPr>
          <w:trHeight w:val="27"/>
        </w:trPr>
        <w:tc>
          <w:tcPr>
            <w:tcW w:w="420" w:type="dxa"/>
            <w:vAlign w:val="bottom"/>
            <w:gridSpan w:val="2"/>
          </w:tcPr>
          <w:p>
            <w:pPr>
              <w:spacing w:after="0"/>
              <w:rPr>
                <w:sz w:val="2"/>
                <w:szCs w:val="2"/>
                <w:color w:val="auto"/>
              </w:rPr>
            </w:pPr>
          </w:p>
        </w:tc>
        <w:tc>
          <w:tcPr>
            <w:tcW w:w="4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89"/>
              </w:rPr>
              <w:t>2901</w:t>
            </w:r>
          </w:p>
        </w:tc>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Kinwest Parkway - Irving LLC</w:t>
            </w:r>
          </w:p>
        </w:tc>
        <w:tc>
          <w:tcPr>
            <w:tcW w:w="2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Delaware</w:t>
            </w:r>
          </w:p>
        </w:tc>
        <w:tc>
          <w:tcPr>
            <w:tcW w:w="4560" w:type="dxa"/>
            <w:vAlign w:val="bottom"/>
            <w:tcBorders>
              <w:bottom w:val="single" w:sz="8" w:color="CCEEFF"/>
            </w:tcBorders>
            <w:shd w:val="clear" w:color="auto" w:fill="CCEEFF"/>
          </w:tcPr>
          <w:p>
            <w:pPr>
              <w:spacing w:after="0"/>
              <w:rPr>
                <w:sz w:val="21"/>
                <w:szCs w:val="21"/>
                <w:color w:val="auto"/>
              </w:rPr>
            </w:pPr>
          </w:p>
        </w:tc>
      </w:tr>
      <w:tr>
        <w:trPr>
          <w:trHeight w:val="243"/>
        </w:trPr>
        <w:tc>
          <w:tcPr>
            <w:tcW w:w="420" w:type="dxa"/>
            <w:vAlign w:val="bottom"/>
            <w:gridSpan w:val="2"/>
          </w:tcPr>
          <w:p>
            <w:pPr>
              <w:ind w:left="40"/>
              <w:spacing w:after="0"/>
              <w:rPr>
                <w:sz w:val="20"/>
                <w:szCs w:val="20"/>
                <w:color w:val="auto"/>
              </w:rPr>
            </w:pPr>
            <w:r>
              <w:rPr>
                <w:rFonts w:ascii="Arial" w:cs="Arial" w:eastAsia="Arial" w:hAnsi="Arial"/>
                <w:sz w:val="18"/>
                <w:szCs w:val="18"/>
                <w:color w:val="auto"/>
                <w:w w:val="89"/>
              </w:rPr>
              <w:t>3000</w:t>
            </w:r>
          </w:p>
        </w:tc>
        <w:tc>
          <w:tcPr>
            <w:tcW w:w="4040" w:type="dxa"/>
            <w:vAlign w:val="bottom"/>
          </w:tcPr>
          <w:p>
            <w:pPr>
              <w:ind w:left="20"/>
              <w:spacing w:after="0"/>
              <w:rPr>
                <w:sz w:val="20"/>
                <w:szCs w:val="20"/>
                <w:color w:val="auto"/>
              </w:rPr>
            </w:pPr>
            <w:r>
              <w:rPr>
                <w:rFonts w:ascii="Arial" w:cs="Arial" w:eastAsia="Arial" w:hAnsi="Arial"/>
                <w:sz w:val="18"/>
                <w:szCs w:val="18"/>
                <w:color w:val="auto"/>
              </w:rPr>
              <w:t>Waterview Parkway-Richardson LLC</w:t>
            </w:r>
          </w:p>
        </w:tc>
        <w:tc>
          <w:tcPr>
            <w:tcW w:w="2120" w:type="dxa"/>
            <w:vAlign w:val="bottom"/>
          </w:tcPr>
          <w:p>
            <w:pPr>
              <w:ind w:left="820"/>
              <w:spacing w:after="0"/>
              <w:rPr>
                <w:sz w:val="20"/>
                <w:szCs w:val="20"/>
                <w:color w:val="auto"/>
              </w:rPr>
            </w:pPr>
            <w:r>
              <w:rPr>
                <w:rFonts w:ascii="Arial" w:cs="Arial" w:eastAsia="Arial" w:hAnsi="Arial"/>
                <w:sz w:val="18"/>
                <w:szCs w:val="18"/>
                <w:color w:val="auto"/>
              </w:rPr>
              <w:t>Delaware</w:t>
            </w:r>
          </w:p>
        </w:tc>
        <w:tc>
          <w:tcPr>
            <w:tcW w:w="4560" w:type="dxa"/>
            <w:vAlign w:val="bottom"/>
          </w:tcPr>
          <w:p>
            <w:pPr>
              <w:spacing w:after="0"/>
              <w:rPr>
                <w:sz w:val="21"/>
                <w:szCs w:val="21"/>
                <w:color w:val="auto"/>
              </w:rPr>
            </w:pPr>
          </w:p>
        </w:tc>
      </w:tr>
      <w:tr>
        <w:trPr>
          <w:trHeight w:val="27"/>
        </w:trPr>
        <w:tc>
          <w:tcPr>
            <w:tcW w:w="420" w:type="dxa"/>
            <w:vAlign w:val="bottom"/>
            <w:gridSpan w:val="2"/>
          </w:tcPr>
          <w:p>
            <w:pPr>
              <w:spacing w:after="0"/>
              <w:rPr>
                <w:sz w:val="2"/>
                <w:szCs w:val="2"/>
                <w:color w:val="auto"/>
              </w:rPr>
            </w:pPr>
          </w:p>
        </w:tc>
        <w:tc>
          <w:tcPr>
            <w:tcW w:w="4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89"/>
              </w:rPr>
              <w:t>3376</w:t>
            </w:r>
          </w:p>
        </w:tc>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Peachtree Hotel LLC</w:t>
            </w:r>
          </w:p>
        </w:tc>
        <w:tc>
          <w:tcPr>
            <w:tcW w:w="2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Delaware</w:t>
            </w:r>
          </w:p>
        </w:tc>
        <w:tc>
          <w:tcPr>
            <w:tcW w:w="4560" w:type="dxa"/>
            <w:vAlign w:val="bottom"/>
            <w:tcBorders>
              <w:bottom w:val="single" w:sz="8" w:color="CCEEFF"/>
            </w:tcBorders>
            <w:shd w:val="clear" w:color="auto" w:fill="CCEEFF"/>
          </w:tcPr>
          <w:p>
            <w:pPr>
              <w:spacing w:after="0"/>
              <w:rPr>
                <w:sz w:val="21"/>
                <w:szCs w:val="21"/>
                <w:color w:val="auto"/>
              </w:rPr>
            </w:pPr>
          </w:p>
        </w:tc>
      </w:tr>
      <w:tr>
        <w:trPr>
          <w:trHeight w:val="243"/>
        </w:trPr>
        <w:tc>
          <w:tcPr>
            <w:tcW w:w="420" w:type="dxa"/>
            <w:vAlign w:val="bottom"/>
            <w:gridSpan w:val="2"/>
          </w:tcPr>
          <w:p>
            <w:pPr>
              <w:ind w:left="40"/>
              <w:spacing w:after="0"/>
              <w:rPr>
                <w:sz w:val="20"/>
                <w:szCs w:val="20"/>
                <w:color w:val="auto"/>
              </w:rPr>
            </w:pPr>
            <w:r>
              <w:rPr>
                <w:rFonts w:ascii="Arial" w:cs="Arial" w:eastAsia="Arial" w:hAnsi="Arial"/>
                <w:sz w:val="18"/>
                <w:szCs w:val="18"/>
                <w:color w:val="auto"/>
                <w:w w:val="89"/>
              </w:rPr>
              <w:t>3376</w:t>
            </w:r>
          </w:p>
        </w:tc>
        <w:tc>
          <w:tcPr>
            <w:tcW w:w="4040" w:type="dxa"/>
            <w:vAlign w:val="bottom"/>
          </w:tcPr>
          <w:p>
            <w:pPr>
              <w:ind w:left="20"/>
              <w:spacing w:after="0"/>
              <w:rPr>
                <w:sz w:val="20"/>
                <w:szCs w:val="20"/>
                <w:color w:val="auto"/>
              </w:rPr>
            </w:pPr>
            <w:r>
              <w:rPr>
                <w:rFonts w:ascii="Arial" w:cs="Arial" w:eastAsia="Arial" w:hAnsi="Arial"/>
                <w:sz w:val="18"/>
                <w:szCs w:val="18"/>
                <w:color w:val="auto"/>
              </w:rPr>
              <w:t>Peachtree Hotel Operator LLC</w:t>
            </w:r>
          </w:p>
        </w:tc>
        <w:tc>
          <w:tcPr>
            <w:tcW w:w="2120" w:type="dxa"/>
            <w:vAlign w:val="bottom"/>
          </w:tcPr>
          <w:p>
            <w:pPr>
              <w:ind w:left="820"/>
              <w:spacing w:after="0"/>
              <w:rPr>
                <w:sz w:val="20"/>
                <w:szCs w:val="20"/>
                <w:color w:val="auto"/>
              </w:rPr>
            </w:pPr>
            <w:r>
              <w:rPr>
                <w:rFonts w:ascii="Arial" w:cs="Arial" w:eastAsia="Arial" w:hAnsi="Arial"/>
                <w:sz w:val="18"/>
                <w:szCs w:val="18"/>
                <w:color w:val="auto"/>
              </w:rPr>
              <w:t>Delaware</w:t>
            </w:r>
          </w:p>
        </w:tc>
        <w:tc>
          <w:tcPr>
            <w:tcW w:w="4560" w:type="dxa"/>
            <w:vAlign w:val="bottom"/>
          </w:tcPr>
          <w:p>
            <w:pPr>
              <w:spacing w:after="0"/>
              <w:rPr>
                <w:sz w:val="21"/>
                <w:szCs w:val="21"/>
                <w:color w:val="auto"/>
              </w:rPr>
            </w:pPr>
          </w:p>
        </w:tc>
      </w:tr>
      <w:tr>
        <w:trPr>
          <w:trHeight w:val="27"/>
        </w:trPr>
        <w:tc>
          <w:tcPr>
            <w:tcW w:w="420" w:type="dxa"/>
            <w:vAlign w:val="bottom"/>
            <w:gridSpan w:val="2"/>
          </w:tcPr>
          <w:p>
            <w:pPr>
              <w:spacing w:after="0"/>
              <w:rPr>
                <w:sz w:val="2"/>
                <w:szCs w:val="2"/>
                <w:color w:val="auto"/>
              </w:rPr>
            </w:pPr>
          </w:p>
        </w:tc>
        <w:tc>
          <w:tcPr>
            <w:tcW w:w="4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89"/>
              </w:rPr>
              <w:t>3376</w:t>
            </w:r>
          </w:p>
        </w:tc>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Peachtree Penthouse LLC</w:t>
            </w:r>
          </w:p>
        </w:tc>
        <w:tc>
          <w:tcPr>
            <w:tcW w:w="2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Delaware</w:t>
            </w:r>
          </w:p>
        </w:tc>
        <w:tc>
          <w:tcPr>
            <w:tcW w:w="4560" w:type="dxa"/>
            <w:vAlign w:val="bottom"/>
            <w:tcBorders>
              <w:bottom w:val="single" w:sz="8" w:color="CCEEFF"/>
            </w:tcBorders>
            <w:shd w:val="clear" w:color="auto" w:fill="CCEEFF"/>
          </w:tcPr>
          <w:p>
            <w:pPr>
              <w:spacing w:after="0"/>
              <w:rPr>
                <w:sz w:val="21"/>
                <w:szCs w:val="21"/>
                <w:color w:val="auto"/>
              </w:rPr>
            </w:pPr>
          </w:p>
        </w:tc>
      </w:tr>
      <w:tr>
        <w:trPr>
          <w:trHeight w:val="243"/>
        </w:trPr>
        <w:tc>
          <w:tcPr>
            <w:tcW w:w="420" w:type="dxa"/>
            <w:vAlign w:val="bottom"/>
            <w:gridSpan w:val="2"/>
          </w:tcPr>
          <w:p>
            <w:pPr>
              <w:ind w:left="40"/>
              <w:spacing w:after="0"/>
              <w:rPr>
                <w:sz w:val="20"/>
                <w:szCs w:val="20"/>
                <w:color w:val="auto"/>
              </w:rPr>
            </w:pPr>
            <w:r>
              <w:rPr>
                <w:rFonts w:ascii="Arial" w:cs="Arial" w:eastAsia="Arial" w:hAnsi="Arial"/>
                <w:sz w:val="18"/>
                <w:szCs w:val="18"/>
                <w:color w:val="auto"/>
                <w:w w:val="89"/>
              </w:rPr>
              <w:t>3376</w:t>
            </w:r>
          </w:p>
        </w:tc>
        <w:tc>
          <w:tcPr>
            <w:tcW w:w="4040" w:type="dxa"/>
            <w:vAlign w:val="bottom"/>
          </w:tcPr>
          <w:p>
            <w:pPr>
              <w:ind w:left="20"/>
              <w:spacing w:after="0"/>
              <w:rPr>
                <w:sz w:val="20"/>
                <w:szCs w:val="20"/>
                <w:color w:val="auto"/>
              </w:rPr>
            </w:pPr>
            <w:r>
              <w:rPr>
                <w:rFonts w:ascii="Arial" w:cs="Arial" w:eastAsia="Arial" w:hAnsi="Arial"/>
                <w:sz w:val="18"/>
                <w:szCs w:val="18"/>
                <w:color w:val="auto"/>
              </w:rPr>
              <w:t>Peachtree Residential LLC</w:t>
            </w:r>
          </w:p>
        </w:tc>
        <w:tc>
          <w:tcPr>
            <w:tcW w:w="2120" w:type="dxa"/>
            <w:vAlign w:val="bottom"/>
          </w:tcPr>
          <w:p>
            <w:pPr>
              <w:ind w:left="820"/>
              <w:spacing w:after="0"/>
              <w:rPr>
                <w:sz w:val="20"/>
                <w:szCs w:val="20"/>
                <w:color w:val="auto"/>
              </w:rPr>
            </w:pPr>
            <w:r>
              <w:rPr>
                <w:rFonts w:ascii="Arial" w:cs="Arial" w:eastAsia="Arial" w:hAnsi="Arial"/>
                <w:sz w:val="18"/>
                <w:szCs w:val="18"/>
                <w:color w:val="auto"/>
              </w:rPr>
              <w:t>Georgia</w:t>
            </w:r>
          </w:p>
        </w:tc>
        <w:tc>
          <w:tcPr>
            <w:tcW w:w="4560" w:type="dxa"/>
            <w:vAlign w:val="bottom"/>
          </w:tcPr>
          <w:p>
            <w:pPr>
              <w:spacing w:after="0"/>
              <w:rPr>
                <w:sz w:val="21"/>
                <w:szCs w:val="21"/>
                <w:color w:val="auto"/>
              </w:rPr>
            </w:pPr>
          </w:p>
        </w:tc>
      </w:tr>
      <w:tr>
        <w:trPr>
          <w:trHeight w:val="27"/>
        </w:trPr>
        <w:tc>
          <w:tcPr>
            <w:tcW w:w="420" w:type="dxa"/>
            <w:vAlign w:val="bottom"/>
            <w:gridSpan w:val="2"/>
          </w:tcPr>
          <w:p>
            <w:pPr>
              <w:spacing w:after="0"/>
              <w:rPr>
                <w:sz w:val="2"/>
                <w:szCs w:val="2"/>
                <w:color w:val="auto"/>
              </w:rPr>
            </w:pPr>
          </w:p>
        </w:tc>
        <w:tc>
          <w:tcPr>
            <w:tcW w:w="4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89"/>
              </w:rPr>
              <w:t>3376</w:t>
            </w:r>
          </w:p>
        </w:tc>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Peachtree Retail LLC</w:t>
            </w:r>
          </w:p>
        </w:tc>
        <w:tc>
          <w:tcPr>
            <w:tcW w:w="2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Delaware</w:t>
            </w:r>
          </w:p>
        </w:tc>
        <w:tc>
          <w:tcPr>
            <w:tcW w:w="4560" w:type="dxa"/>
            <w:vAlign w:val="bottom"/>
            <w:tcBorders>
              <w:bottom w:val="single" w:sz="8" w:color="CCEEFF"/>
            </w:tcBorders>
            <w:shd w:val="clear" w:color="auto" w:fill="CCEEFF"/>
          </w:tcPr>
          <w:p>
            <w:pPr>
              <w:spacing w:after="0"/>
              <w:rPr>
                <w:sz w:val="21"/>
                <w:szCs w:val="21"/>
                <w:color w:val="auto"/>
              </w:rPr>
            </w:pPr>
          </w:p>
        </w:tc>
      </w:tr>
      <w:tr>
        <w:trPr>
          <w:trHeight w:val="243"/>
        </w:trPr>
        <w:tc>
          <w:tcPr>
            <w:tcW w:w="420" w:type="dxa"/>
            <w:vAlign w:val="bottom"/>
            <w:gridSpan w:val="2"/>
          </w:tcPr>
          <w:p>
            <w:pPr>
              <w:ind w:left="40"/>
              <w:spacing w:after="0"/>
              <w:rPr>
                <w:sz w:val="20"/>
                <w:szCs w:val="20"/>
                <w:color w:val="auto"/>
              </w:rPr>
            </w:pPr>
            <w:r>
              <w:rPr>
                <w:rFonts w:ascii="Arial" w:cs="Arial" w:eastAsia="Arial" w:hAnsi="Arial"/>
                <w:sz w:val="18"/>
                <w:szCs w:val="18"/>
                <w:color w:val="auto"/>
                <w:w w:val="89"/>
              </w:rPr>
              <w:t>3376</w:t>
            </w:r>
          </w:p>
        </w:tc>
        <w:tc>
          <w:tcPr>
            <w:tcW w:w="4040" w:type="dxa"/>
            <w:vAlign w:val="bottom"/>
          </w:tcPr>
          <w:p>
            <w:pPr>
              <w:ind w:left="20"/>
              <w:spacing w:after="0"/>
              <w:rPr>
                <w:sz w:val="20"/>
                <w:szCs w:val="20"/>
                <w:color w:val="auto"/>
              </w:rPr>
            </w:pPr>
            <w:r>
              <w:rPr>
                <w:rFonts w:ascii="Arial" w:cs="Arial" w:eastAsia="Arial" w:hAnsi="Arial"/>
                <w:sz w:val="18"/>
                <w:szCs w:val="18"/>
                <w:color w:val="auto"/>
              </w:rPr>
              <w:t>Peachtree Road - Atlanta Hotel LL Inc.</w:t>
            </w:r>
          </w:p>
        </w:tc>
        <w:tc>
          <w:tcPr>
            <w:tcW w:w="2120" w:type="dxa"/>
            <w:vAlign w:val="bottom"/>
          </w:tcPr>
          <w:p>
            <w:pPr>
              <w:ind w:left="820"/>
              <w:spacing w:after="0"/>
              <w:rPr>
                <w:sz w:val="20"/>
                <w:szCs w:val="20"/>
                <w:color w:val="auto"/>
              </w:rPr>
            </w:pPr>
            <w:r>
              <w:rPr>
                <w:rFonts w:ascii="Arial" w:cs="Arial" w:eastAsia="Arial" w:hAnsi="Arial"/>
                <w:sz w:val="18"/>
                <w:szCs w:val="18"/>
                <w:color w:val="auto"/>
              </w:rPr>
              <w:t>Delaware</w:t>
            </w:r>
          </w:p>
        </w:tc>
        <w:tc>
          <w:tcPr>
            <w:tcW w:w="4560" w:type="dxa"/>
            <w:vAlign w:val="bottom"/>
          </w:tcPr>
          <w:p>
            <w:pPr>
              <w:spacing w:after="0"/>
              <w:rPr>
                <w:sz w:val="21"/>
                <w:szCs w:val="21"/>
                <w:color w:val="auto"/>
              </w:rPr>
            </w:pPr>
          </w:p>
        </w:tc>
      </w:tr>
      <w:tr>
        <w:trPr>
          <w:trHeight w:val="27"/>
        </w:trPr>
        <w:tc>
          <w:tcPr>
            <w:tcW w:w="420" w:type="dxa"/>
            <w:vAlign w:val="bottom"/>
            <w:gridSpan w:val="2"/>
          </w:tcPr>
          <w:p>
            <w:pPr>
              <w:spacing w:after="0"/>
              <w:rPr>
                <w:sz w:val="2"/>
                <w:szCs w:val="2"/>
                <w:color w:val="auto"/>
              </w:rPr>
            </w:pPr>
          </w:p>
        </w:tc>
        <w:tc>
          <w:tcPr>
            <w:tcW w:w="4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89"/>
              </w:rPr>
              <w:t>3376</w:t>
            </w:r>
          </w:p>
        </w:tc>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Peachtree Road - Atlanta Restaurant LL Inc.</w:t>
            </w:r>
          </w:p>
        </w:tc>
        <w:tc>
          <w:tcPr>
            <w:tcW w:w="2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Delaware</w:t>
            </w:r>
          </w:p>
        </w:tc>
        <w:tc>
          <w:tcPr>
            <w:tcW w:w="4560" w:type="dxa"/>
            <w:vAlign w:val="bottom"/>
            <w:tcBorders>
              <w:bottom w:val="single" w:sz="8" w:color="CCEEFF"/>
            </w:tcBorders>
            <w:shd w:val="clear" w:color="auto" w:fill="CCEEFF"/>
          </w:tcPr>
          <w:p>
            <w:pPr>
              <w:spacing w:after="0"/>
              <w:rPr>
                <w:sz w:val="21"/>
                <w:szCs w:val="21"/>
                <w:color w:val="auto"/>
              </w:rPr>
            </w:pPr>
          </w:p>
        </w:tc>
      </w:tr>
      <w:tr>
        <w:trPr>
          <w:trHeight w:val="243"/>
        </w:trPr>
        <w:tc>
          <w:tcPr>
            <w:tcW w:w="420" w:type="dxa"/>
            <w:vAlign w:val="bottom"/>
            <w:gridSpan w:val="2"/>
          </w:tcPr>
          <w:p>
            <w:pPr>
              <w:ind w:left="40"/>
              <w:spacing w:after="0"/>
              <w:rPr>
                <w:sz w:val="20"/>
                <w:szCs w:val="20"/>
                <w:color w:val="auto"/>
              </w:rPr>
            </w:pPr>
            <w:r>
              <w:rPr>
                <w:rFonts w:ascii="Arial" w:cs="Arial" w:eastAsia="Arial" w:hAnsi="Arial"/>
                <w:sz w:val="18"/>
                <w:szCs w:val="18"/>
                <w:color w:val="auto"/>
                <w:w w:val="89"/>
              </w:rPr>
              <w:t>4471</w:t>
            </w:r>
          </w:p>
        </w:tc>
        <w:tc>
          <w:tcPr>
            <w:tcW w:w="4040" w:type="dxa"/>
            <w:vAlign w:val="bottom"/>
          </w:tcPr>
          <w:p>
            <w:pPr>
              <w:ind w:left="20"/>
              <w:spacing w:after="0"/>
              <w:rPr>
                <w:sz w:val="20"/>
                <w:szCs w:val="20"/>
                <w:color w:val="auto"/>
              </w:rPr>
            </w:pPr>
            <w:r>
              <w:rPr>
                <w:rFonts w:ascii="Arial" w:cs="Arial" w:eastAsia="Arial" w:hAnsi="Arial"/>
                <w:sz w:val="18"/>
                <w:szCs w:val="18"/>
                <w:color w:val="auto"/>
              </w:rPr>
              <w:t>Dean Martin Drive-Las Vegas LLC</w:t>
            </w:r>
          </w:p>
        </w:tc>
        <w:tc>
          <w:tcPr>
            <w:tcW w:w="2120" w:type="dxa"/>
            <w:vAlign w:val="bottom"/>
          </w:tcPr>
          <w:p>
            <w:pPr>
              <w:ind w:left="820"/>
              <w:spacing w:after="0"/>
              <w:rPr>
                <w:sz w:val="20"/>
                <w:szCs w:val="20"/>
                <w:color w:val="auto"/>
              </w:rPr>
            </w:pPr>
            <w:r>
              <w:rPr>
                <w:rFonts w:ascii="Arial" w:cs="Arial" w:eastAsia="Arial" w:hAnsi="Arial"/>
                <w:sz w:val="18"/>
                <w:szCs w:val="18"/>
                <w:color w:val="auto"/>
              </w:rPr>
              <w:t>Delaware</w:t>
            </w:r>
          </w:p>
        </w:tc>
        <w:tc>
          <w:tcPr>
            <w:tcW w:w="4560" w:type="dxa"/>
            <w:vAlign w:val="bottom"/>
          </w:tcPr>
          <w:p>
            <w:pPr>
              <w:ind w:left="140"/>
              <w:spacing w:after="0"/>
              <w:rPr>
                <w:sz w:val="20"/>
                <w:szCs w:val="20"/>
                <w:color w:val="auto"/>
              </w:rPr>
            </w:pPr>
            <w:r>
              <w:rPr>
                <w:rFonts w:ascii="Arial" w:cs="Arial" w:eastAsia="Arial" w:hAnsi="Arial"/>
                <w:sz w:val="18"/>
                <w:szCs w:val="18"/>
                <w:color w:val="auto"/>
              </w:rPr>
              <w:t>4230 S. Decatur Boulevard - Las Vegas LLC</w:t>
            </w:r>
          </w:p>
        </w:tc>
      </w:tr>
    </w:tbl>
    <w:p>
      <w:pPr>
        <w:sectPr>
          <w:pgSz w:w="11900" w:h="16838" w:orient="portrait"/>
          <w:cols w:equalWidth="0" w:num="1">
            <w:col w:w="11280"/>
          </w:cols>
          <w:pgMar w:left="380" w:top="796" w:right="239" w:bottom="1440" w:gutter="0" w:footer="0" w:header="0"/>
        </w:sectPr>
      </w:pPr>
    </w:p>
    <w:bookmarkStart w:id="132" w:name="page133"/>
    <w:bookmarkEnd w:id="1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6162 S Willow Drive-Englewood LLC</w:t>
            </w:r>
          </w:p>
        </w:tc>
        <w:tc>
          <w:tcPr>
            <w:tcW w:w="18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Delaware</w:t>
            </w:r>
          </w:p>
        </w:tc>
        <w:tc>
          <w:tcPr>
            <w:tcW w:w="4720" w:type="dxa"/>
            <w:vAlign w:val="bottom"/>
            <w:shd w:val="clear" w:color="auto" w:fill="CCEEFF"/>
          </w:tcPr>
          <w:p>
            <w:pPr>
              <w:spacing w:after="0"/>
              <w:rPr>
                <w:sz w:val="23"/>
                <w:szCs w:val="23"/>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6400 Christie Avenue-Emeryville LLC</w:t>
            </w:r>
          </w:p>
        </w:tc>
        <w:tc>
          <w:tcPr>
            <w:tcW w:w="1880" w:type="dxa"/>
            <w:vAlign w:val="bottom"/>
          </w:tcPr>
          <w:p>
            <w:pPr>
              <w:ind w:left="740"/>
              <w:spacing w:after="0"/>
              <w:rPr>
                <w:sz w:val="20"/>
                <w:szCs w:val="20"/>
                <w:color w:val="auto"/>
              </w:rPr>
            </w:pPr>
            <w:r>
              <w:rPr>
                <w:rFonts w:ascii="Arial" w:cs="Arial" w:eastAsia="Arial" w:hAnsi="Arial"/>
                <w:sz w:val="18"/>
                <w:szCs w:val="18"/>
                <w:color w:val="auto"/>
              </w:rPr>
              <w:t>Delaware</w:t>
            </w:r>
          </w:p>
        </w:tc>
        <w:tc>
          <w:tcPr>
            <w:tcW w:w="472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6801 Woolridge Road GenPar LLC</w:t>
            </w:r>
          </w:p>
        </w:tc>
        <w:tc>
          <w:tcPr>
            <w:tcW w:w="188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6801 Woolridge Road - Moseley LP</w:t>
            </w:r>
          </w:p>
        </w:tc>
        <w:tc>
          <w:tcPr>
            <w:tcW w:w="1880" w:type="dxa"/>
            <w:vAlign w:val="bottom"/>
          </w:tcPr>
          <w:p>
            <w:pPr>
              <w:ind w:left="740"/>
              <w:spacing w:after="0"/>
              <w:rPr>
                <w:sz w:val="20"/>
                <w:szCs w:val="20"/>
                <w:color w:val="auto"/>
              </w:rPr>
            </w:pPr>
            <w:r>
              <w:rPr>
                <w:rFonts w:ascii="Arial" w:cs="Arial" w:eastAsia="Arial" w:hAnsi="Arial"/>
                <w:sz w:val="18"/>
                <w:szCs w:val="18"/>
                <w:color w:val="auto"/>
              </w:rPr>
              <w:t>Delaware</w:t>
            </w:r>
          </w:p>
        </w:tc>
        <w:tc>
          <w:tcPr>
            <w:tcW w:w="4720" w:type="dxa"/>
            <w:vAlign w:val="bottom"/>
          </w:tcPr>
          <w:p>
            <w:pPr>
              <w:ind w:left="300"/>
              <w:spacing w:after="0"/>
              <w:rPr>
                <w:sz w:val="20"/>
                <w:szCs w:val="20"/>
                <w:color w:val="auto"/>
              </w:rPr>
            </w:pPr>
            <w:r>
              <w:rPr>
                <w:rFonts w:ascii="Arial" w:cs="Arial" w:eastAsia="Arial" w:hAnsi="Arial"/>
                <w:sz w:val="18"/>
                <w:szCs w:val="18"/>
                <w:color w:val="auto"/>
              </w:rPr>
              <w:t>6801 Woolridge Road - Moseley TRS LLC</w:t>
            </w:r>
          </w:p>
        </w:tc>
      </w:tr>
      <w:tr>
        <w:trPr>
          <w:trHeight w:val="27"/>
        </w:trPr>
        <w:tc>
          <w:tcPr>
            <w:tcW w:w="4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7000 Hawaii Kai Lender Inc</w:t>
            </w:r>
          </w:p>
        </w:tc>
        <w:tc>
          <w:tcPr>
            <w:tcW w:w="188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7297 North Scottsdale Unit LW105 Inc.</w:t>
            </w:r>
          </w:p>
        </w:tc>
        <w:tc>
          <w:tcPr>
            <w:tcW w:w="1880" w:type="dxa"/>
            <w:vAlign w:val="bottom"/>
          </w:tcPr>
          <w:p>
            <w:pPr>
              <w:ind w:left="740"/>
              <w:spacing w:after="0"/>
              <w:rPr>
                <w:sz w:val="20"/>
                <w:szCs w:val="20"/>
                <w:color w:val="auto"/>
              </w:rPr>
            </w:pPr>
            <w:r>
              <w:rPr>
                <w:rFonts w:ascii="Arial" w:cs="Arial" w:eastAsia="Arial" w:hAnsi="Arial"/>
                <w:sz w:val="18"/>
                <w:szCs w:val="18"/>
                <w:color w:val="auto"/>
              </w:rPr>
              <w:t>Delaware</w:t>
            </w:r>
          </w:p>
        </w:tc>
        <w:tc>
          <w:tcPr>
            <w:tcW w:w="472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7445 East Chaparral Road-Scottsdale LLC</w:t>
            </w:r>
          </w:p>
        </w:tc>
        <w:tc>
          <w:tcPr>
            <w:tcW w:w="188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14000 N. Hayden Road-Scottsdale LLC</w:t>
            </w:r>
          </w:p>
        </w:tc>
        <w:tc>
          <w:tcPr>
            <w:tcW w:w="1880" w:type="dxa"/>
            <w:vAlign w:val="bottom"/>
          </w:tcPr>
          <w:p>
            <w:pPr>
              <w:ind w:left="740"/>
              <w:spacing w:after="0"/>
              <w:rPr>
                <w:sz w:val="20"/>
                <w:szCs w:val="20"/>
                <w:color w:val="auto"/>
              </w:rPr>
            </w:pPr>
            <w:r>
              <w:rPr>
                <w:rFonts w:ascii="Arial" w:cs="Arial" w:eastAsia="Arial" w:hAnsi="Arial"/>
                <w:sz w:val="18"/>
                <w:szCs w:val="18"/>
                <w:color w:val="auto"/>
              </w:rPr>
              <w:t>Delaware</w:t>
            </w:r>
          </w:p>
        </w:tc>
        <w:tc>
          <w:tcPr>
            <w:tcW w:w="472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17093 Biscayne Boulevard-North Miami LLC</w:t>
            </w:r>
          </w:p>
        </w:tc>
        <w:tc>
          <w:tcPr>
            <w:tcW w:w="188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46702 Bayside Parkway-Fremont LLC</w:t>
            </w:r>
          </w:p>
        </w:tc>
        <w:tc>
          <w:tcPr>
            <w:tcW w:w="1880" w:type="dxa"/>
            <w:vAlign w:val="bottom"/>
          </w:tcPr>
          <w:p>
            <w:pPr>
              <w:ind w:left="740"/>
              <w:spacing w:after="0"/>
              <w:rPr>
                <w:sz w:val="20"/>
                <w:szCs w:val="20"/>
                <w:color w:val="auto"/>
              </w:rPr>
            </w:pPr>
            <w:r>
              <w:rPr>
                <w:rFonts w:ascii="Arial" w:cs="Arial" w:eastAsia="Arial" w:hAnsi="Arial"/>
                <w:sz w:val="18"/>
                <w:szCs w:val="18"/>
                <w:color w:val="auto"/>
              </w:rPr>
              <w:t>Delaware</w:t>
            </w:r>
          </w:p>
        </w:tc>
        <w:tc>
          <w:tcPr>
            <w:tcW w:w="472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46831 Lakeview Boulevard-Fremont LLC</w:t>
            </w:r>
          </w:p>
        </w:tc>
        <w:tc>
          <w:tcPr>
            <w:tcW w:w="188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Acquest Government Holdings II, LLC</w:t>
            </w:r>
          </w:p>
        </w:tc>
        <w:tc>
          <w:tcPr>
            <w:tcW w:w="1880" w:type="dxa"/>
            <w:vAlign w:val="bottom"/>
          </w:tcPr>
          <w:p>
            <w:pPr>
              <w:ind w:left="740"/>
              <w:spacing w:after="0"/>
              <w:rPr>
                <w:sz w:val="20"/>
                <w:szCs w:val="20"/>
                <w:color w:val="auto"/>
              </w:rPr>
            </w:pPr>
            <w:r>
              <w:rPr>
                <w:rFonts w:ascii="Arial" w:cs="Arial" w:eastAsia="Arial" w:hAnsi="Arial"/>
                <w:sz w:val="18"/>
                <w:szCs w:val="18"/>
                <w:color w:val="auto"/>
              </w:rPr>
              <w:t>New York</w:t>
            </w:r>
          </w:p>
        </w:tc>
        <w:tc>
          <w:tcPr>
            <w:tcW w:w="472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Acquest Government Holdings, L.L.C.</w:t>
            </w:r>
          </w:p>
        </w:tc>
        <w:tc>
          <w:tcPr>
            <w:tcW w:w="188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New York</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Acquest Holdings FC, LLC</w:t>
            </w:r>
          </w:p>
        </w:tc>
        <w:tc>
          <w:tcPr>
            <w:tcW w:w="1880" w:type="dxa"/>
            <w:vAlign w:val="bottom"/>
          </w:tcPr>
          <w:p>
            <w:pPr>
              <w:ind w:left="740"/>
              <w:spacing w:after="0"/>
              <w:rPr>
                <w:sz w:val="20"/>
                <w:szCs w:val="20"/>
                <w:color w:val="auto"/>
              </w:rPr>
            </w:pPr>
            <w:r>
              <w:rPr>
                <w:rFonts w:ascii="Arial" w:cs="Arial" w:eastAsia="Arial" w:hAnsi="Arial"/>
                <w:sz w:val="18"/>
                <w:szCs w:val="18"/>
                <w:color w:val="auto"/>
              </w:rPr>
              <w:t>New York</w:t>
            </w:r>
          </w:p>
        </w:tc>
        <w:tc>
          <w:tcPr>
            <w:tcW w:w="472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 at Monroe Urban Renewal LLC</w:t>
            </w:r>
          </w:p>
        </w:tc>
        <w:tc>
          <w:tcPr>
            <w:tcW w:w="188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New Jersey</w:t>
            </w:r>
          </w:p>
        </w:tc>
        <w:tc>
          <w:tcPr>
            <w:tcW w:w="47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AP at Monroe LLC</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AP at South Grand Urban Renewal LLC</w:t>
            </w:r>
          </w:p>
        </w:tc>
        <w:tc>
          <w:tcPr>
            <w:tcW w:w="1880" w:type="dxa"/>
            <w:vAlign w:val="bottom"/>
          </w:tcPr>
          <w:p>
            <w:pPr>
              <w:ind w:left="740"/>
              <w:spacing w:after="0"/>
              <w:rPr>
                <w:sz w:val="20"/>
                <w:szCs w:val="20"/>
                <w:color w:val="auto"/>
              </w:rPr>
            </w:pPr>
            <w:r>
              <w:rPr>
                <w:rFonts w:ascii="Arial" w:cs="Arial" w:eastAsia="Arial" w:hAnsi="Arial"/>
                <w:sz w:val="18"/>
                <w:szCs w:val="18"/>
                <w:color w:val="auto"/>
              </w:rPr>
              <w:t>New Jersey</w:t>
            </w:r>
          </w:p>
        </w:tc>
        <w:tc>
          <w:tcPr>
            <w:tcW w:w="4720" w:type="dxa"/>
            <w:vAlign w:val="bottom"/>
          </w:tcPr>
          <w:p>
            <w:pPr>
              <w:ind w:left="300"/>
              <w:spacing w:after="0"/>
              <w:rPr>
                <w:sz w:val="20"/>
                <w:szCs w:val="20"/>
                <w:color w:val="auto"/>
              </w:rPr>
            </w:pPr>
            <w:r>
              <w:rPr>
                <w:rFonts w:ascii="Arial" w:cs="Arial" w:eastAsia="Arial" w:hAnsi="Arial"/>
                <w:sz w:val="18"/>
                <w:szCs w:val="18"/>
                <w:color w:val="auto"/>
              </w:rPr>
              <w:t>AP at South Grand LLC</w:t>
            </w:r>
          </w:p>
        </w:tc>
      </w:tr>
      <w:tr>
        <w:trPr>
          <w:trHeight w:val="27"/>
        </w:trPr>
        <w:tc>
          <w:tcPr>
            <w:tcW w:w="4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 Block 146 Developer Urban Renewal, LLC</w:t>
            </w:r>
          </w:p>
        </w:tc>
        <w:tc>
          <w:tcPr>
            <w:tcW w:w="188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New Jersey</w:t>
            </w:r>
          </w:p>
        </w:tc>
        <w:tc>
          <w:tcPr>
            <w:tcW w:w="47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AP Block 146 Developer LLC</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AP Block 176 Venture Urban Renewal LLC</w:t>
            </w:r>
          </w:p>
        </w:tc>
        <w:tc>
          <w:tcPr>
            <w:tcW w:w="1880" w:type="dxa"/>
            <w:vAlign w:val="bottom"/>
          </w:tcPr>
          <w:p>
            <w:pPr>
              <w:ind w:left="740"/>
              <w:spacing w:after="0"/>
              <w:rPr>
                <w:sz w:val="20"/>
                <w:szCs w:val="20"/>
                <w:color w:val="auto"/>
              </w:rPr>
            </w:pPr>
            <w:r>
              <w:rPr>
                <w:rFonts w:ascii="Arial" w:cs="Arial" w:eastAsia="Arial" w:hAnsi="Arial"/>
                <w:sz w:val="18"/>
                <w:szCs w:val="18"/>
                <w:color w:val="auto"/>
              </w:rPr>
              <w:t>New Jersey</w:t>
            </w:r>
          </w:p>
        </w:tc>
        <w:tc>
          <w:tcPr>
            <w:tcW w:w="4720" w:type="dxa"/>
            <w:vAlign w:val="bottom"/>
          </w:tcPr>
          <w:p>
            <w:pPr>
              <w:ind w:left="300"/>
              <w:spacing w:after="0"/>
              <w:rPr>
                <w:sz w:val="20"/>
                <w:szCs w:val="20"/>
                <w:color w:val="auto"/>
              </w:rPr>
            </w:pPr>
            <w:r>
              <w:rPr>
                <w:rFonts w:ascii="Arial" w:cs="Arial" w:eastAsia="Arial" w:hAnsi="Arial"/>
                <w:sz w:val="18"/>
                <w:szCs w:val="18"/>
                <w:color w:val="auto"/>
              </w:rPr>
              <w:t>AP Block 176 Venture LLC</w:t>
            </w:r>
          </w:p>
        </w:tc>
      </w:tr>
      <w:tr>
        <w:trPr>
          <w:trHeight w:val="27"/>
        </w:trPr>
        <w:tc>
          <w:tcPr>
            <w:tcW w:w="4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 Block 178 Venture LLC</w:t>
            </w:r>
          </w:p>
        </w:tc>
        <w:tc>
          <w:tcPr>
            <w:tcW w:w="188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New Jersey</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AP Fifteen Property Holding, L.L.C.</w:t>
            </w:r>
          </w:p>
        </w:tc>
        <w:tc>
          <w:tcPr>
            <w:tcW w:w="1880" w:type="dxa"/>
            <w:vAlign w:val="bottom"/>
          </w:tcPr>
          <w:p>
            <w:pPr>
              <w:ind w:left="740"/>
              <w:spacing w:after="0"/>
              <w:rPr>
                <w:sz w:val="20"/>
                <w:szCs w:val="20"/>
                <w:color w:val="auto"/>
              </w:rPr>
            </w:pPr>
            <w:r>
              <w:rPr>
                <w:rFonts w:ascii="Arial" w:cs="Arial" w:eastAsia="Arial" w:hAnsi="Arial"/>
                <w:sz w:val="18"/>
                <w:szCs w:val="18"/>
                <w:color w:val="auto"/>
              </w:rPr>
              <w:t>New Jersey</w:t>
            </w:r>
          </w:p>
        </w:tc>
        <w:tc>
          <w:tcPr>
            <w:tcW w:w="472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 Five Property Holding, L.L.C.</w:t>
            </w:r>
          </w:p>
        </w:tc>
        <w:tc>
          <w:tcPr>
            <w:tcW w:w="188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New Jersey</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AP Mortgagee LLC</w:t>
            </w:r>
          </w:p>
        </w:tc>
        <w:tc>
          <w:tcPr>
            <w:tcW w:w="1880" w:type="dxa"/>
            <w:vAlign w:val="bottom"/>
          </w:tcPr>
          <w:p>
            <w:pPr>
              <w:ind w:left="740"/>
              <w:spacing w:after="0"/>
              <w:rPr>
                <w:sz w:val="20"/>
                <w:szCs w:val="20"/>
                <w:color w:val="auto"/>
              </w:rPr>
            </w:pPr>
            <w:r>
              <w:rPr>
                <w:rFonts w:ascii="Arial" w:cs="Arial" w:eastAsia="Arial" w:hAnsi="Arial"/>
                <w:sz w:val="18"/>
                <w:szCs w:val="18"/>
                <w:color w:val="auto"/>
              </w:rPr>
              <w:t>Delaware</w:t>
            </w:r>
          </w:p>
        </w:tc>
        <w:tc>
          <w:tcPr>
            <w:tcW w:w="472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 Retail Venture LLC</w:t>
            </w:r>
          </w:p>
        </w:tc>
        <w:tc>
          <w:tcPr>
            <w:tcW w:w="188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AP Ten Property Holding, L.L.C</w:t>
            </w:r>
          </w:p>
        </w:tc>
        <w:tc>
          <w:tcPr>
            <w:tcW w:w="1880" w:type="dxa"/>
            <w:vAlign w:val="bottom"/>
          </w:tcPr>
          <w:p>
            <w:pPr>
              <w:ind w:left="740"/>
              <w:spacing w:after="0"/>
              <w:rPr>
                <w:sz w:val="20"/>
                <w:szCs w:val="20"/>
                <w:color w:val="auto"/>
              </w:rPr>
            </w:pPr>
            <w:r>
              <w:rPr>
                <w:rFonts w:ascii="Arial" w:cs="Arial" w:eastAsia="Arial" w:hAnsi="Arial"/>
                <w:sz w:val="18"/>
                <w:szCs w:val="18"/>
                <w:color w:val="auto"/>
              </w:rPr>
              <w:t>New Jersey</w:t>
            </w:r>
          </w:p>
        </w:tc>
        <w:tc>
          <w:tcPr>
            <w:tcW w:w="472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 Triangle LLC</w:t>
            </w:r>
          </w:p>
        </w:tc>
        <w:tc>
          <w:tcPr>
            <w:tcW w:w="188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Madison Wesley Lake Three LLC</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AP Wesley Lake LLC</w:t>
            </w:r>
          </w:p>
        </w:tc>
        <w:tc>
          <w:tcPr>
            <w:tcW w:w="1880" w:type="dxa"/>
            <w:vAlign w:val="bottom"/>
          </w:tcPr>
          <w:p>
            <w:pPr>
              <w:ind w:left="740"/>
              <w:spacing w:after="0"/>
              <w:rPr>
                <w:sz w:val="20"/>
                <w:szCs w:val="20"/>
                <w:color w:val="auto"/>
              </w:rPr>
            </w:pPr>
            <w:r>
              <w:rPr>
                <w:rFonts w:ascii="Arial" w:cs="Arial" w:eastAsia="Arial" w:hAnsi="Arial"/>
                <w:sz w:val="18"/>
                <w:szCs w:val="18"/>
                <w:color w:val="auto"/>
              </w:rPr>
              <w:t>Delaware</w:t>
            </w:r>
          </w:p>
        </w:tc>
        <w:tc>
          <w:tcPr>
            <w:tcW w:w="4720" w:type="dxa"/>
            <w:vAlign w:val="bottom"/>
          </w:tcPr>
          <w:p>
            <w:pPr>
              <w:ind w:left="300"/>
              <w:spacing w:after="0"/>
              <w:rPr>
                <w:sz w:val="20"/>
                <w:szCs w:val="20"/>
                <w:color w:val="auto"/>
              </w:rPr>
            </w:pPr>
            <w:r>
              <w:rPr>
                <w:rFonts w:ascii="Arial" w:cs="Arial" w:eastAsia="Arial" w:hAnsi="Arial"/>
                <w:sz w:val="18"/>
                <w:szCs w:val="18"/>
                <w:color w:val="auto"/>
              </w:rPr>
              <w:t>Madison Wesley Lake Two LLC</w:t>
            </w:r>
          </w:p>
        </w:tc>
      </w:tr>
      <w:tr>
        <w:trPr>
          <w:trHeight w:val="27"/>
        </w:trPr>
        <w:tc>
          <w:tcPr>
            <w:tcW w:w="4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Asbury Convention Hall Limited Liability Company</w:t>
            </w:r>
          </w:p>
        </w:tc>
        <w:tc>
          <w:tcPr>
            <w:tcW w:w="188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New Jersey</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Asbury One Liquor License LLC</w:t>
            </w:r>
          </w:p>
        </w:tc>
        <w:tc>
          <w:tcPr>
            <w:tcW w:w="1880" w:type="dxa"/>
            <w:vAlign w:val="bottom"/>
          </w:tcPr>
          <w:p>
            <w:pPr>
              <w:ind w:left="740"/>
              <w:spacing w:after="0"/>
              <w:rPr>
                <w:sz w:val="20"/>
                <w:szCs w:val="20"/>
                <w:color w:val="auto"/>
              </w:rPr>
            </w:pPr>
            <w:r>
              <w:rPr>
                <w:rFonts w:ascii="Arial" w:cs="Arial" w:eastAsia="Arial" w:hAnsi="Arial"/>
                <w:sz w:val="18"/>
                <w:szCs w:val="18"/>
                <w:color w:val="auto"/>
              </w:rPr>
              <w:t>New Jersey</w:t>
            </w:r>
          </w:p>
        </w:tc>
        <w:tc>
          <w:tcPr>
            <w:tcW w:w="472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Asbury Partners, LLC</w:t>
            </w:r>
          </w:p>
        </w:tc>
        <w:tc>
          <w:tcPr>
            <w:tcW w:w="188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New Jersey</w:t>
            </w:r>
          </w:p>
        </w:tc>
        <w:tc>
          <w:tcPr>
            <w:tcW w:w="47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Asbury Shores Community, LLC</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ASTAR 1360 Greely Chapel Road-Lima LLC</w:t>
            </w:r>
          </w:p>
        </w:tc>
        <w:tc>
          <w:tcPr>
            <w:tcW w:w="1880" w:type="dxa"/>
            <w:vAlign w:val="bottom"/>
          </w:tcPr>
          <w:p>
            <w:pPr>
              <w:ind w:left="740"/>
              <w:spacing w:after="0"/>
              <w:rPr>
                <w:sz w:val="20"/>
                <w:szCs w:val="20"/>
                <w:color w:val="auto"/>
              </w:rPr>
            </w:pPr>
            <w:r>
              <w:rPr>
                <w:rFonts w:ascii="Arial" w:cs="Arial" w:eastAsia="Arial" w:hAnsi="Arial"/>
                <w:sz w:val="18"/>
                <w:szCs w:val="18"/>
                <w:color w:val="auto"/>
              </w:rPr>
              <w:t>Delaware</w:t>
            </w:r>
          </w:p>
        </w:tc>
        <w:tc>
          <w:tcPr>
            <w:tcW w:w="472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ASTAR ASB AR1, LLC</w:t>
            </w:r>
          </w:p>
        </w:tc>
        <w:tc>
          <w:tcPr>
            <w:tcW w:w="188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ASTAR ASB AR2, LLC</w:t>
            </w:r>
          </w:p>
        </w:tc>
        <w:tc>
          <w:tcPr>
            <w:tcW w:w="1880" w:type="dxa"/>
            <w:vAlign w:val="bottom"/>
          </w:tcPr>
          <w:p>
            <w:pPr>
              <w:ind w:left="740"/>
              <w:spacing w:after="0"/>
              <w:rPr>
                <w:sz w:val="20"/>
                <w:szCs w:val="20"/>
                <w:color w:val="auto"/>
              </w:rPr>
            </w:pPr>
            <w:r>
              <w:rPr>
                <w:rFonts w:ascii="Arial" w:cs="Arial" w:eastAsia="Arial" w:hAnsi="Arial"/>
                <w:sz w:val="18"/>
                <w:szCs w:val="18"/>
                <w:color w:val="auto"/>
              </w:rPr>
              <w:t>Delaware</w:t>
            </w:r>
          </w:p>
        </w:tc>
        <w:tc>
          <w:tcPr>
            <w:tcW w:w="472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ASTAR ASB FL1, LLC</w:t>
            </w:r>
          </w:p>
        </w:tc>
        <w:tc>
          <w:tcPr>
            <w:tcW w:w="188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ASTAR ASB FL10, LLC</w:t>
            </w:r>
          </w:p>
        </w:tc>
        <w:tc>
          <w:tcPr>
            <w:tcW w:w="1880" w:type="dxa"/>
            <w:vAlign w:val="bottom"/>
          </w:tcPr>
          <w:p>
            <w:pPr>
              <w:ind w:left="740"/>
              <w:spacing w:after="0"/>
              <w:rPr>
                <w:sz w:val="20"/>
                <w:szCs w:val="20"/>
                <w:color w:val="auto"/>
              </w:rPr>
            </w:pPr>
            <w:r>
              <w:rPr>
                <w:rFonts w:ascii="Arial" w:cs="Arial" w:eastAsia="Arial" w:hAnsi="Arial"/>
                <w:sz w:val="18"/>
                <w:szCs w:val="18"/>
                <w:color w:val="auto"/>
              </w:rPr>
              <w:t>Delaware</w:t>
            </w:r>
          </w:p>
        </w:tc>
        <w:tc>
          <w:tcPr>
            <w:tcW w:w="472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ASTAR ASB FL2, LLC</w:t>
            </w:r>
          </w:p>
        </w:tc>
        <w:tc>
          <w:tcPr>
            <w:tcW w:w="188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ASTAR ASB FL3, LLC</w:t>
            </w:r>
          </w:p>
        </w:tc>
        <w:tc>
          <w:tcPr>
            <w:tcW w:w="1880" w:type="dxa"/>
            <w:vAlign w:val="bottom"/>
          </w:tcPr>
          <w:p>
            <w:pPr>
              <w:ind w:left="740"/>
              <w:spacing w:after="0"/>
              <w:rPr>
                <w:sz w:val="20"/>
                <w:szCs w:val="20"/>
                <w:color w:val="auto"/>
              </w:rPr>
            </w:pPr>
            <w:r>
              <w:rPr>
                <w:rFonts w:ascii="Arial" w:cs="Arial" w:eastAsia="Arial" w:hAnsi="Arial"/>
                <w:sz w:val="18"/>
                <w:szCs w:val="18"/>
                <w:color w:val="auto"/>
              </w:rPr>
              <w:t>Delaware</w:t>
            </w:r>
          </w:p>
        </w:tc>
        <w:tc>
          <w:tcPr>
            <w:tcW w:w="472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ASTAR ASB FL4, LLC</w:t>
            </w:r>
          </w:p>
        </w:tc>
        <w:tc>
          <w:tcPr>
            <w:tcW w:w="188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ASTAR ASB FL5, LLC</w:t>
            </w:r>
          </w:p>
        </w:tc>
        <w:tc>
          <w:tcPr>
            <w:tcW w:w="1880" w:type="dxa"/>
            <w:vAlign w:val="bottom"/>
          </w:tcPr>
          <w:p>
            <w:pPr>
              <w:ind w:left="740"/>
              <w:spacing w:after="0"/>
              <w:rPr>
                <w:sz w:val="20"/>
                <w:szCs w:val="20"/>
                <w:color w:val="auto"/>
              </w:rPr>
            </w:pPr>
            <w:r>
              <w:rPr>
                <w:rFonts w:ascii="Arial" w:cs="Arial" w:eastAsia="Arial" w:hAnsi="Arial"/>
                <w:sz w:val="18"/>
                <w:szCs w:val="18"/>
                <w:color w:val="auto"/>
              </w:rPr>
              <w:t>Delaware</w:t>
            </w:r>
          </w:p>
        </w:tc>
        <w:tc>
          <w:tcPr>
            <w:tcW w:w="472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ASTAR ASB FL6, LLC</w:t>
            </w:r>
          </w:p>
        </w:tc>
        <w:tc>
          <w:tcPr>
            <w:tcW w:w="188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ASTAR ASB FL7, LLC</w:t>
            </w:r>
          </w:p>
        </w:tc>
        <w:tc>
          <w:tcPr>
            <w:tcW w:w="1880" w:type="dxa"/>
            <w:vAlign w:val="bottom"/>
          </w:tcPr>
          <w:p>
            <w:pPr>
              <w:ind w:left="740"/>
              <w:spacing w:after="0"/>
              <w:rPr>
                <w:sz w:val="20"/>
                <w:szCs w:val="20"/>
                <w:color w:val="auto"/>
              </w:rPr>
            </w:pPr>
            <w:r>
              <w:rPr>
                <w:rFonts w:ascii="Arial" w:cs="Arial" w:eastAsia="Arial" w:hAnsi="Arial"/>
                <w:sz w:val="18"/>
                <w:szCs w:val="18"/>
                <w:color w:val="auto"/>
              </w:rPr>
              <w:t>Delaware</w:t>
            </w:r>
          </w:p>
        </w:tc>
        <w:tc>
          <w:tcPr>
            <w:tcW w:w="472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ASTAR ASB FL8, LLC</w:t>
            </w:r>
          </w:p>
        </w:tc>
        <w:tc>
          <w:tcPr>
            <w:tcW w:w="188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ASTAR ASB FL9, LLC</w:t>
            </w:r>
          </w:p>
        </w:tc>
        <w:tc>
          <w:tcPr>
            <w:tcW w:w="1880" w:type="dxa"/>
            <w:vAlign w:val="bottom"/>
          </w:tcPr>
          <w:p>
            <w:pPr>
              <w:ind w:left="740"/>
              <w:spacing w:after="0"/>
              <w:rPr>
                <w:sz w:val="20"/>
                <w:szCs w:val="20"/>
                <w:color w:val="auto"/>
              </w:rPr>
            </w:pPr>
            <w:r>
              <w:rPr>
                <w:rFonts w:ascii="Arial" w:cs="Arial" w:eastAsia="Arial" w:hAnsi="Arial"/>
                <w:sz w:val="18"/>
                <w:szCs w:val="18"/>
                <w:color w:val="auto"/>
              </w:rPr>
              <w:t>Delaware</w:t>
            </w:r>
          </w:p>
        </w:tc>
        <w:tc>
          <w:tcPr>
            <w:tcW w:w="472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ASTAR ASB GA1, LLC</w:t>
            </w:r>
          </w:p>
        </w:tc>
        <w:tc>
          <w:tcPr>
            <w:tcW w:w="188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ASTAR ASB GA2, LLC</w:t>
            </w:r>
          </w:p>
        </w:tc>
        <w:tc>
          <w:tcPr>
            <w:tcW w:w="1880" w:type="dxa"/>
            <w:vAlign w:val="bottom"/>
          </w:tcPr>
          <w:p>
            <w:pPr>
              <w:ind w:left="740"/>
              <w:spacing w:after="0"/>
              <w:rPr>
                <w:sz w:val="20"/>
                <w:szCs w:val="20"/>
                <w:color w:val="auto"/>
              </w:rPr>
            </w:pPr>
            <w:r>
              <w:rPr>
                <w:rFonts w:ascii="Arial" w:cs="Arial" w:eastAsia="Arial" w:hAnsi="Arial"/>
                <w:sz w:val="18"/>
                <w:szCs w:val="18"/>
                <w:color w:val="auto"/>
              </w:rPr>
              <w:t>Delaware</w:t>
            </w:r>
          </w:p>
        </w:tc>
        <w:tc>
          <w:tcPr>
            <w:tcW w:w="472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ASTAR ASB GA3, LLC</w:t>
            </w:r>
          </w:p>
        </w:tc>
        <w:tc>
          <w:tcPr>
            <w:tcW w:w="188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ASTAR ASB Holdings LLC</w:t>
            </w:r>
          </w:p>
        </w:tc>
        <w:tc>
          <w:tcPr>
            <w:tcW w:w="1880" w:type="dxa"/>
            <w:vAlign w:val="bottom"/>
          </w:tcPr>
          <w:p>
            <w:pPr>
              <w:ind w:left="740"/>
              <w:spacing w:after="0"/>
              <w:rPr>
                <w:sz w:val="20"/>
                <w:szCs w:val="20"/>
                <w:color w:val="auto"/>
              </w:rPr>
            </w:pPr>
            <w:r>
              <w:rPr>
                <w:rFonts w:ascii="Arial" w:cs="Arial" w:eastAsia="Arial" w:hAnsi="Arial"/>
                <w:sz w:val="18"/>
                <w:szCs w:val="18"/>
                <w:color w:val="auto"/>
              </w:rPr>
              <w:t>Delaware</w:t>
            </w:r>
          </w:p>
        </w:tc>
        <w:tc>
          <w:tcPr>
            <w:tcW w:w="4720" w:type="dxa"/>
            <w:vAlign w:val="bottom"/>
          </w:tcPr>
          <w:p>
            <w:pPr>
              <w:spacing w:after="0"/>
              <w:rPr>
                <w:sz w:val="21"/>
                <w:szCs w:val="21"/>
                <w:color w:val="auto"/>
              </w:rPr>
            </w:pPr>
          </w:p>
        </w:tc>
      </w:tr>
    </w:tbl>
    <w:p>
      <w:pPr>
        <w:sectPr>
          <w:pgSz w:w="11900" w:h="16838" w:orient="portrait"/>
          <w:cols w:equalWidth="0" w:num="1">
            <w:col w:w="11140"/>
          </w:cols>
          <w:pgMar w:left="380" w:top="734" w:right="379" w:bottom="1440" w:gutter="0" w:footer="0" w:header="0"/>
        </w:sectPr>
      </w:pPr>
    </w:p>
    <w:bookmarkStart w:id="133" w:name="page134"/>
    <w:bookmarkEnd w:id="1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ASTAR ASB NC1, LLC</w:t>
            </w:r>
          </w:p>
        </w:tc>
        <w:tc>
          <w:tcPr>
            <w:tcW w:w="21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Delaware</w:t>
            </w:r>
          </w:p>
        </w:tc>
        <w:tc>
          <w:tcPr>
            <w:tcW w:w="4720" w:type="dxa"/>
            <w:vAlign w:val="bottom"/>
            <w:shd w:val="clear" w:color="auto" w:fill="CCEEFF"/>
          </w:tcPr>
          <w:p>
            <w:pPr>
              <w:spacing w:after="0"/>
              <w:rPr>
                <w:sz w:val="23"/>
                <w:szCs w:val="23"/>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ASTAR ASB NC2, LLC</w:t>
            </w:r>
          </w:p>
        </w:tc>
        <w:tc>
          <w:tcPr>
            <w:tcW w:w="2180" w:type="dxa"/>
            <w:vAlign w:val="bottom"/>
          </w:tcPr>
          <w:p>
            <w:pPr>
              <w:ind w:left="1040"/>
              <w:spacing w:after="0"/>
              <w:rPr>
                <w:sz w:val="20"/>
                <w:szCs w:val="20"/>
                <w:color w:val="auto"/>
              </w:rPr>
            </w:pPr>
            <w:r>
              <w:rPr>
                <w:rFonts w:ascii="Arial" w:cs="Arial" w:eastAsia="Arial" w:hAnsi="Arial"/>
                <w:sz w:val="18"/>
                <w:szCs w:val="18"/>
                <w:color w:val="auto"/>
              </w:rPr>
              <w:t>Delaware</w:t>
            </w:r>
          </w:p>
        </w:tc>
        <w:tc>
          <w:tcPr>
            <w:tcW w:w="472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ASTAR ASB NC3, LLC</w:t>
            </w:r>
          </w:p>
        </w:tc>
        <w:tc>
          <w:tcPr>
            <w:tcW w:w="21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ASTAR ASB NC4, LLC</w:t>
            </w:r>
          </w:p>
        </w:tc>
        <w:tc>
          <w:tcPr>
            <w:tcW w:w="2180" w:type="dxa"/>
            <w:vAlign w:val="bottom"/>
          </w:tcPr>
          <w:p>
            <w:pPr>
              <w:ind w:left="1040"/>
              <w:spacing w:after="0"/>
              <w:rPr>
                <w:sz w:val="20"/>
                <w:szCs w:val="20"/>
                <w:color w:val="auto"/>
              </w:rPr>
            </w:pPr>
            <w:r>
              <w:rPr>
                <w:rFonts w:ascii="Arial" w:cs="Arial" w:eastAsia="Arial" w:hAnsi="Arial"/>
                <w:sz w:val="18"/>
                <w:szCs w:val="18"/>
                <w:color w:val="auto"/>
              </w:rPr>
              <w:t>Delaware</w:t>
            </w:r>
          </w:p>
        </w:tc>
        <w:tc>
          <w:tcPr>
            <w:tcW w:w="472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ASTAR ASB TX1 GenPar LLC</w:t>
            </w:r>
          </w:p>
        </w:tc>
        <w:tc>
          <w:tcPr>
            <w:tcW w:w="21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ASTAR ASB TX1 LimPar LLC</w:t>
            </w:r>
          </w:p>
        </w:tc>
        <w:tc>
          <w:tcPr>
            <w:tcW w:w="2180" w:type="dxa"/>
            <w:vAlign w:val="bottom"/>
          </w:tcPr>
          <w:p>
            <w:pPr>
              <w:ind w:left="1040"/>
              <w:spacing w:after="0"/>
              <w:rPr>
                <w:sz w:val="20"/>
                <w:szCs w:val="20"/>
                <w:color w:val="auto"/>
              </w:rPr>
            </w:pPr>
            <w:r>
              <w:rPr>
                <w:rFonts w:ascii="Arial" w:cs="Arial" w:eastAsia="Arial" w:hAnsi="Arial"/>
                <w:sz w:val="18"/>
                <w:szCs w:val="18"/>
                <w:color w:val="auto"/>
              </w:rPr>
              <w:t>Delaware</w:t>
            </w:r>
          </w:p>
        </w:tc>
        <w:tc>
          <w:tcPr>
            <w:tcW w:w="472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ASTAR ASB TX1 LP</w:t>
            </w:r>
          </w:p>
        </w:tc>
        <w:tc>
          <w:tcPr>
            <w:tcW w:w="21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ASTAR ASB VA1, LLC</w:t>
            </w:r>
          </w:p>
        </w:tc>
        <w:tc>
          <w:tcPr>
            <w:tcW w:w="2180" w:type="dxa"/>
            <w:vAlign w:val="bottom"/>
          </w:tcPr>
          <w:p>
            <w:pPr>
              <w:ind w:left="1040"/>
              <w:spacing w:after="0"/>
              <w:rPr>
                <w:sz w:val="20"/>
                <w:szCs w:val="20"/>
                <w:color w:val="auto"/>
              </w:rPr>
            </w:pPr>
            <w:r>
              <w:rPr>
                <w:rFonts w:ascii="Arial" w:cs="Arial" w:eastAsia="Arial" w:hAnsi="Arial"/>
                <w:sz w:val="18"/>
                <w:szCs w:val="18"/>
                <w:color w:val="auto"/>
              </w:rPr>
              <w:t>Delaware</w:t>
            </w:r>
          </w:p>
        </w:tc>
        <w:tc>
          <w:tcPr>
            <w:tcW w:w="472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ASTAR ASB VA2, LLC</w:t>
            </w:r>
          </w:p>
        </w:tc>
        <w:tc>
          <w:tcPr>
            <w:tcW w:w="21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ASTAR Finance Falcon I LLC</w:t>
            </w:r>
          </w:p>
        </w:tc>
        <w:tc>
          <w:tcPr>
            <w:tcW w:w="2180" w:type="dxa"/>
            <w:vAlign w:val="bottom"/>
          </w:tcPr>
          <w:p>
            <w:pPr>
              <w:ind w:left="1040"/>
              <w:spacing w:after="0"/>
              <w:rPr>
                <w:sz w:val="20"/>
                <w:szCs w:val="20"/>
                <w:color w:val="auto"/>
              </w:rPr>
            </w:pPr>
            <w:r>
              <w:rPr>
                <w:rFonts w:ascii="Arial" w:cs="Arial" w:eastAsia="Arial" w:hAnsi="Arial"/>
                <w:sz w:val="18"/>
                <w:szCs w:val="18"/>
                <w:color w:val="auto"/>
              </w:rPr>
              <w:t>Delaware</w:t>
            </w:r>
          </w:p>
        </w:tc>
        <w:tc>
          <w:tcPr>
            <w:tcW w:w="472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ASTAR Finance Falcon II LLC</w:t>
            </w:r>
          </w:p>
        </w:tc>
        <w:tc>
          <w:tcPr>
            <w:tcW w:w="21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ASTAR Finance LLC</w:t>
            </w:r>
          </w:p>
        </w:tc>
        <w:tc>
          <w:tcPr>
            <w:tcW w:w="2180" w:type="dxa"/>
            <w:vAlign w:val="bottom"/>
          </w:tcPr>
          <w:p>
            <w:pPr>
              <w:ind w:left="1040"/>
              <w:spacing w:after="0"/>
              <w:rPr>
                <w:sz w:val="20"/>
                <w:szCs w:val="20"/>
                <w:color w:val="auto"/>
              </w:rPr>
            </w:pPr>
            <w:r>
              <w:rPr>
                <w:rFonts w:ascii="Arial" w:cs="Arial" w:eastAsia="Arial" w:hAnsi="Arial"/>
                <w:sz w:val="18"/>
                <w:szCs w:val="18"/>
                <w:color w:val="auto"/>
              </w:rPr>
              <w:t>Delaware</w:t>
            </w:r>
          </w:p>
        </w:tc>
        <w:tc>
          <w:tcPr>
            <w:tcW w:w="4720" w:type="dxa"/>
            <w:vAlign w:val="bottom"/>
          </w:tcPr>
          <w:p>
            <w:pPr>
              <w:ind w:left="300"/>
              <w:spacing w:after="0"/>
              <w:rPr>
                <w:sz w:val="20"/>
                <w:szCs w:val="20"/>
                <w:color w:val="auto"/>
              </w:rPr>
            </w:pPr>
            <w:r>
              <w:rPr>
                <w:rFonts w:ascii="Arial" w:cs="Arial" w:eastAsia="Arial" w:hAnsi="Arial"/>
                <w:sz w:val="18"/>
                <w:szCs w:val="18"/>
                <w:color w:val="auto"/>
              </w:rPr>
              <w:t>ASTAR AF NH1, LLC</w:t>
            </w:r>
          </w:p>
        </w:tc>
      </w:tr>
      <w:tr>
        <w:trPr>
          <w:trHeight w:val="27"/>
        </w:trPr>
        <w:tc>
          <w:tcPr>
            <w:tcW w:w="42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ASTAR FRR FL1, LLC</w:t>
            </w:r>
          </w:p>
        </w:tc>
        <w:tc>
          <w:tcPr>
            <w:tcW w:w="21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ASTAR FRR TX1 GenPar LLC</w:t>
            </w:r>
          </w:p>
        </w:tc>
        <w:tc>
          <w:tcPr>
            <w:tcW w:w="2180" w:type="dxa"/>
            <w:vAlign w:val="bottom"/>
          </w:tcPr>
          <w:p>
            <w:pPr>
              <w:ind w:left="1040"/>
              <w:spacing w:after="0"/>
              <w:rPr>
                <w:sz w:val="20"/>
                <w:szCs w:val="20"/>
                <w:color w:val="auto"/>
              </w:rPr>
            </w:pPr>
            <w:r>
              <w:rPr>
                <w:rFonts w:ascii="Arial" w:cs="Arial" w:eastAsia="Arial" w:hAnsi="Arial"/>
                <w:sz w:val="18"/>
                <w:szCs w:val="18"/>
                <w:color w:val="auto"/>
              </w:rPr>
              <w:t>Delaware</w:t>
            </w:r>
          </w:p>
        </w:tc>
        <w:tc>
          <w:tcPr>
            <w:tcW w:w="472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ASTAR FRR TX1 LP</w:t>
            </w:r>
          </w:p>
        </w:tc>
        <w:tc>
          <w:tcPr>
            <w:tcW w:w="21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ASTAR Pima Road-Scottsdale LLC</w:t>
            </w:r>
          </w:p>
        </w:tc>
        <w:tc>
          <w:tcPr>
            <w:tcW w:w="2180" w:type="dxa"/>
            <w:vAlign w:val="bottom"/>
          </w:tcPr>
          <w:p>
            <w:pPr>
              <w:ind w:left="1040"/>
              <w:spacing w:after="0"/>
              <w:rPr>
                <w:sz w:val="20"/>
                <w:szCs w:val="20"/>
                <w:color w:val="auto"/>
              </w:rPr>
            </w:pPr>
            <w:r>
              <w:rPr>
                <w:rFonts w:ascii="Arial" w:cs="Arial" w:eastAsia="Arial" w:hAnsi="Arial"/>
                <w:sz w:val="18"/>
                <w:szCs w:val="18"/>
                <w:color w:val="auto"/>
              </w:rPr>
              <w:t>Delaware</w:t>
            </w:r>
          </w:p>
        </w:tc>
        <w:tc>
          <w:tcPr>
            <w:tcW w:w="472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ASTAR ROU LA1, LLC</w:t>
            </w:r>
          </w:p>
        </w:tc>
        <w:tc>
          <w:tcPr>
            <w:tcW w:w="21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ASTAR Spokane LLC</w:t>
            </w:r>
          </w:p>
        </w:tc>
        <w:tc>
          <w:tcPr>
            <w:tcW w:w="2180" w:type="dxa"/>
            <w:vAlign w:val="bottom"/>
          </w:tcPr>
          <w:p>
            <w:pPr>
              <w:ind w:left="1040"/>
              <w:spacing w:after="0"/>
              <w:rPr>
                <w:sz w:val="20"/>
                <w:szCs w:val="20"/>
                <w:color w:val="auto"/>
              </w:rPr>
            </w:pPr>
            <w:r>
              <w:rPr>
                <w:rFonts w:ascii="Arial" w:cs="Arial" w:eastAsia="Arial" w:hAnsi="Arial"/>
                <w:sz w:val="18"/>
                <w:szCs w:val="18"/>
                <w:color w:val="auto"/>
              </w:rPr>
              <w:t>Delaware</w:t>
            </w:r>
          </w:p>
        </w:tc>
        <w:tc>
          <w:tcPr>
            <w:tcW w:w="472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ASTAR Suncadia LLC</w:t>
            </w:r>
          </w:p>
        </w:tc>
        <w:tc>
          <w:tcPr>
            <w:tcW w:w="21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ASTAR Two Notch Columbia LLC</w:t>
            </w:r>
          </w:p>
        </w:tc>
        <w:tc>
          <w:tcPr>
            <w:tcW w:w="2180" w:type="dxa"/>
            <w:vAlign w:val="bottom"/>
          </w:tcPr>
          <w:p>
            <w:pPr>
              <w:ind w:left="1040"/>
              <w:spacing w:after="0"/>
              <w:rPr>
                <w:sz w:val="20"/>
                <w:szCs w:val="20"/>
                <w:color w:val="auto"/>
              </w:rPr>
            </w:pPr>
            <w:r>
              <w:rPr>
                <w:rFonts w:ascii="Arial" w:cs="Arial" w:eastAsia="Arial" w:hAnsi="Arial"/>
                <w:sz w:val="18"/>
                <w:szCs w:val="18"/>
                <w:color w:val="auto"/>
              </w:rPr>
              <w:t>Delaware</w:t>
            </w:r>
          </w:p>
        </w:tc>
        <w:tc>
          <w:tcPr>
            <w:tcW w:w="472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ASTAR UAG AZ1, LLC</w:t>
            </w:r>
          </w:p>
        </w:tc>
        <w:tc>
          <w:tcPr>
            <w:tcW w:w="21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ASTAR UAG AZ2, LLC</w:t>
            </w:r>
          </w:p>
        </w:tc>
        <w:tc>
          <w:tcPr>
            <w:tcW w:w="2180" w:type="dxa"/>
            <w:vAlign w:val="bottom"/>
          </w:tcPr>
          <w:p>
            <w:pPr>
              <w:ind w:left="1040"/>
              <w:spacing w:after="0"/>
              <w:rPr>
                <w:sz w:val="20"/>
                <w:szCs w:val="20"/>
                <w:color w:val="auto"/>
              </w:rPr>
            </w:pPr>
            <w:r>
              <w:rPr>
                <w:rFonts w:ascii="Arial" w:cs="Arial" w:eastAsia="Arial" w:hAnsi="Arial"/>
                <w:sz w:val="18"/>
                <w:szCs w:val="18"/>
                <w:color w:val="auto"/>
              </w:rPr>
              <w:t>Delaware</w:t>
            </w:r>
          </w:p>
        </w:tc>
        <w:tc>
          <w:tcPr>
            <w:tcW w:w="472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ASTAR UAG AZ3, LLC</w:t>
            </w:r>
          </w:p>
        </w:tc>
        <w:tc>
          <w:tcPr>
            <w:tcW w:w="21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ASTAR UAG FL1, LLC</w:t>
            </w:r>
          </w:p>
        </w:tc>
        <w:tc>
          <w:tcPr>
            <w:tcW w:w="2180" w:type="dxa"/>
            <w:vAlign w:val="bottom"/>
          </w:tcPr>
          <w:p>
            <w:pPr>
              <w:ind w:left="1040"/>
              <w:spacing w:after="0"/>
              <w:rPr>
                <w:sz w:val="20"/>
                <w:szCs w:val="20"/>
                <w:color w:val="auto"/>
              </w:rPr>
            </w:pPr>
            <w:r>
              <w:rPr>
                <w:rFonts w:ascii="Arial" w:cs="Arial" w:eastAsia="Arial" w:hAnsi="Arial"/>
                <w:sz w:val="18"/>
                <w:szCs w:val="18"/>
                <w:color w:val="auto"/>
              </w:rPr>
              <w:t>Delaware</w:t>
            </w:r>
          </w:p>
        </w:tc>
        <w:tc>
          <w:tcPr>
            <w:tcW w:w="472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ASTAR UAG NJ1 LLC</w:t>
            </w:r>
          </w:p>
        </w:tc>
        <w:tc>
          <w:tcPr>
            <w:tcW w:w="21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Autostar Investors Partnership LLP</w:t>
            </w:r>
          </w:p>
        </w:tc>
        <w:tc>
          <w:tcPr>
            <w:tcW w:w="2180" w:type="dxa"/>
            <w:vAlign w:val="bottom"/>
          </w:tcPr>
          <w:p>
            <w:pPr>
              <w:ind w:left="1040"/>
              <w:spacing w:after="0"/>
              <w:rPr>
                <w:sz w:val="20"/>
                <w:szCs w:val="20"/>
                <w:color w:val="auto"/>
              </w:rPr>
            </w:pPr>
            <w:r>
              <w:rPr>
                <w:rFonts w:ascii="Arial" w:cs="Arial" w:eastAsia="Arial" w:hAnsi="Arial"/>
                <w:sz w:val="18"/>
                <w:szCs w:val="18"/>
                <w:color w:val="auto"/>
              </w:rPr>
              <w:t>Delaware</w:t>
            </w:r>
          </w:p>
        </w:tc>
        <w:tc>
          <w:tcPr>
            <w:tcW w:w="472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AutoStar Realty Operating Partnership, L.P.</w:t>
            </w:r>
          </w:p>
        </w:tc>
        <w:tc>
          <w:tcPr>
            <w:tcW w:w="21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Milestone Realty Operating Partnership</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Autostar Realty GP LLC</w:t>
            </w:r>
          </w:p>
        </w:tc>
        <w:tc>
          <w:tcPr>
            <w:tcW w:w="2180" w:type="dxa"/>
            <w:vAlign w:val="bottom"/>
          </w:tcPr>
          <w:p>
            <w:pPr>
              <w:ind w:left="1040"/>
              <w:spacing w:after="0"/>
              <w:rPr>
                <w:sz w:val="20"/>
                <w:szCs w:val="20"/>
                <w:color w:val="auto"/>
              </w:rPr>
            </w:pPr>
            <w:r>
              <w:rPr>
                <w:rFonts w:ascii="Arial" w:cs="Arial" w:eastAsia="Arial" w:hAnsi="Arial"/>
                <w:sz w:val="18"/>
                <w:szCs w:val="18"/>
                <w:color w:val="auto"/>
              </w:rPr>
              <w:t>Delaware</w:t>
            </w:r>
          </w:p>
        </w:tc>
        <w:tc>
          <w:tcPr>
            <w:tcW w:w="472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Bath Site LLC</w:t>
            </w:r>
          </w:p>
        </w:tc>
        <w:tc>
          <w:tcPr>
            <w:tcW w:w="21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Belmont Ridge Development Co LLC</w:t>
            </w:r>
          </w:p>
        </w:tc>
        <w:tc>
          <w:tcPr>
            <w:tcW w:w="2180" w:type="dxa"/>
            <w:vAlign w:val="bottom"/>
          </w:tcPr>
          <w:p>
            <w:pPr>
              <w:ind w:left="1040"/>
              <w:spacing w:after="0"/>
              <w:rPr>
                <w:sz w:val="20"/>
                <w:szCs w:val="20"/>
                <w:color w:val="auto"/>
              </w:rPr>
            </w:pPr>
            <w:r>
              <w:rPr>
                <w:rFonts w:ascii="Arial" w:cs="Arial" w:eastAsia="Arial" w:hAnsi="Arial"/>
                <w:sz w:val="18"/>
                <w:szCs w:val="18"/>
                <w:color w:val="auto"/>
              </w:rPr>
              <w:t>Delaware</w:t>
            </w:r>
          </w:p>
        </w:tc>
        <w:tc>
          <w:tcPr>
            <w:tcW w:w="4720" w:type="dxa"/>
            <w:vAlign w:val="bottom"/>
          </w:tcPr>
          <w:p>
            <w:pPr>
              <w:ind w:left="300"/>
              <w:spacing w:after="0"/>
              <w:rPr>
                <w:sz w:val="20"/>
                <w:szCs w:val="20"/>
                <w:color w:val="auto"/>
              </w:rPr>
            </w:pPr>
            <w:r>
              <w:rPr>
                <w:rFonts w:ascii="Arial" w:cs="Arial" w:eastAsia="Arial" w:hAnsi="Arial"/>
                <w:sz w:val="18"/>
                <w:szCs w:val="18"/>
                <w:color w:val="auto"/>
              </w:rPr>
              <w:t>SFI One Madison Park LLC</w:t>
            </w:r>
          </w:p>
        </w:tc>
      </w:tr>
      <w:tr>
        <w:trPr>
          <w:trHeight w:val="27"/>
        </w:trPr>
        <w:tc>
          <w:tcPr>
            <w:tcW w:w="42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Bond Portfolio Holdings LLC</w:t>
            </w:r>
          </w:p>
        </w:tc>
        <w:tc>
          <w:tcPr>
            <w:tcW w:w="21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Bond Portfolio Holdings II LLC</w:t>
            </w:r>
          </w:p>
        </w:tc>
        <w:tc>
          <w:tcPr>
            <w:tcW w:w="2180" w:type="dxa"/>
            <w:vAlign w:val="bottom"/>
          </w:tcPr>
          <w:p>
            <w:pPr>
              <w:ind w:left="1040"/>
              <w:spacing w:after="0"/>
              <w:rPr>
                <w:sz w:val="20"/>
                <w:szCs w:val="20"/>
                <w:color w:val="auto"/>
              </w:rPr>
            </w:pPr>
            <w:r>
              <w:rPr>
                <w:rFonts w:ascii="Arial" w:cs="Arial" w:eastAsia="Arial" w:hAnsi="Arial"/>
                <w:sz w:val="18"/>
                <w:szCs w:val="18"/>
                <w:color w:val="auto"/>
              </w:rPr>
              <w:t>Delaware</w:t>
            </w:r>
          </w:p>
        </w:tc>
        <w:tc>
          <w:tcPr>
            <w:tcW w:w="472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Bonita Grande 68, LLC</w:t>
            </w:r>
          </w:p>
        </w:tc>
        <w:tc>
          <w:tcPr>
            <w:tcW w:w="21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Florida</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BW Bowling Properties LP</w:t>
            </w:r>
          </w:p>
        </w:tc>
        <w:tc>
          <w:tcPr>
            <w:tcW w:w="2180" w:type="dxa"/>
            <w:vAlign w:val="bottom"/>
          </w:tcPr>
          <w:p>
            <w:pPr>
              <w:ind w:left="1040"/>
              <w:spacing w:after="0"/>
              <w:rPr>
                <w:sz w:val="20"/>
                <w:szCs w:val="20"/>
                <w:color w:val="auto"/>
              </w:rPr>
            </w:pPr>
            <w:r>
              <w:rPr>
                <w:rFonts w:ascii="Arial" w:cs="Arial" w:eastAsia="Arial" w:hAnsi="Arial"/>
                <w:sz w:val="18"/>
                <w:szCs w:val="18"/>
                <w:color w:val="auto"/>
              </w:rPr>
              <w:t>Delaware</w:t>
            </w:r>
          </w:p>
        </w:tc>
        <w:tc>
          <w:tcPr>
            <w:tcW w:w="472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BW Bowling Properties LLC</w:t>
            </w:r>
          </w:p>
        </w:tc>
        <w:tc>
          <w:tcPr>
            <w:tcW w:w="21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BW Bowling Properties GenPar LLC</w:t>
            </w:r>
          </w:p>
        </w:tc>
        <w:tc>
          <w:tcPr>
            <w:tcW w:w="2180" w:type="dxa"/>
            <w:vAlign w:val="bottom"/>
          </w:tcPr>
          <w:p>
            <w:pPr>
              <w:ind w:left="1040"/>
              <w:spacing w:after="0"/>
              <w:rPr>
                <w:sz w:val="20"/>
                <w:szCs w:val="20"/>
                <w:color w:val="auto"/>
              </w:rPr>
            </w:pPr>
            <w:r>
              <w:rPr>
                <w:rFonts w:ascii="Arial" w:cs="Arial" w:eastAsia="Arial" w:hAnsi="Arial"/>
                <w:sz w:val="18"/>
                <w:szCs w:val="18"/>
                <w:color w:val="auto"/>
              </w:rPr>
              <w:t>Delaware</w:t>
            </w:r>
          </w:p>
        </w:tc>
        <w:tc>
          <w:tcPr>
            <w:tcW w:w="472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BW Bowling Net Lease I REIT</w:t>
            </w:r>
          </w:p>
        </w:tc>
        <w:tc>
          <w:tcPr>
            <w:tcW w:w="21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Maryland</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BW Bowling Properties Canada Inc.</w:t>
            </w:r>
          </w:p>
        </w:tc>
        <w:tc>
          <w:tcPr>
            <w:tcW w:w="2180" w:type="dxa"/>
            <w:vAlign w:val="bottom"/>
          </w:tcPr>
          <w:p>
            <w:pPr>
              <w:ind w:left="1040"/>
              <w:spacing w:after="0"/>
              <w:rPr>
                <w:sz w:val="20"/>
                <w:szCs w:val="20"/>
                <w:color w:val="auto"/>
              </w:rPr>
            </w:pPr>
            <w:r>
              <w:rPr>
                <w:rFonts w:ascii="Arial" w:cs="Arial" w:eastAsia="Arial" w:hAnsi="Arial"/>
                <w:sz w:val="18"/>
                <w:szCs w:val="18"/>
                <w:color w:val="auto"/>
              </w:rPr>
              <w:t>Canada</w:t>
            </w:r>
          </w:p>
        </w:tc>
        <w:tc>
          <w:tcPr>
            <w:tcW w:w="472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Cajun Fish Holdings, L.L.C.</w:t>
            </w:r>
          </w:p>
        </w:tc>
        <w:tc>
          <w:tcPr>
            <w:tcW w:w="21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New Jersey</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Campbell Commons-Richardson LLC</w:t>
            </w:r>
          </w:p>
        </w:tc>
        <w:tc>
          <w:tcPr>
            <w:tcW w:w="2180" w:type="dxa"/>
            <w:vAlign w:val="bottom"/>
          </w:tcPr>
          <w:p>
            <w:pPr>
              <w:ind w:left="1040"/>
              <w:spacing w:after="0"/>
              <w:rPr>
                <w:sz w:val="20"/>
                <w:szCs w:val="20"/>
                <w:color w:val="auto"/>
              </w:rPr>
            </w:pPr>
            <w:r>
              <w:rPr>
                <w:rFonts w:ascii="Arial" w:cs="Arial" w:eastAsia="Arial" w:hAnsi="Arial"/>
                <w:sz w:val="18"/>
                <w:szCs w:val="18"/>
                <w:color w:val="auto"/>
              </w:rPr>
              <w:t>Delaware</w:t>
            </w:r>
          </w:p>
        </w:tc>
        <w:tc>
          <w:tcPr>
            <w:tcW w:w="472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Charwell TP LLC</w:t>
            </w:r>
          </w:p>
        </w:tc>
        <w:tc>
          <w:tcPr>
            <w:tcW w:w="21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New York</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Childs Associates LLC</w:t>
            </w:r>
          </w:p>
        </w:tc>
        <w:tc>
          <w:tcPr>
            <w:tcW w:w="2180" w:type="dxa"/>
            <w:vAlign w:val="bottom"/>
          </w:tcPr>
          <w:p>
            <w:pPr>
              <w:ind w:left="1040"/>
              <w:spacing w:after="0"/>
              <w:rPr>
                <w:sz w:val="20"/>
                <w:szCs w:val="20"/>
                <w:color w:val="auto"/>
              </w:rPr>
            </w:pPr>
            <w:r>
              <w:rPr>
                <w:rFonts w:ascii="Arial" w:cs="Arial" w:eastAsia="Arial" w:hAnsi="Arial"/>
                <w:sz w:val="18"/>
                <w:szCs w:val="18"/>
                <w:color w:val="auto"/>
              </w:rPr>
              <w:t>Delaware</w:t>
            </w:r>
          </w:p>
        </w:tc>
        <w:tc>
          <w:tcPr>
            <w:tcW w:w="472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Coney Childs Lender LLC</w:t>
            </w:r>
          </w:p>
        </w:tc>
        <w:tc>
          <w:tcPr>
            <w:tcW w:w="21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Coney Entertainment LLC</w:t>
            </w:r>
          </w:p>
        </w:tc>
        <w:tc>
          <w:tcPr>
            <w:tcW w:w="2180" w:type="dxa"/>
            <w:vAlign w:val="bottom"/>
          </w:tcPr>
          <w:p>
            <w:pPr>
              <w:ind w:left="1040"/>
              <w:spacing w:after="0"/>
              <w:rPr>
                <w:sz w:val="20"/>
                <w:szCs w:val="20"/>
                <w:color w:val="auto"/>
              </w:rPr>
            </w:pPr>
            <w:r>
              <w:rPr>
                <w:rFonts w:ascii="Arial" w:cs="Arial" w:eastAsia="Arial" w:hAnsi="Arial"/>
                <w:sz w:val="18"/>
                <w:szCs w:val="18"/>
                <w:color w:val="auto"/>
              </w:rPr>
              <w:t>Delaware</w:t>
            </w:r>
          </w:p>
        </w:tc>
        <w:tc>
          <w:tcPr>
            <w:tcW w:w="472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Coney Island Holdings LLC</w:t>
            </w:r>
          </w:p>
        </w:tc>
        <w:tc>
          <w:tcPr>
            <w:tcW w:w="21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Coyote Center Development LLC</w:t>
            </w:r>
          </w:p>
        </w:tc>
        <w:tc>
          <w:tcPr>
            <w:tcW w:w="2180" w:type="dxa"/>
            <w:vAlign w:val="bottom"/>
          </w:tcPr>
          <w:p>
            <w:pPr>
              <w:ind w:left="1040"/>
              <w:spacing w:after="0"/>
              <w:rPr>
                <w:sz w:val="20"/>
                <w:szCs w:val="20"/>
                <w:color w:val="auto"/>
              </w:rPr>
            </w:pPr>
            <w:r>
              <w:rPr>
                <w:rFonts w:ascii="Arial" w:cs="Arial" w:eastAsia="Arial" w:hAnsi="Arial"/>
                <w:sz w:val="18"/>
                <w:szCs w:val="18"/>
                <w:color w:val="auto"/>
              </w:rPr>
              <w:t>Delaware</w:t>
            </w:r>
          </w:p>
        </w:tc>
        <w:tc>
          <w:tcPr>
            <w:tcW w:w="4720" w:type="dxa"/>
            <w:vAlign w:val="bottom"/>
          </w:tcPr>
          <w:p>
            <w:pPr>
              <w:spacing w:after="0"/>
              <w:rPr>
                <w:sz w:val="21"/>
                <w:szCs w:val="21"/>
                <w:color w:val="auto"/>
              </w:rPr>
            </w:pPr>
          </w:p>
        </w:tc>
      </w:tr>
    </w:tbl>
    <w:p>
      <w:pPr>
        <w:sectPr>
          <w:pgSz w:w="11900" w:h="16838" w:orient="portrait"/>
          <w:cols w:equalWidth="0" w:num="1">
            <w:col w:w="11140"/>
          </w:cols>
          <w:pgMar w:left="380" w:top="734" w:right="379" w:bottom="1440" w:gutter="0" w:footer="0" w:header="0"/>
        </w:sectPr>
      </w:pPr>
    </w:p>
    <w:bookmarkStart w:id="134" w:name="page135"/>
    <w:bookmarkEnd w:id="1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CTL I Maryland, Inc.</w:t>
            </w:r>
          </w:p>
        </w:tc>
        <w:tc>
          <w:tcPr>
            <w:tcW w:w="19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Delaware</w:t>
            </w:r>
          </w:p>
        </w:tc>
        <w:tc>
          <w:tcPr>
            <w:tcW w:w="4800" w:type="dxa"/>
            <w:vAlign w:val="bottom"/>
            <w:shd w:val="clear" w:color="auto" w:fill="CCEEFF"/>
          </w:tcPr>
          <w:p>
            <w:pPr>
              <w:spacing w:after="0"/>
              <w:rPr>
                <w:sz w:val="23"/>
                <w:szCs w:val="23"/>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DT Net Lease I REIT</w:t>
            </w:r>
          </w:p>
        </w:tc>
        <w:tc>
          <w:tcPr>
            <w:tcW w:w="1960" w:type="dxa"/>
            <w:vAlign w:val="bottom"/>
          </w:tcPr>
          <w:p>
            <w:pPr>
              <w:ind w:left="900"/>
              <w:spacing w:after="0"/>
              <w:rPr>
                <w:sz w:val="20"/>
                <w:szCs w:val="20"/>
                <w:color w:val="auto"/>
              </w:rPr>
            </w:pPr>
            <w:r>
              <w:rPr>
                <w:rFonts w:ascii="Arial" w:cs="Arial" w:eastAsia="Arial" w:hAnsi="Arial"/>
                <w:sz w:val="18"/>
                <w:szCs w:val="18"/>
                <w:color w:val="auto"/>
              </w:rPr>
              <w:t>Maryland</w:t>
            </w:r>
          </w:p>
        </w:tc>
        <w:tc>
          <w:tcPr>
            <w:tcW w:w="480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DT-XCIII-IS, LLC</w:t>
            </w:r>
          </w:p>
        </w:tc>
        <w:tc>
          <w:tcPr>
            <w:tcW w:w="19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Delaware</w:t>
            </w:r>
          </w:p>
        </w:tc>
        <w:tc>
          <w:tcPr>
            <w:tcW w:w="480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Entertainment Center Development, LLC</w:t>
            </w:r>
          </w:p>
        </w:tc>
        <w:tc>
          <w:tcPr>
            <w:tcW w:w="1960" w:type="dxa"/>
            <w:vAlign w:val="bottom"/>
          </w:tcPr>
          <w:p>
            <w:pPr>
              <w:ind w:left="900"/>
              <w:spacing w:after="0"/>
              <w:rPr>
                <w:sz w:val="20"/>
                <w:szCs w:val="20"/>
                <w:color w:val="auto"/>
              </w:rPr>
            </w:pPr>
            <w:r>
              <w:rPr>
                <w:rFonts w:ascii="Arial" w:cs="Arial" w:eastAsia="Arial" w:hAnsi="Arial"/>
                <w:sz w:val="18"/>
                <w:szCs w:val="18"/>
                <w:color w:val="auto"/>
              </w:rPr>
              <w:t>Delaware</w:t>
            </w:r>
          </w:p>
        </w:tc>
        <w:tc>
          <w:tcPr>
            <w:tcW w:w="480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Every Bear Investments LLC</w:t>
            </w:r>
          </w:p>
        </w:tc>
        <w:tc>
          <w:tcPr>
            <w:tcW w:w="19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Delaware</w:t>
            </w:r>
          </w:p>
        </w:tc>
        <w:tc>
          <w:tcPr>
            <w:tcW w:w="480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Falcon Auto Dealership Loan Trust 2001-1</w:t>
            </w:r>
          </w:p>
        </w:tc>
        <w:tc>
          <w:tcPr>
            <w:tcW w:w="1960" w:type="dxa"/>
            <w:vAlign w:val="bottom"/>
          </w:tcPr>
          <w:p>
            <w:pPr>
              <w:ind w:left="900"/>
              <w:spacing w:after="0"/>
              <w:rPr>
                <w:sz w:val="20"/>
                <w:szCs w:val="20"/>
                <w:color w:val="auto"/>
              </w:rPr>
            </w:pPr>
            <w:r>
              <w:rPr>
                <w:rFonts w:ascii="Arial" w:cs="Arial" w:eastAsia="Arial" w:hAnsi="Arial"/>
                <w:sz w:val="18"/>
                <w:szCs w:val="18"/>
                <w:color w:val="auto"/>
              </w:rPr>
              <w:t>Delaware</w:t>
            </w:r>
          </w:p>
        </w:tc>
        <w:tc>
          <w:tcPr>
            <w:tcW w:w="480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Falcon Auto Dealership Loan Trust 2003-1</w:t>
            </w:r>
          </w:p>
        </w:tc>
        <w:tc>
          <w:tcPr>
            <w:tcW w:w="19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Delaware</w:t>
            </w:r>
          </w:p>
        </w:tc>
        <w:tc>
          <w:tcPr>
            <w:tcW w:w="480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Falcon Auto Dealership, LLC</w:t>
            </w:r>
          </w:p>
        </w:tc>
        <w:tc>
          <w:tcPr>
            <w:tcW w:w="1960" w:type="dxa"/>
            <w:vAlign w:val="bottom"/>
          </w:tcPr>
          <w:p>
            <w:pPr>
              <w:ind w:left="900"/>
              <w:spacing w:after="0"/>
              <w:rPr>
                <w:sz w:val="20"/>
                <w:szCs w:val="20"/>
                <w:color w:val="auto"/>
              </w:rPr>
            </w:pPr>
            <w:r>
              <w:rPr>
                <w:rFonts w:ascii="Arial" w:cs="Arial" w:eastAsia="Arial" w:hAnsi="Arial"/>
                <w:sz w:val="18"/>
                <w:szCs w:val="18"/>
                <w:color w:val="auto"/>
              </w:rPr>
              <w:t>Delaware</w:t>
            </w:r>
          </w:p>
        </w:tc>
        <w:tc>
          <w:tcPr>
            <w:tcW w:w="480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Falcon Financial II, LLC</w:t>
            </w:r>
          </w:p>
        </w:tc>
        <w:tc>
          <w:tcPr>
            <w:tcW w:w="19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Delaware</w:t>
            </w:r>
          </w:p>
        </w:tc>
        <w:tc>
          <w:tcPr>
            <w:tcW w:w="480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Falcon Franchise Loan Corp.</w:t>
            </w:r>
          </w:p>
        </w:tc>
        <w:tc>
          <w:tcPr>
            <w:tcW w:w="1960" w:type="dxa"/>
            <w:vAlign w:val="bottom"/>
          </w:tcPr>
          <w:p>
            <w:pPr>
              <w:ind w:left="900"/>
              <w:spacing w:after="0"/>
              <w:rPr>
                <w:sz w:val="20"/>
                <w:szCs w:val="20"/>
                <w:color w:val="auto"/>
              </w:rPr>
            </w:pPr>
            <w:r>
              <w:rPr>
                <w:rFonts w:ascii="Arial" w:cs="Arial" w:eastAsia="Arial" w:hAnsi="Arial"/>
                <w:sz w:val="18"/>
                <w:szCs w:val="18"/>
                <w:color w:val="auto"/>
              </w:rPr>
              <w:t>Delaware</w:t>
            </w:r>
          </w:p>
        </w:tc>
        <w:tc>
          <w:tcPr>
            <w:tcW w:w="480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Florida 2005 Theaters LLC</w:t>
            </w:r>
          </w:p>
        </w:tc>
        <w:tc>
          <w:tcPr>
            <w:tcW w:w="19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Delaware</w:t>
            </w:r>
          </w:p>
        </w:tc>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MUVICO Realty, LLC</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GFV Shawan Office, LLC</w:t>
            </w:r>
          </w:p>
        </w:tc>
        <w:tc>
          <w:tcPr>
            <w:tcW w:w="1960" w:type="dxa"/>
            <w:vAlign w:val="bottom"/>
          </w:tcPr>
          <w:p>
            <w:pPr>
              <w:ind w:left="900"/>
              <w:spacing w:after="0"/>
              <w:rPr>
                <w:sz w:val="20"/>
                <w:szCs w:val="20"/>
                <w:color w:val="auto"/>
              </w:rPr>
            </w:pPr>
            <w:r>
              <w:rPr>
                <w:rFonts w:ascii="Arial" w:cs="Arial" w:eastAsia="Arial" w:hAnsi="Arial"/>
                <w:sz w:val="18"/>
                <w:szCs w:val="18"/>
                <w:color w:val="auto"/>
              </w:rPr>
              <w:t>Delaware</w:t>
            </w:r>
          </w:p>
        </w:tc>
        <w:tc>
          <w:tcPr>
            <w:tcW w:w="480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 Coast Chicago Acquisition Company LLC</w:t>
            </w:r>
          </w:p>
        </w:tc>
        <w:tc>
          <w:tcPr>
            <w:tcW w:w="19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Delaware</w:t>
            </w:r>
          </w:p>
        </w:tc>
        <w:tc>
          <w:tcPr>
            <w:tcW w:w="480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Harko, LLC</w:t>
            </w:r>
          </w:p>
        </w:tc>
        <w:tc>
          <w:tcPr>
            <w:tcW w:w="1960" w:type="dxa"/>
            <w:vAlign w:val="bottom"/>
          </w:tcPr>
          <w:p>
            <w:pPr>
              <w:ind w:left="900"/>
              <w:spacing w:after="0"/>
              <w:rPr>
                <w:sz w:val="20"/>
                <w:szCs w:val="20"/>
                <w:color w:val="auto"/>
              </w:rPr>
            </w:pPr>
            <w:r>
              <w:rPr>
                <w:rFonts w:ascii="Arial" w:cs="Arial" w:eastAsia="Arial" w:hAnsi="Arial"/>
                <w:sz w:val="18"/>
                <w:szCs w:val="18"/>
                <w:color w:val="auto"/>
              </w:rPr>
              <w:t>Delaware</w:t>
            </w:r>
          </w:p>
        </w:tc>
        <w:tc>
          <w:tcPr>
            <w:tcW w:w="480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Harbor Bay NLA LLC</w:t>
            </w:r>
          </w:p>
        </w:tc>
        <w:tc>
          <w:tcPr>
            <w:tcW w:w="19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Delaware</w:t>
            </w:r>
          </w:p>
        </w:tc>
        <w:tc>
          <w:tcPr>
            <w:tcW w:w="480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Harbor Bay Net Lease I REIT</w:t>
            </w:r>
          </w:p>
        </w:tc>
        <w:tc>
          <w:tcPr>
            <w:tcW w:w="1960" w:type="dxa"/>
            <w:vAlign w:val="bottom"/>
          </w:tcPr>
          <w:p>
            <w:pPr>
              <w:ind w:left="900"/>
              <w:spacing w:after="0"/>
              <w:rPr>
                <w:sz w:val="20"/>
                <w:szCs w:val="20"/>
                <w:color w:val="auto"/>
              </w:rPr>
            </w:pPr>
            <w:r>
              <w:rPr>
                <w:rFonts w:ascii="Arial" w:cs="Arial" w:eastAsia="Arial" w:hAnsi="Arial"/>
                <w:sz w:val="18"/>
                <w:szCs w:val="18"/>
                <w:color w:val="auto"/>
              </w:rPr>
              <w:t>Delaware</w:t>
            </w:r>
          </w:p>
        </w:tc>
        <w:tc>
          <w:tcPr>
            <w:tcW w:w="480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Hicksville GL Owner LLC</w:t>
            </w:r>
          </w:p>
        </w:tc>
        <w:tc>
          <w:tcPr>
            <w:tcW w:w="19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Delaware</w:t>
            </w:r>
          </w:p>
        </w:tc>
        <w:tc>
          <w:tcPr>
            <w:tcW w:w="480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Highland View Associates LLC</w:t>
            </w:r>
          </w:p>
        </w:tc>
        <w:tc>
          <w:tcPr>
            <w:tcW w:w="1960" w:type="dxa"/>
            <w:vAlign w:val="bottom"/>
          </w:tcPr>
          <w:p>
            <w:pPr>
              <w:ind w:left="900"/>
              <w:spacing w:after="0"/>
              <w:rPr>
                <w:sz w:val="20"/>
                <w:szCs w:val="20"/>
                <w:color w:val="auto"/>
              </w:rPr>
            </w:pPr>
            <w:r>
              <w:rPr>
                <w:rFonts w:ascii="Arial" w:cs="Arial" w:eastAsia="Arial" w:hAnsi="Arial"/>
                <w:sz w:val="18"/>
                <w:szCs w:val="18"/>
                <w:color w:val="auto"/>
              </w:rPr>
              <w:t>Delaware</w:t>
            </w:r>
          </w:p>
        </w:tc>
        <w:tc>
          <w:tcPr>
            <w:tcW w:w="480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270"/>
        </w:trPr>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iStar 4th &amp; Virginia LLC</w:t>
            </w:r>
          </w:p>
        </w:tc>
        <w:tc>
          <w:tcPr>
            <w:tcW w:w="19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Delaware</w:t>
            </w:r>
          </w:p>
        </w:tc>
        <w:tc>
          <w:tcPr>
            <w:tcW w:w="480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iStar 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&amp; Virginia Lender LLC</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iStar 4th &amp; Virginia Manager LLC</w:t>
            </w:r>
          </w:p>
        </w:tc>
        <w:tc>
          <w:tcPr>
            <w:tcW w:w="1960" w:type="dxa"/>
            <w:vAlign w:val="bottom"/>
          </w:tcPr>
          <w:p>
            <w:pPr>
              <w:ind w:left="900"/>
              <w:spacing w:after="0"/>
              <w:rPr>
                <w:sz w:val="20"/>
                <w:szCs w:val="20"/>
                <w:color w:val="auto"/>
              </w:rPr>
            </w:pPr>
            <w:r>
              <w:rPr>
                <w:rFonts w:ascii="Arial" w:cs="Arial" w:eastAsia="Arial" w:hAnsi="Arial"/>
                <w:sz w:val="18"/>
                <w:szCs w:val="18"/>
                <w:color w:val="auto"/>
              </w:rPr>
              <w:t>Delaware</w:t>
            </w:r>
          </w:p>
        </w:tc>
        <w:tc>
          <w:tcPr>
            <w:tcW w:w="480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iStar 85 10th L/C LLC</w:t>
            </w:r>
          </w:p>
        </w:tc>
        <w:tc>
          <w:tcPr>
            <w:tcW w:w="19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Delaware</w:t>
            </w:r>
          </w:p>
        </w:tc>
        <w:tc>
          <w:tcPr>
            <w:tcW w:w="480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iStar 100 Management Inc.</w:t>
            </w:r>
          </w:p>
        </w:tc>
        <w:tc>
          <w:tcPr>
            <w:tcW w:w="1960" w:type="dxa"/>
            <w:vAlign w:val="bottom"/>
          </w:tcPr>
          <w:p>
            <w:pPr>
              <w:ind w:left="900"/>
              <w:spacing w:after="0"/>
              <w:rPr>
                <w:sz w:val="20"/>
                <w:szCs w:val="20"/>
                <w:color w:val="auto"/>
              </w:rPr>
            </w:pPr>
            <w:r>
              <w:rPr>
                <w:rFonts w:ascii="Arial" w:cs="Arial" w:eastAsia="Arial" w:hAnsi="Arial"/>
                <w:sz w:val="18"/>
                <w:szCs w:val="18"/>
                <w:color w:val="auto"/>
              </w:rPr>
              <w:t>Delaware</w:t>
            </w:r>
          </w:p>
        </w:tc>
        <w:tc>
          <w:tcPr>
            <w:tcW w:w="480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iStar 100 Riverview LLC</w:t>
            </w:r>
          </w:p>
        </w:tc>
        <w:tc>
          <w:tcPr>
            <w:tcW w:w="19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Delaware</w:t>
            </w:r>
          </w:p>
        </w:tc>
        <w:tc>
          <w:tcPr>
            <w:tcW w:w="480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iStar 100 LLC</w:t>
            </w:r>
          </w:p>
        </w:tc>
        <w:tc>
          <w:tcPr>
            <w:tcW w:w="1960" w:type="dxa"/>
            <w:vAlign w:val="bottom"/>
          </w:tcPr>
          <w:p>
            <w:pPr>
              <w:ind w:left="900"/>
              <w:spacing w:after="0"/>
              <w:rPr>
                <w:sz w:val="20"/>
                <w:szCs w:val="20"/>
                <w:color w:val="auto"/>
              </w:rPr>
            </w:pPr>
            <w:r>
              <w:rPr>
                <w:rFonts w:ascii="Arial" w:cs="Arial" w:eastAsia="Arial" w:hAnsi="Arial"/>
                <w:sz w:val="18"/>
                <w:szCs w:val="18"/>
                <w:color w:val="auto"/>
              </w:rPr>
              <w:t>Delaware</w:t>
            </w:r>
          </w:p>
        </w:tc>
        <w:tc>
          <w:tcPr>
            <w:tcW w:w="480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iStar 181 Fremont Holdings LLC</w:t>
            </w:r>
          </w:p>
        </w:tc>
        <w:tc>
          <w:tcPr>
            <w:tcW w:w="19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Delaware</w:t>
            </w:r>
          </w:p>
        </w:tc>
        <w:tc>
          <w:tcPr>
            <w:tcW w:w="480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iStar 200-300 Management Inc.</w:t>
            </w:r>
          </w:p>
        </w:tc>
        <w:tc>
          <w:tcPr>
            <w:tcW w:w="1960" w:type="dxa"/>
            <w:vAlign w:val="bottom"/>
          </w:tcPr>
          <w:p>
            <w:pPr>
              <w:ind w:left="900"/>
              <w:spacing w:after="0"/>
              <w:rPr>
                <w:sz w:val="20"/>
                <w:szCs w:val="20"/>
                <w:color w:val="auto"/>
              </w:rPr>
            </w:pPr>
            <w:r>
              <w:rPr>
                <w:rFonts w:ascii="Arial" w:cs="Arial" w:eastAsia="Arial" w:hAnsi="Arial"/>
                <w:sz w:val="18"/>
                <w:szCs w:val="18"/>
                <w:color w:val="auto"/>
              </w:rPr>
              <w:t>Delaware</w:t>
            </w:r>
          </w:p>
        </w:tc>
        <w:tc>
          <w:tcPr>
            <w:tcW w:w="480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iStar 200-300 Riverview LLC</w:t>
            </w:r>
          </w:p>
        </w:tc>
        <w:tc>
          <w:tcPr>
            <w:tcW w:w="19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Delaware</w:t>
            </w:r>
          </w:p>
        </w:tc>
        <w:tc>
          <w:tcPr>
            <w:tcW w:w="480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iStar 200-300 LLC</w:t>
            </w:r>
          </w:p>
        </w:tc>
        <w:tc>
          <w:tcPr>
            <w:tcW w:w="1960" w:type="dxa"/>
            <w:vAlign w:val="bottom"/>
          </w:tcPr>
          <w:p>
            <w:pPr>
              <w:ind w:left="900"/>
              <w:spacing w:after="0"/>
              <w:rPr>
                <w:sz w:val="20"/>
                <w:szCs w:val="20"/>
                <w:color w:val="auto"/>
              </w:rPr>
            </w:pPr>
            <w:r>
              <w:rPr>
                <w:rFonts w:ascii="Arial" w:cs="Arial" w:eastAsia="Arial" w:hAnsi="Arial"/>
                <w:sz w:val="18"/>
                <w:szCs w:val="18"/>
                <w:color w:val="auto"/>
              </w:rPr>
              <w:t>Delaware</w:t>
            </w:r>
          </w:p>
        </w:tc>
        <w:tc>
          <w:tcPr>
            <w:tcW w:w="480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iStar 320 East Warner Lender LLC</w:t>
            </w:r>
          </w:p>
        </w:tc>
        <w:tc>
          <w:tcPr>
            <w:tcW w:w="19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Delaware</w:t>
            </w:r>
          </w:p>
        </w:tc>
        <w:tc>
          <w:tcPr>
            <w:tcW w:w="480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iStar 701 TS Holdings LLC</w:t>
            </w:r>
          </w:p>
        </w:tc>
        <w:tc>
          <w:tcPr>
            <w:tcW w:w="1960" w:type="dxa"/>
            <w:vAlign w:val="bottom"/>
          </w:tcPr>
          <w:p>
            <w:pPr>
              <w:ind w:left="900"/>
              <w:spacing w:after="0"/>
              <w:rPr>
                <w:sz w:val="20"/>
                <w:szCs w:val="20"/>
                <w:color w:val="auto"/>
              </w:rPr>
            </w:pPr>
            <w:r>
              <w:rPr>
                <w:rFonts w:ascii="Arial" w:cs="Arial" w:eastAsia="Arial" w:hAnsi="Arial"/>
                <w:sz w:val="18"/>
                <w:szCs w:val="18"/>
                <w:color w:val="auto"/>
              </w:rPr>
              <w:t>Delaware</w:t>
            </w:r>
          </w:p>
        </w:tc>
        <w:tc>
          <w:tcPr>
            <w:tcW w:w="480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iStar Alpha Structured Products LLC</w:t>
            </w:r>
          </w:p>
        </w:tc>
        <w:tc>
          <w:tcPr>
            <w:tcW w:w="19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Delaware</w:t>
            </w:r>
          </w:p>
        </w:tc>
        <w:tc>
          <w:tcPr>
            <w:tcW w:w="480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iStar Apartment Holdings LLC</w:t>
            </w:r>
          </w:p>
        </w:tc>
        <w:tc>
          <w:tcPr>
            <w:tcW w:w="1960" w:type="dxa"/>
            <w:vAlign w:val="bottom"/>
          </w:tcPr>
          <w:p>
            <w:pPr>
              <w:ind w:left="900"/>
              <w:spacing w:after="0"/>
              <w:rPr>
                <w:sz w:val="20"/>
                <w:szCs w:val="20"/>
                <w:color w:val="auto"/>
              </w:rPr>
            </w:pPr>
            <w:r>
              <w:rPr>
                <w:rFonts w:ascii="Arial" w:cs="Arial" w:eastAsia="Arial" w:hAnsi="Arial"/>
                <w:sz w:val="18"/>
                <w:szCs w:val="18"/>
                <w:color w:val="auto"/>
              </w:rPr>
              <w:t>Delaware</w:t>
            </w:r>
          </w:p>
        </w:tc>
        <w:tc>
          <w:tcPr>
            <w:tcW w:w="480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iStar Artesia Land LLC</w:t>
            </w:r>
          </w:p>
        </w:tc>
        <w:tc>
          <w:tcPr>
            <w:tcW w:w="19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Delaware</w:t>
            </w:r>
          </w:p>
        </w:tc>
        <w:tc>
          <w:tcPr>
            <w:tcW w:w="480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iStar Asset Services, Inc.</w:t>
            </w:r>
          </w:p>
        </w:tc>
        <w:tc>
          <w:tcPr>
            <w:tcW w:w="1960" w:type="dxa"/>
            <w:vAlign w:val="bottom"/>
          </w:tcPr>
          <w:p>
            <w:pPr>
              <w:ind w:left="900"/>
              <w:spacing w:after="0"/>
              <w:rPr>
                <w:sz w:val="20"/>
                <w:szCs w:val="20"/>
                <w:color w:val="auto"/>
              </w:rPr>
            </w:pPr>
            <w:r>
              <w:rPr>
                <w:rFonts w:ascii="Arial" w:cs="Arial" w:eastAsia="Arial" w:hAnsi="Arial"/>
                <w:sz w:val="18"/>
                <w:szCs w:val="18"/>
                <w:color w:val="auto"/>
              </w:rPr>
              <w:t>Delaware</w:t>
            </w:r>
          </w:p>
        </w:tc>
        <w:tc>
          <w:tcPr>
            <w:tcW w:w="4800" w:type="dxa"/>
            <w:vAlign w:val="bottom"/>
          </w:tcPr>
          <w:p>
            <w:pPr>
              <w:ind w:left="380"/>
              <w:spacing w:after="0"/>
              <w:rPr>
                <w:sz w:val="20"/>
                <w:szCs w:val="20"/>
                <w:color w:val="auto"/>
              </w:rPr>
            </w:pPr>
            <w:r>
              <w:rPr>
                <w:rFonts w:ascii="Arial" w:cs="Arial" w:eastAsia="Arial" w:hAnsi="Arial"/>
                <w:sz w:val="18"/>
                <w:szCs w:val="18"/>
                <w:color w:val="auto"/>
              </w:rPr>
              <w:t>Starwood Asset Services, Inc.</w:t>
            </w:r>
          </w:p>
        </w:tc>
      </w:tr>
      <w:tr>
        <w:trPr>
          <w:trHeight w:val="27"/>
        </w:trPr>
        <w:tc>
          <w:tcPr>
            <w:tcW w:w="43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iStar Automotive Investments LLC</w:t>
            </w:r>
          </w:p>
        </w:tc>
        <w:tc>
          <w:tcPr>
            <w:tcW w:w="19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Delaware</w:t>
            </w:r>
          </w:p>
        </w:tc>
        <w:tc>
          <w:tcPr>
            <w:tcW w:w="480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iStar Bishops Gate LLC</w:t>
            </w:r>
          </w:p>
        </w:tc>
        <w:tc>
          <w:tcPr>
            <w:tcW w:w="1960" w:type="dxa"/>
            <w:vAlign w:val="bottom"/>
          </w:tcPr>
          <w:p>
            <w:pPr>
              <w:ind w:left="900"/>
              <w:spacing w:after="0"/>
              <w:rPr>
                <w:sz w:val="20"/>
                <w:szCs w:val="20"/>
                <w:color w:val="auto"/>
              </w:rPr>
            </w:pPr>
            <w:r>
              <w:rPr>
                <w:rFonts w:ascii="Arial" w:cs="Arial" w:eastAsia="Arial" w:hAnsi="Arial"/>
                <w:sz w:val="18"/>
                <w:szCs w:val="18"/>
                <w:color w:val="auto"/>
              </w:rPr>
              <w:t>Delaware</w:t>
            </w:r>
          </w:p>
        </w:tc>
        <w:tc>
          <w:tcPr>
            <w:tcW w:w="480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iStar Blues LLC</w:t>
            </w:r>
          </w:p>
        </w:tc>
        <w:tc>
          <w:tcPr>
            <w:tcW w:w="19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Delaware</w:t>
            </w:r>
          </w:p>
        </w:tc>
        <w:tc>
          <w:tcPr>
            <w:tcW w:w="480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iStar Bowling Centers I LLC</w:t>
            </w:r>
          </w:p>
        </w:tc>
        <w:tc>
          <w:tcPr>
            <w:tcW w:w="1960" w:type="dxa"/>
            <w:vAlign w:val="bottom"/>
          </w:tcPr>
          <w:p>
            <w:pPr>
              <w:ind w:left="900"/>
              <w:spacing w:after="0"/>
              <w:rPr>
                <w:sz w:val="20"/>
                <w:szCs w:val="20"/>
                <w:color w:val="auto"/>
              </w:rPr>
            </w:pPr>
            <w:r>
              <w:rPr>
                <w:rFonts w:ascii="Arial" w:cs="Arial" w:eastAsia="Arial" w:hAnsi="Arial"/>
                <w:sz w:val="18"/>
                <w:szCs w:val="18"/>
                <w:color w:val="auto"/>
              </w:rPr>
              <w:t>Delaware</w:t>
            </w:r>
          </w:p>
        </w:tc>
        <w:tc>
          <w:tcPr>
            <w:tcW w:w="4800" w:type="dxa"/>
            <w:vAlign w:val="bottom"/>
          </w:tcPr>
          <w:p>
            <w:pPr>
              <w:ind w:left="380"/>
              <w:spacing w:after="0"/>
              <w:rPr>
                <w:sz w:val="20"/>
                <w:szCs w:val="20"/>
                <w:color w:val="auto"/>
              </w:rPr>
            </w:pPr>
            <w:r>
              <w:rPr>
                <w:rFonts w:ascii="Arial" w:cs="Arial" w:eastAsia="Arial" w:hAnsi="Arial"/>
                <w:sz w:val="18"/>
                <w:szCs w:val="18"/>
                <w:color w:val="auto"/>
              </w:rPr>
              <w:t>iStar Fort Collins USGS LLC</w:t>
            </w:r>
          </w:p>
        </w:tc>
      </w:tr>
      <w:tr>
        <w:trPr>
          <w:trHeight w:val="27"/>
        </w:trPr>
        <w:tc>
          <w:tcPr>
            <w:tcW w:w="43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iStar Bowling Centers I LP</w:t>
            </w:r>
          </w:p>
        </w:tc>
        <w:tc>
          <w:tcPr>
            <w:tcW w:w="19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Delaware</w:t>
            </w:r>
          </w:p>
        </w:tc>
        <w:tc>
          <w:tcPr>
            <w:tcW w:w="480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iStar Bowling Centers II LLC</w:t>
            </w:r>
          </w:p>
        </w:tc>
        <w:tc>
          <w:tcPr>
            <w:tcW w:w="1960" w:type="dxa"/>
            <w:vAlign w:val="bottom"/>
          </w:tcPr>
          <w:p>
            <w:pPr>
              <w:ind w:left="900"/>
              <w:spacing w:after="0"/>
              <w:rPr>
                <w:sz w:val="20"/>
                <w:szCs w:val="20"/>
                <w:color w:val="auto"/>
              </w:rPr>
            </w:pPr>
            <w:r>
              <w:rPr>
                <w:rFonts w:ascii="Arial" w:cs="Arial" w:eastAsia="Arial" w:hAnsi="Arial"/>
                <w:sz w:val="18"/>
                <w:szCs w:val="18"/>
                <w:color w:val="auto"/>
              </w:rPr>
              <w:t>Delaware</w:t>
            </w:r>
          </w:p>
        </w:tc>
        <w:tc>
          <w:tcPr>
            <w:tcW w:w="480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iStar Bowling Centers II LP</w:t>
            </w:r>
          </w:p>
        </w:tc>
        <w:tc>
          <w:tcPr>
            <w:tcW w:w="19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Delaware</w:t>
            </w:r>
          </w:p>
        </w:tc>
        <w:tc>
          <w:tcPr>
            <w:tcW w:w="480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iStar Bowling Centers PR LP</w:t>
            </w:r>
          </w:p>
        </w:tc>
        <w:tc>
          <w:tcPr>
            <w:tcW w:w="1960" w:type="dxa"/>
            <w:vAlign w:val="bottom"/>
          </w:tcPr>
          <w:p>
            <w:pPr>
              <w:ind w:left="900"/>
              <w:spacing w:after="0"/>
              <w:rPr>
                <w:sz w:val="20"/>
                <w:szCs w:val="20"/>
                <w:color w:val="auto"/>
              </w:rPr>
            </w:pPr>
            <w:r>
              <w:rPr>
                <w:rFonts w:ascii="Arial" w:cs="Arial" w:eastAsia="Arial" w:hAnsi="Arial"/>
                <w:sz w:val="18"/>
                <w:szCs w:val="18"/>
                <w:color w:val="auto"/>
              </w:rPr>
              <w:t>Delaware</w:t>
            </w:r>
          </w:p>
        </w:tc>
        <w:tc>
          <w:tcPr>
            <w:tcW w:w="480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iStar Bowling Centers PR GenPar LLC</w:t>
            </w:r>
          </w:p>
        </w:tc>
        <w:tc>
          <w:tcPr>
            <w:tcW w:w="19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Delaware</w:t>
            </w:r>
          </w:p>
        </w:tc>
        <w:tc>
          <w:tcPr>
            <w:tcW w:w="480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iStar Busco Inc.</w:t>
            </w:r>
          </w:p>
        </w:tc>
        <w:tc>
          <w:tcPr>
            <w:tcW w:w="1960" w:type="dxa"/>
            <w:vAlign w:val="bottom"/>
          </w:tcPr>
          <w:p>
            <w:pPr>
              <w:ind w:left="900"/>
              <w:spacing w:after="0"/>
              <w:rPr>
                <w:sz w:val="20"/>
                <w:szCs w:val="20"/>
                <w:color w:val="auto"/>
              </w:rPr>
            </w:pPr>
            <w:r>
              <w:rPr>
                <w:rFonts w:ascii="Arial" w:cs="Arial" w:eastAsia="Arial" w:hAnsi="Arial"/>
                <w:sz w:val="18"/>
                <w:szCs w:val="18"/>
                <w:color w:val="auto"/>
              </w:rPr>
              <w:t>Delaware</w:t>
            </w:r>
          </w:p>
        </w:tc>
        <w:tc>
          <w:tcPr>
            <w:tcW w:w="480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iStar Chicago Hotel Lender LLC</w:t>
            </w:r>
          </w:p>
        </w:tc>
        <w:tc>
          <w:tcPr>
            <w:tcW w:w="19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Delaware</w:t>
            </w:r>
          </w:p>
        </w:tc>
        <w:tc>
          <w:tcPr>
            <w:tcW w:w="480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iStar Columbus Circle LLC</w:t>
            </w:r>
          </w:p>
        </w:tc>
        <w:tc>
          <w:tcPr>
            <w:tcW w:w="1960" w:type="dxa"/>
            <w:vAlign w:val="bottom"/>
          </w:tcPr>
          <w:p>
            <w:pPr>
              <w:ind w:left="900"/>
              <w:spacing w:after="0"/>
              <w:rPr>
                <w:sz w:val="20"/>
                <w:szCs w:val="20"/>
                <w:color w:val="auto"/>
              </w:rPr>
            </w:pPr>
            <w:r>
              <w:rPr>
                <w:rFonts w:ascii="Arial" w:cs="Arial" w:eastAsia="Arial" w:hAnsi="Arial"/>
                <w:sz w:val="18"/>
                <w:szCs w:val="18"/>
                <w:color w:val="auto"/>
              </w:rPr>
              <w:t>Delaware</w:t>
            </w:r>
          </w:p>
        </w:tc>
        <w:tc>
          <w:tcPr>
            <w:tcW w:w="4800" w:type="dxa"/>
            <w:vAlign w:val="bottom"/>
          </w:tcPr>
          <w:p>
            <w:pPr>
              <w:spacing w:after="0"/>
              <w:rPr>
                <w:sz w:val="21"/>
                <w:szCs w:val="21"/>
                <w:color w:val="auto"/>
              </w:rPr>
            </w:pPr>
          </w:p>
        </w:tc>
      </w:tr>
    </w:tbl>
    <w:p>
      <w:pPr>
        <w:sectPr>
          <w:pgSz w:w="11900" w:h="16838" w:orient="portrait"/>
          <w:cols w:equalWidth="0" w:num="1">
            <w:col w:w="11140"/>
          </w:cols>
          <w:pgMar w:left="380" w:top="734" w:right="379" w:bottom="1440" w:gutter="0" w:footer="0" w:header="0"/>
        </w:sectPr>
      </w:pPr>
    </w:p>
    <w:bookmarkStart w:id="135" w:name="page136"/>
    <w:bookmarkEnd w:id="1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iStar Corporate Collateral LLC</w:t>
            </w:r>
          </w:p>
        </w:tc>
        <w:tc>
          <w:tcPr>
            <w:tcW w:w="23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Delaware</w:t>
            </w:r>
          </w:p>
        </w:tc>
        <w:tc>
          <w:tcPr>
            <w:tcW w:w="4560" w:type="dxa"/>
            <w:vAlign w:val="bottom"/>
            <w:shd w:val="clear" w:color="auto" w:fill="CCEEFF"/>
          </w:tcPr>
          <w:p>
            <w:pPr>
              <w:spacing w:after="0"/>
              <w:rPr>
                <w:sz w:val="23"/>
                <w:szCs w:val="23"/>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iStar CS Emery Bay North LLC</w:t>
            </w:r>
          </w:p>
        </w:tc>
        <w:tc>
          <w:tcPr>
            <w:tcW w:w="2360" w:type="dxa"/>
            <w:vAlign w:val="bottom"/>
          </w:tcPr>
          <w:p>
            <w:pPr>
              <w:ind w:left="1060"/>
              <w:spacing w:after="0"/>
              <w:rPr>
                <w:sz w:val="20"/>
                <w:szCs w:val="20"/>
                <w:color w:val="auto"/>
              </w:rPr>
            </w:pPr>
            <w:r>
              <w:rPr>
                <w:rFonts w:ascii="Arial" w:cs="Arial" w:eastAsia="Arial" w:hAnsi="Arial"/>
                <w:sz w:val="18"/>
                <w:szCs w:val="18"/>
                <w:color w:val="auto"/>
              </w:rPr>
              <w:t>Delaware</w:t>
            </w:r>
          </w:p>
        </w:tc>
        <w:tc>
          <w:tcPr>
            <w:tcW w:w="4560" w:type="dxa"/>
            <w:vAlign w:val="bottom"/>
          </w:tcPr>
          <w:p>
            <w:pPr>
              <w:spacing w:after="0"/>
              <w:rPr>
                <w:sz w:val="21"/>
                <w:szCs w:val="21"/>
                <w:color w:val="auto"/>
              </w:rPr>
            </w:pPr>
          </w:p>
        </w:tc>
      </w:tr>
      <w:tr>
        <w:trPr>
          <w:trHeight w:val="27"/>
        </w:trPr>
        <w:tc>
          <w:tcPr>
            <w:tcW w:w="4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iStar CTL I GenPar, Inc.</w:t>
            </w:r>
          </w:p>
        </w:tc>
        <w:tc>
          <w:tcPr>
            <w:tcW w:w="23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Delaware</w:t>
            </w:r>
          </w:p>
        </w:tc>
        <w:tc>
          <w:tcPr>
            <w:tcW w:w="456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iStar CTL I, L.P.</w:t>
            </w:r>
          </w:p>
        </w:tc>
        <w:tc>
          <w:tcPr>
            <w:tcW w:w="2360" w:type="dxa"/>
            <w:vAlign w:val="bottom"/>
          </w:tcPr>
          <w:p>
            <w:pPr>
              <w:ind w:left="1060"/>
              <w:spacing w:after="0"/>
              <w:rPr>
                <w:sz w:val="20"/>
                <w:szCs w:val="20"/>
                <w:color w:val="auto"/>
              </w:rPr>
            </w:pPr>
            <w:r>
              <w:rPr>
                <w:rFonts w:ascii="Arial" w:cs="Arial" w:eastAsia="Arial" w:hAnsi="Arial"/>
                <w:sz w:val="18"/>
                <w:szCs w:val="18"/>
                <w:color w:val="auto"/>
              </w:rPr>
              <w:t>Delaware</w:t>
            </w:r>
          </w:p>
        </w:tc>
        <w:tc>
          <w:tcPr>
            <w:tcW w:w="4560" w:type="dxa"/>
            <w:vAlign w:val="bottom"/>
          </w:tcPr>
          <w:p>
            <w:pPr>
              <w:spacing w:after="0"/>
              <w:rPr>
                <w:sz w:val="21"/>
                <w:szCs w:val="21"/>
                <w:color w:val="auto"/>
              </w:rPr>
            </w:pPr>
          </w:p>
        </w:tc>
      </w:tr>
      <w:tr>
        <w:trPr>
          <w:trHeight w:val="27"/>
        </w:trPr>
        <w:tc>
          <w:tcPr>
            <w:tcW w:w="4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iStar CTL Manager LLC</w:t>
            </w:r>
          </w:p>
        </w:tc>
        <w:tc>
          <w:tcPr>
            <w:tcW w:w="23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Delaware</w:t>
            </w:r>
          </w:p>
        </w:tc>
        <w:tc>
          <w:tcPr>
            <w:tcW w:w="456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iStar CTL RiverEdge Summit-Atlanta LLC</w:t>
            </w:r>
          </w:p>
        </w:tc>
        <w:tc>
          <w:tcPr>
            <w:tcW w:w="2360" w:type="dxa"/>
            <w:vAlign w:val="bottom"/>
          </w:tcPr>
          <w:p>
            <w:pPr>
              <w:ind w:left="1060"/>
              <w:spacing w:after="0"/>
              <w:rPr>
                <w:sz w:val="20"/>
                <w:szCs w:val="20"/>
                <w:color w:val="auto"/>
              </w:rPr>
            </w:pPr>
            <w:r>
              <w:rPr>
                <w:rFonts w:ascii="Arial" w:cs="Arial" w:eastAsia="Arial" w:hAnsi="Arial"/>
                <w:sz w:val="18"/>
                <w:szCs w:val="18"/>
                <w:color w:val="auto"/>
              </w:rPr>
              <w:t>Delaware</w:t>
            </w:r>
          </w:p>
        </w:tc>
        <w:tc>
          <w:tcPr>
            <w:tcW w:w="4560" w:type="dxa"/>
            <w:vAlign w:val="bottom"/>
          </w:tcPr>
          <w:p>
            <w:pPr>
              <w:spacing w:after="0"/>
              <w:rPr>
                <w:sz w:val="21"/>
                <w:szCs w:val="21"/>
                <w:color w:val="auto"/>
              </w:rPr>
            </w:pPr>
          </w:p>
        </w:tc>
      </w:tr>
      <w:tr>
        <w:trPr>
          <w:trHeight w:val="27"/>
        </w:trPr>
        <w:tc>
          <w:tcPr>
            <w:tcW w:w="4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iStar Dallas GL GenPar LLC</w:t>
            </w:r>
          </w:p>
        </w:tc>
        <w:tc>
          <w:tcPr>
            <w:tcW w:w="23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Delaware</w:t>
            </w:r>
          </w:p>
        </w:tc>
        <w:tc>
          <w:tcPr>
            <w:tcW w:w="456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iStar Dallas GL LP</w:t>
            </w:r>
          </w:p>
        </w:tc>
        <w:tc>
          <w:tcPr>
            <w:tcW w:w="2360" w:type="dxa"/>
            <w:vAlign w:val="bottom"/>
          </w:tcPr>
          <w:p>
            <w:pPr>
              <w:ind w:left="1060"/>
              <w:spacing w:after="0"/>
              <w:rPr>
                <w:sz w:val="20"/>
                <w:szCs w:val="20"/>
                <w:color w:val="auto"/>
              </w:rPr>
            </w:pPr>
            <w:r>
              <w:rPr>
                <w:rFonts w:ascii="Arial" w:cs="Arial" w:eastAsia="Arial" w:hAnsi="Arial"/>
                <w:sz w:val="18"/>
                <w:szCs w:val="18"/>
                <w:color w:val="auto"/>
              </w:rPr>
              <w:t>Delaware</w:t>
            </w:r>
          </w:p>
        </w:tc>
        <w:tc>
          <w:tcPr>
            <w:tcW w:w="4560" w:type="dxa"/>
            <w:vAlign w:val="bottom"/>
          </w:tcPr>
          <w:p>
            <w:pPr>
              <w:spacing w:after="0"/>
              <w:rPr>
                <w:sz w:val="21"/>
                <w:szCs w:val="21"/>
                <w:color w:val="auto"/>
              </w:rPr>
            </w:pPr>
          </w:p>
        </w:tc>
      </w:tr>
      <w:tr>
        <w:trPr>
          <w:trHeight w:val="27"/>
        </w:trPr>
        <w:tc>
          <w:tcPr>
            <w:tcW w:w="4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iStar DH Holdings TRS Inc.</w:t>
            </w:r>
          </w:p>
        </w:tc>
        <w:tc>
          <w:tcPr>
            <w:tcW w:w="23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w w:val="99"/>
              </w:rPr>
              <w:t>Cayman Islands</w:t>
            </w:r>
          </w:p>
        </w:tc>
        <w:tc>
          <w:tcPr>
            <w:tcW w:w="456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iStar Diplomat Drive-Farmers Branch LLC</w:t>
            </w:r>
          </w:p>
        </w:tc>
        <w:tc>
          <w:tcPr>
            <w:tcW w:w="2360" w:type="dxa"/>
            <w:vAlign w:val="bottom"/>
          </w:tcPr>
          <w:p>
            <w:pPr>
              <w:ind w:left="1060"/>
              <w:spacing w:after="0"/>
              <w:rPr>
                <w:sz w:val="20"/>
                <w:szCs w:val="20"/>
                <w:color w:val="auto"/>
              </w:rPr>
            </w:pPr>
            <w:r>
              <w:rPr>
                <w:rFonts w:ascii="Arial" w:cs="Arial" w:eastAsia="Arial" w:hAnsi="Arial"/>
                <w:sz w:val="18"/>
                <w:szCs w:val="18"/>
                <w:color w:val="auto"/>
              </w:rPr>
              <w:t>Delaware</w:t>
            </w:r>
          </w:p>
        </w:tc>
        <w:tc>
          <w:tcPr>
            <w:tcW w:w="4560" w:type="dxa"/>
            <w:vAlign w:val="bottom"/>
          </w:tcPr>
          <w:p>
            <w:pPr>
              <w:spacing w:after="0"/>
              <w:rPr>
                <w:sz w:val="21"/>
                <w:szCs w:val="21"/>
                <w:color w:val="auto"/>
              </w:rPr>
            </w:pPr>
          </w:p>
        </w:tc>
      </w:tr>
      <w:tr>
        <w:trPr>
          <w:trHeight w:val="27"/>
        </w:trPr>
        <w:tc>
          <w:tcPr>
            <w:tcW w:w="4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iStar DMI LLC</w:t>
            </w:r>
          </w:p>
        </w:tc>
        <w:tc>
          <w:tcPr>
            <w:tcW w:w="23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Delaware</w:t>
            </w:r>
          </w:p>
        </w:tc>
        <w:tc>
          <w:tcPr>
            <w:tcW w:w="456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iStar DOJ Holdings TRS Inc</w:t>
            </w:r>
          </w:p>
        </w:tc>
        <w:tc>
          <w:tcPr>
            <w:tcW w:w="2360" w:type="dxa"/>
            <w:vAlign w:val="bottom"/>
          </w:tcPr>
          <w:p>
            <w:pPr>
              <w:ind w:left="1060"/>
              <w:spacing w:after="0"/>
              <w:rPr>
                <w:sz w:val="20"/>
                <w:szCs w:val="20"/>
                <w:color w:val="auto"/>
              </w:rPr>
            </w:pPr>
            <w:r>
              <w:rPr>
                <w:rFonts w:ascii="Arial" w:cs="Arial" w:eastAsia="Arial" w:hAnsi="Arial"/>
                <w:sz w:val="18"/>
                <w:szCs w:val="18"/>
                <w:color w:val="auto"/>
              </w:rPr>
              <w:t>Delaware</w:t>
            </w:r>
          </w:p>
        </w:tc>
        <w:tc>
          <w:tcPr>
            <w:tcW w:w="4560" w:type="dxa"/>
            <w:vAlign w:val="bottom"/>
          </w:tcPr>
          <w:p>
            <w:pPr>
              <w:spacing w:after="0"/>
              <w:rPr>
                <w:sz w:val="21"/>
                <w:szCs w:val="21"/>
                <w:color w:val="auto"/>
              </w:rPr>
            </w:pPr>
          </w:p>
        </w:tc>
      </w:tr>
      <w:tr>
        <w:trPr>
          <w:trHeight w:val="27"/>
        </w:trPr>
        <w:tc>
          <w:tcPr>
            <w:tcW w:w="4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iStar Financial Protective Trust</w:t>
            </w:r>
          </w:p>
        </w:tc>
        <w:tc>
          <w:tcPr>
            <w:tcW w:w="23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Maryland</w:t>
            </w:r>
          </w:p>
        </w:tc>
        <w:tc>
          <w:tcPr>
            <w:tcW w:w="456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iStar Financial Statutory Trust I</w:t>
            </w:r>
          </w:p>
        </w:tc>
        <w:tc>
          <w:tcPr>
            <w:tcW w:w="2360" w:type="dxa"/>
            <w:vAlign w:val="bottom"/>
          </w:tcPr>
          <w:p>
            <w:pPr>
              <w:ind w:left="1060"/>
              <w:spacing w:after="0"/>
              <w:rPr>
                <w:sz w:val="20"/>
                <w:szCs w:val="20"/>
                <w:color w:val="auto"/>
              </w:rPr>
            </w:pPr>
            <w:r>
              <w:rPr>
                <w:rFonts w:ascii="Arial" w:cs="Arial" w:eastAsia="Arial" w:hAnsi="Arial"/>
                <w:sz w:val="18"/>
                <w:szCs w:val="18"/>
                <w:color w:val="auto"/>
              </w:rPr>
              <w:t>Delaware</w:t>
            </w:r>
          </w:p>
        </w:tc>
        <w:tc>
          <w:tcPr>
            <w:tcW w:w="4560" w:type="dxa"/>
            <w:vAlign w:val="bottom"/>
          </w:tcPr>
          <w:p>
            <w:pPr>
              <w:spacing w:after="0"/>
              <w:rPr>
                <w:sz w:val="21"/>
                <w:szCs w:val="21"/>
                <w:color w:val="auto"/>
              </w:rPr>
            </w:pPr>
          </w:p>
        </w:tc>
      </w:tr>
      <w:tr>
        <w:trPr>
          <w:trHeight w:val="27"/>
        </w:trPr>
        <w:tc>
          <w:tcPr>
            <w:tcW w:w="4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iStar FKEC Holdings LLC</w:t>
            </w:r>
          </w:p>
        </w:tc>
        <w:tc>
          <w:tcPr>
            <w:tcW w:w="23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Delaware</w:t>
            </w:r>
          </w:p>
        </w:tc>
        <w:tc>
          <w:tcPr>
            <w:tcW w:w="456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iStar Florida 2015 Cinemas LLC</w:t>
            </w:r>
          </w:p>
        </w:tc>
        <w:tc>
          <w:tcPr>
            <w:tcW w:w="2360" w:type="dxa"/>
            <w:vAlign w:val="bottom"/>
          </w:tcPr>
          <w:p>
            <w:pPr>
              <w:ind w:left="1060"/>
              <w:spacing w:after="0"/>
              <w:rPr>
                <w:sz w:val="20"/>
                <w:szCs w:val="20"/>
                <w:color w:val="auto"/>
              </w:rPr>
            </w:pPr>
            <w:r>
              <w:rPr>
                <w:rFonts w:ascii="Arial" w:cs="Arial" w:eastAsia="Arial" w:hAnsi="Arial"/>
                <w:sz w:val="18"/>
                <w:szCs w:val="18"/>
                <w:color w:val="auto"/>
              </w:rPr>
              <w:t>Delaware</w:t>
            </w:r>
          </w:p>
        </w:tc>
        <w:tc>
          <w:tcPr>
            <w:tcW w:w="4560" w:type="dxa"/>
            <w:vAlign w:val="bottom"/>
          </w:tcPr>
          <w:p>
            <w:pPr>
              <w:spacing w:after="0"/>
              <w:rPr>
                <w:sz w:val="21"/>
                <w:szCs w:val="21"/>
                <w:color w:val="auto"/>
              </w:rPr>
            </w:pPr>
          </w:p>
        </w:tc>
      </w:tr>
      <w:tr>
        <w:trPr>
          <w:trHeight w:val="27"/>
        </w:trPr>
        <w:tc>
          <w:tcPr>
            <w:tcW w:w="4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iStar FM Loans LLC</w:t>
            </w:r>
          </w:p>
        </w:tc>
        <w:tc>
          <w:tcPr>
            <w:tcW w:w="23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Delaware</w:t>
            </w:r>
          </w:p>
        </w:tc>
        <w:tc>
          <w:tcPr>
            <w:tcW w:w="456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iStar Garden State Lender LLC</w:t>
            </w:r>
          </w:p>
        </w:tc>
        <w:tc>
          <w:tcPr>
            <w:tcW w:w="2360" w:type="dxa"/>
            <w:vAlign w:val="bottom"/>
          </w:tcPr>
          <w:p>
            <w:pPr>
              <w:ind w:left="1060"/>
              <w:spacing w:after="0"/>
              <w:rPr>
                <w:sz w:val="20"/>
                <w:szCs w:val="20"/>
                <w:color w:val="auto"/>
              </w:rPr>
            </w:pPr>
            <w:r>
              <w:rPr>
                <w:rFonts w:ascii="Arial" w:cs="Arial" w:eastAsia="Arial" w:hAnsi="Arial"/>
                <w:sz w:val="18"/>
                <w:szCs w:val="18"/>
                <w:color w:val="auto"/>
              </w:rPr>
              <w:t>Delaware</w:t>
            </w:r>
          </w:p>
        </w:tc>
        <w:tc>
          <w:tcPr>
            <w:tcW w:w="4560" w:type="dxa"/>
            <w:vAlign w:val="bottom"/>
          </w:tcPr>
          <w:p>
            <w:pPr>
              <w:spacing w:after="0"/>
              <w:rPr>
                <w:sz w:val="21"/>
                <w:szCs w:val="21"/>
                <w:color w:val="auto"/>
              </w:rPr>
            </w:pPr>
          </w:p>
        </w:tc>
      </w:tr>
      <w:tr>
        <w:trPr>
          <w:trHeight w:val="27"/>
        </w:trPr>
        <w:tc>
          <w:tcPr>
            <w:tcW w:w="4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iStar Harrisburg Business Trust</w:t>
            </w:r>
          </w:p>
        </w:tc>
        <w:tc>
          <w:tcPr>
            <w:tcW w:w="23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Delaware</w:t>
            </w:r>
          </w:p>
        </w:tc>
        <w:tc>
          <w:tcPr>
            <w:tcW w:w="456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iStar Harrisburg GenPar LLC</w:t>
            </w:r>
          </w:p>
        </w:tc>
        <w:tc>
          <w:tcPr>
            <w:tcW w:w="2360" w:type="dxa"/>
            <w:vAlign w:val="bottom"/>
          </w:tcPr>
          <w:p>
            <w:pPr>
              <w:ind w:left="1060"/>
              <w:spacing w:after="0"/>
              <w:rPr>
                <w:sz w:val="20"/>
                <w:szCs w:val="20"/>
                <w:color w:val="auto"/>
              </w:rPr>
            </w:pPr>
            <w:r>
              <w:rPr>
                <w:rFonts w:ascii="Arial" w:cs="Arial" w:eastAsia="Arial" w:hAnsi="Arial"/>
                <w:sz w:val="18"/>
                <w:szCs w:val="18"/>
                <w:color w:val="auto"/>
              </w:rPr>
              <w:t>Delaware</w:t>
            </w:r>
          </w:p>
        </w:tc>
        <w:tc>
          <w:tcPr>
            <w:tcW w:w="4560" w:type="dxa"/>
            <w:vAlign w:val="bottom"/>
          </w:tcPr>
          <w:p>
            <w:pPr>
              <w:spacing w:after="0"/>
              <w:rPr>
                <w:sz w:val="21"/>
                <w:szCs w:val="21"/>
                <w:color w:val="auto"/>
              </w:rPr>
            </w:pPr>
          </w:p>
        </w:tc>
      </w:tr>
      <w:tr>
        <w:trPr>
          <w:trHeight w:val="27"/>
        </w:trPr>
        <w:tc>
          <w:tcPr>
            <w:tcW w:w="4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iStar Harrisburg, L.P.</w:t>
            </w:r>
          </w:p>
        </w:tc>
        <w:tc>
          <w:tcPr>
            <w:tcW w:w="23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Delaware</w:t>
            </w:r>
          </w:p>
        </w:tc>
        <w:tc>
          <w:tcPr>
            <w:tcW w:w="456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iStar Henderson Lender LLC</w:t>
            </w:r>
          </w:p>
        </w:tc>
        <w:tc>
          <w:tcPr>
            <w:tcW w:w="2360" w:type="dxa"/>
            <w:vAlign w:val="bottom"/>
          </w:tcPr>
          <w:p>
            <w:pPr>
              <w:ind w:left="1060"/>
              <w:spacing w:after="0"/>
              <w:rPr>
                <w:sz w:val="20"/>
                <w:szCs w:val="20"/>
                <w:color w:val="auto"/>
              </w:rPr>
            </w:pPr>
            <w:r>
              <w:rPr>
                <w:rFonts w:ascii="Arial" w:cs="Arial" w:eastAsia="Arial" w:hAnsi="Arial"/>
                <w:sz w:val="18"/>
                <w:szCs w:val="18"/>
                <w:color w:val="auto"/>
              </w:rPr>
              <w:t>Delaware</w:t>
            </w:r>
          </w:p>
        </w:tc>
        <w:tc>
          <w:tcPr>
            <w:tcW w:w="4560" w:type="dxa"/>
            <w:vAlign w:val="bottom"/>
          </w:tcPr>
          <w:p>
            <w:pPr>
              <w:spacing w:after="0"/>
              <w:rPr>
                <w:sz w:val="21"/>
                <w:szCs w:val="21"/>
                <w:color w:val="auto"/>
              </w:rPr>
            </w:pPr>
          </w:p>
        </w:tc>
      </w:tr>
      <w:tr>
        <w:trPr>
          <w:trHeight w:val="27"/>
        </w:trPr>
        <w:tc>
          <w:tcPr>
            <w:tcW w:w="4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iStar IF III LLC</w:t>
            </w:r>
          </w:p>
        </w:tc>
        <w:tc>
          <w:tcPr>
            <w:tcW w:w="23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Delaware</w:t>
            </w:r>
          </w:p>
        </w:tc>
        <w:tc>
          <w:tcPr>
            <w:tcW w:w="456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iStar Land and Development Company Inc.</w:t>
            </w:r>
          </w:p>
        </w:tc>
        <w:tc>
          <w:tcPr>
            <w:tcW w:w="2360" w:type="dxa"/>
            <w:vAlign w:val="bottom"/>
          </w:tcPr>
          <w:p>
            <w:pPr>
              <w:ind w:left="1060"/>
              <w:spacing w:after="0"/>
              <w:rPr>
                <w:sz w:val="20"/>
                <w:szCs w:val="20"/>
                <w:color w:val="auto"/>
              </w:rPr>
            </w:pPr>
            <w:r>
              <w:rPr>
                <w:rFonts w:ascii="Arial" w:cs="Arial" w:eastAsia="Arial" w:hAnsi="Arial"/>
                <w:sz w:val="18"/>
                <w:szCs w:val="18"/>
                <w:color w:val="auto"/>
              </w:rPr>
              <w:t>California</w:t>
            </w:r>
          </w:p>
        </w:tc>
        <w:tc>
          <w:tcPr>
            <w:tcW w:w="4560" w:type="dxa"/>
            <w:vAlign w:val="bottom"/>
          </w:tcPr>
          <w:p>
            <w:pPr>
              <w:spacing w:after="0"/>
              <w:rPr>
                <w:sz w:val="21"/>
                <w:szCs w:val="21"/>
                <w:color w:val="auto"/>
              </w:rPr>
            </w:pPr>
          </w:p>
        </w:tc>
      </w:tr>
      <w:tr>
        <w:trPr>
          <w:trHeight w:val="27"/>
        </w:trPr>
        <w:tc>
          <w:tcPr>
            <w:tcW w:w="4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iStar Lex Lender LLC</w:t>
            </w:r>
          </w:p>
        </w:tc>
        <w:tc>
          <w:tcPr>
            <w:tcW w:w="23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Delaware</w:t>
            </w:r>
          </w:p>
        </w:tc>
        <w:tc>
          <w:tcPr>
            <w:tcW w:w="456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iStar Madison LLC</w:t>
            </w:r>
          </w:p>
        </w:tc>
        <w:tc>
          <w:tcPr>
            <w:tcW w:w="2360" w:type="dxa"/>
            <w:vAlign w:val="bottom"/>
          </w:tcPr>
          <w:p>
            <w:pPr>
              <w:ind w:left="1060"/>
              <w:spacing w:after="0"/>
              <w:rPr>
                <w:sz w:val="20"/>
                <w:szCs w:val="20"/>
                <w:color w:val="auto"/>
              </w:rPr>
            </w:pPr>
            <w:r>
              <w:rPr>
                <w:rFonts w:ascii="Arial" w:cs="Arial" w:eastAsia="Arial" w:hAnsi="Arial"/>
                <w:sz w:val="18"/>
                <w:szCs w:val="18"/>
                <w:color w:val="auto"/>
              </w:rPr>
              <w:t>Delaware</w:t>
            </w:r>
          </w:p>
        </w:tc>
        <w:tc>
          <w:tcPr>
            <w:tcW w:w="4560" w:type="dxa"/>
            <w:vAlign w:val="bottom"/>
          </w:tcPr>
          <w:p>
            <w:pPr>
              <w:ind w:left="140"/>
              <w:spacing w:after="0"/>
              <w:rPr>
                <w:sz w:val="20"/>
                <w:szCs w:val="20"/>
                <w:color w:val="auto"/>
              </w:rPr>
            </w:pPr>
            <w:r>
              <w:rPr>
                <w:rFonts w:ascii="Arial" w:cs="Arial" w:eastAsia="Arial" w:hAnsi="Arial"/>
                <w:sz w:val="18"/>
                <w:szCs w:val="18"/>
                <w:color w:val="auto"/>
              </w:rPr>
              <w:t>iStar Madison TRS Inc.</w:t>
            </w:r>
          </w:p>
        </w:tc>
      </w:tr>
      <w:tr>
        <w:trPr>
          <w:trHeight w:val="27"/>
        </w:trPr>
        <w:tc>
          <w:tcPr>
            <w:tcW w:w="4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iStar Minnesota LLC</w:t>
            </w:r>
          </w:p>
        </w:tc>
        <w:tc>
          <w:tcPr>
            <w:tcW w:w="23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Delaware</w:t>
            </w:r>
          </w:p>
        </w:tc>
        <w:tc>
          <w:tcPr>
            <w:tcW w:w="456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iStar Net Lease I LLC</w:t>
            </w:r>
          </w:p>
        </w:tc>
        <w:tc>
          <w:tcPr>
            <w:tcW w:w="2360" w:type="dxa"/>
            <w:vAlign w:val="bottom"/>
          </w:tcPr>
          <w:p>
            <w:pPr>
              <w:ind w:left="1060"/>
              <w:spacing w:after="0"/>
              <w:rPr>
                <w:sz w:val="20"/>
                <w:szCs w:val="20"/>
                <w:color w:val="auto"/>
              </w:rPr>
            </w:pPr>
            <w:r>
              <w:rPr>
                <w:rFonts w:ascii="Arial" w:cs="Arial" w:eastAsia="Arial" w:hAnsi="Arial"/>
                <w:sz w:val="18"/>
                <w:szCs w:val="18"/>
                <w:color w:val="auto"/>
              </w:rPr>
              <w:t>Delaware</w:t>
            </w:r>
          </w:p>
        </w:tc>
        <w:tc>
          <w:tcPr>
            <w:tcW w:w="4560" w:type="dxa"/>
            <w:vAlign w:val="bottom"/>
          </w:tcPr>
          <w:p>
            <w:pPr>
              <w:spacing w:after="0"/>
              <w:rPr>
                <w:sz w:val="21"/>
                <w:szCs w:val="21"/>
                <w:color w:val="auto"/>
              </w:rPr>
            </w:pPr>
          </w:p>
        </w:tc>
      </w:tr>
      <w:tr>
        <w:trPr>
          <w:trHeight w:val="27"/>
        </w:trPr>
        <w:tc>
          <w:tcPr>
            <w:tcW w:w="4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iStar Net Lease Manager I LLC</w:t>
            </w:r>
          </w:p>
        </w:tc>
        <w:tc>
          <w:tcPr>
            <w:tcW w:w="23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Delaware</w:t>
            </w:r>
          </w:p>
        </w:tc>
        <w:tc>
          <w:tcPr>
            <w:tcW w:w="456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iStar Net Lease Member I LLC</w:t>
            </w:r>
          </w:p>
        </w:tc>
        <w:tc>
          <w:tcPr>
            <w:tcW w:w="2360" w:type="dxa"/>
            <w:vAlign w:val="bottom"/>
          </w:tcPr>
          <w:p>
            <w:pPr>
              <w:ind w:left="1060"/>
              <w:spacing w:after="0"/>
              <w:rPr>
                <w:sz w:val="20"/>
                <w:szCs w:val="20"/>
                <w:color w:val="auto"/>
              </w:rPr>
            </w:pPr>
            <w:r>
              <w:rPr>
                <w:rFonts w:ascii="Arial" w:cs="Arial" w:eastAsia="Arial" w:hAnsi="Arial"/>
                <w:sz w:val="18"/>
                <w:szCs w:val="18"/>
                <w:color w:val="auto"/>
              </w:rPr>
              <w:t>Delaware</w:t>
            </w:r>
          </w:p>
        </w:tc>
        <w:tc>
          <w:tcPr>
            <w:tcW w:w="4560" w:type="dxa"/>
            <w:vAlign w:val="bottom"/>
          </w:tcPr>
          <w:p>
            <w:pPr>
              <w:spacing w:after="0"/>
              <w:rPr>
                <w:sz w:val="21"/>
                <w:szCs w:val="21"/>
                <w:color w:val="auto"/>
              </w:rPr>
            </w:pPr>
          </w:p>
        </w:tc>
      </w:tr>
      <w:tr>
        <w:trPr>
          <w:trHeight w:val="27"/>
        </w:trPr>
        <w:tc>
          <w:tcPr>
            <w:tcW w:w="4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iStar North Old Atlanta Road LLC</w:t>
            </w:r>
          </w:p>
        </w:tc>
        <w:tc>
          <w:tcPr>
            <w:tcW w:w="23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Delaware</w:t>
            </w:r>
          </w:p>
        </w:tc>
        <w:tc>
          <w:tcPr>
            <w:tcW w:w="456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iStar Potomac LLC</w:t>
            </w:r>
          </w:p>
        </w:tc>
        <w:tc>
          <w:tcPr>
            <w:tcW w:w="2360" w:type="dxa"/>
            <w:vAlign w:val="bottom"/>
          </w:tcPr>
          <w:p>
            <w:pPr>
              <w:ind w:left="1060"/>
              <w:spacing w:after="0"/>
              <w:rPr>
                <w:sz w:val="20"/>
                <w:szCs w:val="20"/>
                <w:color w:val="auto"/>
              </w:rPr>
            </w:pPr>
            <w:r>
              <w:rPr>
                <w:rFonts w:ascii="Arial" w:cs="Arial" w:eastAsia="Arial" w:hAnsi="Arial"/>
                <w:sz w:val="18"/>
                <w:szCs w:val="18"/>
                <w:color w:val="auto"/>
              </w:rPr>
              <w:t>Delaware</w:t>
            </w:r>
          </w:p>
        </w:tc>
        <w:tc>
          <w:tcPr>
            <w:tcW w:w="4560" w:type="dxa"/>
            <w:vAlign w:val="bottom"/>
          </w:tcPr>
          <w:p>
            <w:pPr>
              <w:spacing w:after="0"/>
              <w:rPr>
                <w:sz w:val="21"/>
                <w:szCs w:val="21"/>
                <w:color w:val="auto"/>
              </w:rPr>
            </w:pPr>
          </w:p>
        </w:tc>
      </w:tr>
      <w:tr>
        <w:trPr>
          <w:trHeight w:val="27"/>
        </w:trPr>
        <w:tc>
          <w:tcPr>
            <w:tcW w:w="4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iStar Raintree Venture Member LLC</w:t>
            </w:r>
          </w:p>
        </w:tc>
        <w:tc>
          <w:tcPr>
            <w:tcW w:w="23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Delaware</w:t>
            </w:r>
          </w:p>
        </w:tc>
        <w:tc>
          <w:tcPr>
            <w:tcW w:w="456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iStar Reeder Lender LLC</w:t>
            </w:r>
          </w:p>
        </w:tc>
        <w:tc>
          <w:tcPr>
            <w:tcW w:w="2360" w:type="dxa"/>
            <w:vAlign w:val="bottom"/>
          </w:tcPr>
          <w:p>
            <w:pPr>
              <w:ind w:left="1060"/>
              <w:spacing w:after="0"/>
              <w:rPr>
                <w:sz w:val="20"/>
                <w:szCs w:val="20"/>
                <w:color w:val="auto"/>
              </w:rPr>
            </w:pPr>
            <w:r>
              <w:rPr>
                <w:rFonts w:ascii="Arial" w:cs="Arial" w:eastAsia="Arial" w:hAnsi="Arial"/>
                <w:sz w:val="18"/>
                <w:szCs w:val="18"/>
                <w:color w:val="auto"/>
              </w:rPr>
              <w:t>Delaware</w:t>
            </w:r>
          </w:p>
        </w:tc>
        <w:tc>
          <w:tcPr>
            <w:tcW w:w="4560" w:type="dxa"/>
            <w:vAlign w:val="bottom"/>
          </w:tcPr>
          <w:p>
            <w:pPr>
              <w:spacing w:after="0"/>
              <w:rPr>
                <w:sz w:val="21"/>
                <w:szCs w:val="21"/>
                <w:color w:val="auto"/>
              </w:rPr>
            </w:pPr>
          </w:p>
        </w:tc>
      </w:tr>
      <w:tr>
        <w:trPr>
          <w:trHeight w:val="27"/>
        </w:trPr>
        <w:tc>
          <w:tcPr>
            <w:tcW w:w="4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iStar RC Paradise Valley LLC</w:t>
            </w:r>
          </w:p>
        </w:tc>
        <w:tc>
          <w:tcPr>
            <w:tcW w:w="23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Delaware</w:t>
            </w:r>
          </w:p>
        </w:tc>
        <w:tc>
          <w:tcPr>
            <w:tcW w:w="456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iStar Real Estate Services, Inc.</w:t>
            </w:r>
          </w:p>
        </w:tc>
        <w:tc>
          <w:tcPr>
            <w:tcW w:w="2360" w:type="dxa"/>
            <w:vAlign w:val="bottom"/>
          </w:tcPr>
          <w:p>
            <w:pPr>
              <w:ind w:left="1060"/>
              <w:spacing w:after="0"/>
              <w:rPr>
                <w:sz w:val="20"/>
                <w:szCs w:val="20"/>
                <w:color w:val="auto"/>
              </w:rPr>
            </w:pPr>
            <w:r>
              <w:rPr>
                <w:rFonts w:ascii="Arial" w:cs="Arial" w:eastAsia="Arial" w:hAnsi="Arial"/>
                <w:sz w:val="18"/>
                <w:szCs w:val="18"/>
                <w:color w:val="auto"/>
              </w:rPr>
              <w:t>Maryland</w:t>
            </w:r>
          </w:p>
        </w:tc>
        <w:tc>
          <w:tcPr>
            <w:tcW w:w="4560" w:type="dxa"/>
            <w:vAlign w:val="bottom"/>
          </w:tcPr>
          <w:p>
            <w:pPr>
              <w:ind w:left="140"/>
              <w:spacing w:after="0"/>
              <w:rPr>
                <w:sz w:val="20"/>
                <w:szCs w:val="20"/>
                <w:color w:val="auto"/>
              </w:rPr>
            </w:pPr>
            <w:r>
              <w:rPr>
                <w:rFonts w:ascii="Arial" w:cs="Arial" w:eastAsia="Arial" w:hAnsi="Arial"/>
                <w:sz w:val="18"/>
                <w:szCs w:val="18"/>
                <w:color w:val="auto"/>
              </w:rPr>
              <w:t>TriNet Property Management, Inc.</w:t>
            </w:r>
          </w:p>
        </w:tc>
      </w:tr>
      <w:tr>
        <w:trPr>
          <w:trHeight w:val="27"/>
        </w:trPr>
        <w:tc>
          <w:tcPr>
            <w:tcW w:w="4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iStar REO Holdings TRS LLC</w:t>
            </w:r>
          </w:p>
        </w:tc>
        <w:tc>
          <w:tcPr>
            <w:tcW w:w="23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Delaware</w:t>
            </w:r>
          </w:p>
        </w:tc>
        <w:tc>
          <w:tcPr>
            <w:tcW w:w="456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iStar REO Holding II TRS LLC</w:t>
            </w:r>
          </w:p>
        </w:tc>
        <w:tc>
          <w:tcPr>
            <w:tcW w:w="2360" w:type="dxa"/>
            <w:vAlign w:val="bottom"/>
          </w:tcPr>
          <w:p>
            <w:pPr>
              <w:ind w:left="1060"/>
              <w:spacing w:after="0"/>
              <w:rPr>
                <w:sz w:val="20"/>
                <w:szCs w:val="20"/>
                <w:color w:val="auto"/>
              </w:rPr>
            </w:pPr>
            <w:r>
              <w:rPr>
                <w:rFonts w:ascii="Arial" w:cs="Arial" w:eastAsia="Arial" w:hAnsi="Arial"/>
                <w:sz w:val="18"/>
                <w:szCs w:val="18"/>
                <w:color w:val="auto"/>
              </w:rPr>
              <w:t>Delaware</w:t>
            </w:r>
          </w:p>
        </w:tc>
        <w:tc>
          <w:tcPr>
            <w:tcW w:w="4560" w:type="dxa"/>
            <w:vAlign w:val="bottom"/>
          </w:tcPr>
          <w:p>
            <w:pPr>
              <w:spacing w:after="0"/>
              <w:rPr>
                <w:sz w:val="21"/>
                <w:szCs w:val="21"/>
                <w:color w:val="auto"/>
              </w:rPr>
            </w:pPr>
          </w:p>
        </w:tc>
      </w:tr>
      <w:tr>
        <w:trPr>
          <w:trHeight w:val="27"/>
        </w:trPr>
        <w:tc>
          <w:tcPr>
            <w:tcW w:w="4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iStar San Jose, L.L.C.</w:t>
            </w:r>
          </w:p>
        </w:tc>
        <w:tc>
          <w:tcPr>
            <w:tcW w:w="23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Delaware</w:t>
            </w:r>
          </w:p>
        </w:tc>
        <w:tc>
          <w:tcPr>
            <w:tcW w:w="456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iStar SLC LLC</w:t>
            </w:r>
          </w:p>
        </w:tc>
        <w:tc>
          <w:tcPr>
            <w:tcW w:w="2360" w:type="dxa"/>
            <w:vAlign w:val="bottom"/>
          </w:tcPr>
          <w:p>
            <w:pPr>
              <w:ind w:left="1060"/>
              <w:spacing w:after="0"/>
              <w:rPr>
                <w:sz w:val="20"/>
                <w:szCs w:val="20"/>
                <w:color w:val="auto"/>
              </w:rPr>
            </w:pPr>
            <w:r>
              <w:rPr>
                <w:rFonts w:ascii="Arial" w:cs="Arial" w:eastAsia="Arial" w:hAnsi="Arial"/>
                <w:sz w:val="18"/>
                <w:szCs w:val="18"/>
                <w:color w:val="auto"/>
              </w:rPr>
              <w:t>Delaware</w:t>
            </w:r>
          </w:p>
        </w:tc>
        <w:tc>
          <w:tcPr>
            <w:tcW w:w="4560" w:type="dxa"/>
            <w:vAlign w:val="bottom"/>
          </w:tcPr>
          <w:p>
            <w:pPr>
              <w:ind w:left="140"/>
              <w:spacing w:after="0"/>
              <w:rPr>
                <w:sz w:val="20"/>
                <w:szCs w:val="20"/>
                <w:color w:val="auto"/>
              </w:rPr>
            </w:pPr>
            <w:r>
              <w:rPr>
                <w:rFonts w:ascii="Arial" w:cs="Arial" w:eastAsia="Arial" w:hAnsi="Arial"/>
                <w:sz w:val="18"/>
                <w:szCs w:val="18"/>
                <w:color w:val="auto"/>
              </w:rPr>
              <w:t>iStar SLC TRS Inc.</w:t>
            </w:r>
          </w:p>
        </w:tc>
      </w:tr>
      <w:tr>
        <w:trPr>
          <w:trHeight w:val="27"/>
        </w:trPr>
        <w:tc>
          <w:tcPr>
            <w:tcW w:w="4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iStar SoHo Lender LLC</w:t>
            </w:r>
          </w:p>
        </w:tc>
        <w:tc>
          <w:tcPr>
            <w:tcW w:w="23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Delaware</w:t>
            </w:r>
          </w:p>
        </w:tc>
        <w:tc>
          <w:tcPr>
            <w:tcW w:w="456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iStar SPP II LLC</w:t>
            </w:r>
          </w:p>
        </w:tc>
        <w:tc>
          <w:tcPr>
            <w:tcW w:w="2360" w:type="dxa"/>
            <w:vAlign w:val="bottom"/>
          </w:tcPr>
          <w:p>
            <w:pPr>
              <w:ind w:left="1060"/>
              <w:spacing w:after="0"/>
              <w:rPr>
                <w:sz w:val="20"/>
                <w:szCs w:val="20"/>
                <w:color w:val="auto"/>
              </w:rPr>
            </w:pPr>
            <w:r>
              <w:rPr>
                <w:rFonts w:ascii="Arial" w:cs="Arial" w:eastAsia="Arial" w:hAnsi="Arial"/>
                <w:sz w:val="18"/>
                <w:szCs w:val="18"/>
                <w:color w:val="auto"/>
              </w:rPr>
              <w:t>Delaware</w:t>
            </w:r>
          </w:p>
        </w:tc>
        <w:tc>
          <w:tcPr>
            <w:tcW w:w="4560" w:type="dxa"/>
            <w:vAlign w:val="bottom"/>
          </w:tcPr>
          <w:p>
            <w:pPr>
              <w:ind w:left="140"/>
              <w:spacing w:after="0"/>
              <w:rPr>
                <w:sz w:val="20"/>
                <w:szCs w:val="20"/>
                <w:color w:val="auto"/>
              </w:rPr>
            </w:pPr>
            <w:r>
              <w:rPr>
                <w:rFonts w:ascii="Arial" w:cs="Arial" w:eastAsia="Arial" w:hAnsi="Arial"/>
                <w:sz w:val="18"/>
                <w:szCs w:val="18"/>
                <w:color w:val="auto"/>
              </w:rPr>
              <w:t>iStar SPP II TRS Inc.</w:t>
            </w:r>
          </w:p>
        </w:tc>
      </w:tr>
      <w:tr>
        <w:trPr>
          <w:trHeight w:val="27"/>
        </w:trPr>
        <w:tc>
          <w:tcPr>
            <w:tcW w:w="4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iStar SPP LLC</w:t>
            </w:r>
          </w:p>
        </w:tc>
        <w:tc>
          <w:tcPr>
            <w:tcW w:w="23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Delaware</w:t>
            </w:r>
          </w:p>
        </w:tc>
        <w:tc>
          <w:tcPr>
            <w:tcW w:w="4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iStar SPP TRS inc.</w:t>
            </w: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iStar Standard Lender LLC</w:t>
            </w:r>
          </w:p>
        </w:tc>
        <w:tc>
          <w:tcPr>
            <w:tcW w:w="2360" w:type="dxa"/>
            <w:vAlign w:val="bottom"/>
          </w:tcPr>
          <w:p>
            <w:pPr>
              <w:ind w:left="1060"/>
              <w:spacing w:after="0"/>
              <w:rPr>
                <w:sz w:val="20"/>
                <w:szCs w:val="20"/>
                <w:color w:val="auto"/>
              </w:rPr>
            </w:pPr>
            <w:r>
              <w:rPr>
                <w:rFonts w:ascii="Arial" w:cs="Arial" w:eastAsia="Arial" w:hAnsi="Arial"/>
                <w:sz w:val="18"/>
                <w:szCs w:val="18"/>
                <w:color w:val="auto"/>
              </w:rPr>
              <w:t>Delaware</w:t>
            </w:r>
          </w:p>
        </w:tc>
        <w:tc>
          <w:tcPr>
            <w:tcW w:w="4560" w:type="dxa"/>
            <w:vAlign w:val="bottom"/>
          </w:tcPr>
          <w:p>
            <w:pPr>
              <w:spacing w:after="0"/>
              <w:rPr>
                <w:sz w:val="21"/>
                <w:szCs w:val="21"/>
                <w:color w:val="auto"/>
              </w:rPr>
            </w:pPr>
          </w:p>
        </w:tc>
      </w:tr>
      <w:tr>
        <w:trPr>
          <w:trHeight w:val="27"/>
        </w:trPr>
        <w:tc>
          <w:tcPr>
            <w:tcW w:w="4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iStar Sunnyvale Partners, L.P.</w:t>
            </w:r>
          </w:p>
        </w:tc>
        <w:tc>
          <w:tcPr>
            <w:tcW w:w="23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Delaware</w:t>
            </w:r>
          </w:p>
        </w:tc>
        <w:tc>
          <w:tcPr>
            <w:tcW w:w="456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iStar Sunnyvale, LLC</w:t>
            </w:r>
          </w:p>
        </w:tc>
        <w:tc>
          <w:tcPr>
            <w:tcW w:w="2360" w:type="dxa"/>
            <w:vAlign w:val="bottom"/>
          </w:tcPr>
          <w:p>
            <w:pPr>
              <w:ind w:left="1060"/>
              <w:spacing w:after="0"/>
              <w:rPr>
                <w:sz w:val="20"/>
                <w:szCs w:val="20"/>
                <w:color w:val="auto"/>
              </w:rPr>
            </w:pPr>
            <w:r>
              <w:rPr>
                <w:rFonts w:ascii="Arial" w:cs="Arial" w:eastAsia="Arial" w:hAnsi="Arial"/>
                <w:sz w:val="18"/>
                <w:szCs w:val="18"/>
                <w:color w:val="auto"/>
              </w:rPr>
              <w:t>Delaware</w:t>
            </w:r>
          </w:p>
        </w:tc>
        <w:tc>
          <w:tcPr>
            <w:tcW w:w="4560" w:type="dxa"/>
            <w:vAlign w:val="bottom"/>
          </w:tcPr>
          <w:p>
            <w:pPr>
              <w:spacing w:after="0"/>
              <w:rPr>
                <w:sz w:val="21"/>
                <w:szCs w:val="21"/>
                <w:color w:val="auto"/>
              </w:rPr>
            </w:pPr>
          </w:p>
        </w:tc>
      </w:tr>
    </w:tbl>
    <w:p>
      <w:pPr>
        <w:sectPr>
          <w:pgSz w:w="11900" w:h="16838" w:orient="portrait"/>
          <w:cols w:equalWidth="0" w:num="1">
            <w:col w:w="11140"/>
          </w:cols>
          <w:pgMar w:left="380" w:top="734" w:right="379" w:bottom="1440" w:gutter="0" w:footer="0" w:header="0"/>
        </w:sectPr>
      </w:pPr>
    </w:p>
    <w:bookmarkStart w:id="136" w:name="page137"/>
    <w:bookmarkEnd w:id="1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iStar Tara Holdings LLC</w:t>
            </w:r>
          </w:p>
        </w:tc>
        <w:tc>
          <w:tcPr>
            <w:tcW w:w="17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Delaware</w:t>
            </w:r>
          </w:p>
        </w:tc>
        <w:tc>
          <w:tcPr>
            <w:tcW w:w="42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iStar Tara Kickers TRS LLC</w:t>
            </w:r>
          </w:p>
        </w:tc>
        <w:tc>
          <w:tcPr>
            <w:tcW w:w="1720" w:type="dxa"/>
            <w:vAlign w:val="bottom"/>
          </w:tcPr>
          <w:p>
            <w:pPr>
              <w:ind w:left="580"/>
              <w:spacing w:after="0"/>
              <w:rPr>
                <w:sz w:val="20"/>
                <w:szCs w:val="20"/>
                <w:color w:val="auto"/>
              </w:rPr>
            </w:pPr>
            <w:r>
              <w:rPr>
                <w:rFonts w:ascii="Arial" w:cs="Arial" w:eastAsia="Arial" w:hAnsi="Arial"/>
                <w:sz w:val="18"/>
                <w:szCs w:val="18"/>
                <w:color w:val="auto"/>
              </w:rPr>
              <w:t>Delaware</w:t>
            </w:r>
          </w:p>
        </w:tc>
        <w:tc>
          <w:tcPr>
            <w:tcW w:w="428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iStar Tara LLC</w:t>
            </w:r>
          </w:p>
        </w:tc>
        <w:tc>
          <w:tcPr>
            <w:tcW w:w="17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Delaware</w:t>
            </w:r>
          </w:p>
        </w:tc>
        <w:tc>
          <w:tcPr>
            <w:tcW w:w="4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iStar WALH Investor TRS LLC</w:t>
            </w:r>
          </w:p>
        </w:tc>
        <w:tc>
          <w:tcPr>
            <w:tcW w:w="1720" w:type="dxa"/>
            <w:vAlign w:val="bottom"/>
          </w:tcPr>
          <w:p>
            <w:pPr>
              <w:ind w:left="580"/>
              <w:spacing w:after="0"/>
              <w:rPr>
                <w:sz w:val="20"/>
                <w:szCs w:val="20"/>
                <w:color w:val="auto"/>
              </w:rPr>
            </w:pPr>
            <w:r>
              <w:rPr>
                <w:rFonts w:ascii="Arial" w:cs="Arial" w:eastAsia="Arial" w:hAnsi="Arial"/>
                <w:sz w:val="18"/>
                <w:szCs w:val="18"/>
                <w:color w:val="auto"/>
              </w:rPr>
              <w:t>Delaware</w:t>
            </w:r>
          </w:p>
        </w:tc>
        <w:tc>
          <w:tcPr>
            <w:tcW w:w="4720" w:type="dxa"/>
            <w:vAlign w:val="bottom"/>
            <w:gridSpan w:val="2"/>
          </w:tcPr>
          <w:p>
            <w:pPr>
              <w:ind w:left="300"/>
              <w:spacing w:after="0"/>
              <w:rPr>
                <w:sz w:val="20"/>
                <w:szCs w:val="20"/>
                <w:color w:val="auto"/>
              </w:rPr>
            </w:pPr>
            <w:r>
              <w:rPr>
                <w:rFonts w:ascii="Arial" w:cs="Arial" w:eastAsia="Arial" w:hAnsi="Arial"/>
                <w:sz w:val="18"/>
                <w:szCs w:val="18"/>
                <w:color w:val="auto"/>
              </w:rPr>
              <w:t>iStar WALH Investor LLC</w:t>
            </w:r>
          </w:p>
        </w:tc>
      </w:tr>
      <w:tr>
        <w:trPr>
          <w:trHeight w:val="27"/>
        </w:trPr>
        <w:tc>
          <w:tcPr>
            <w:tcW w:w="4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iStar West Walton Lender LLC</w:t>
            </w:r>
          </w:p>
        </w:tc>
        <w:tc>
          <w:tcPr>
            <w:tcW w:w="17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Delaware</w:t>
            </w:r>
          </w:p>
        </w:tc>
        <w:tc>
          <w:tcPr>
            <w:tcW w:w="4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iStar West Walton Mezz LLC</w:t>
            </w:r>
          </w:p>
        </w:tc>
        <w:tc>
          <w:tcPr>
            <w:tcW w:w="1720" w:type="dxa"/>
            <w:vAlign w:val="bottom"/>
          </w:tcPr>
          <w:p>
            <w:pPr>
              <w:ind w:left="580"/>
              <w:spacing w:after="0"/>
              <w:rPr>
                <w:sz w:val="20"/>
                <w:szCs w:val="20"/>
                <w:color w:val="auto"/>
              </w:rPr>
            </w:pPr>
            <w:r>
              <w:rPr>
                <w:rFonts w:ascii="Arial" w:cs="Arial" w:eastAsia="Arial" w:hAnsi="Arial"/>
                <w:sz w:val="18"/>
                <w:szCs w:val="18"/>
                <w:color w:val="auto"/>
              </w:rPr>
              <w:t>Delaware</w:t>
            </w:r>
          </w:p>
        </w:tc>
        <w:tc>
          <w:tcPr>
            <w:tcW w:w="428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iStar Woodward LLC</w:t>
            </w:r>
          </w:p>
        </w:tc>
        <w:tc>
          <w:tcPr>
            <w:tcW w:w="17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Delaware</w:t>
            </w:r>
          </w:p>
        </w:tc>
        <w:tc>
          <w:tcPr>
            <w:tcW w:w="4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Jade Eight Properties LLC</w:t>
            </w:r>
          </w:p>
        </w:tc>
        <w:tc>
          <w:tcPr>
            <w:tcW w:w="1720" w:type="dxa"/>
            <w:vAlign w:val="bottom"/>
          </w:tcPr>
          <w:p>
            <w:pPr>
              <w:ind w:left="580"/>
              <w:spacing w:after="0"/>
              <w:rPr>
                <w:sz w:val="20"/>
                <w:szCs w:val="20"/>
                <w:color w:val="auto"/>
              </w:rPr>
            </w:pPr>
            <w:r>
              <w:rPr>
                <w:rFonts w:ascii="Arial" w:cs="Arial" w:eastAsia="Arial" w:hAnsi="Arial"/>
                <w:sz w:val="18"/>
                <w:szCs w:val="18"/>
                <w:color w:val="auto"/>
              </w:rPr>
              <w:t>Delaware</w:t>
            </w:r>
          </w:p>
        </w:tc>
        <w:tc>
          <w:tcPr>
            <w:tcW w:w="428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Jersey Star GenPar LLC</w:t>
            </w:r>
          </w:p>
        </w:tc>
        <w:tc>
          <w:tcPr>
            <w:tcW w:w="17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Delaware</w:t>
            </w:r>
          </w:p>
        </w:tc>
        <w:tc>
          <w:tcPr>
            <w:tcW w:w="4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Jersey Star LP</w:t>
            </w:r>
          </w:p>
        </w:tc>
        <w:tc>
          <w:tcPr>
            <w:tcW w:w="1720" w:type="dxa"/>
            <w:vAlign w:val="bottom"/>
          </w:tcPr>
          <w:p>
            <w:pPr>
              <w:ind w:left="580"/>
              <w:spacing w:after="0"/>
              <w:rPr>
                <w:sz w:val="20"/>
                <w:szCs w:val="20"/>
                <w:color w:val="auto"/>
              </w:rPr>
            </w:pPr>
            <w:r>
              <w:rPr>
                <w:rFonts w:ascii="Arial" w:cs="Arial" w:eastAsia="Arial" w:hAnsi="Arial"/>
                <w:sz w:val="18"/>
                <w:szCs w:val="18"/>
                <w:color w:val="auto"/>
              </w:rPr>
              <w:t>Delaware</w:t>
            </w:r>
          </w:p>
        </w:tc>
        <w:tc>
          <w:tcPr>
            <w:tcW w:w="4720" w:type="dxa"/>
            <w:vAlign w:val="bottom"/>
            <w:gridSpan w:val="2"/>
          </w:tcPr>
          <w:p>
            <w:pPr>
              <w:ind w:left="300"/>
              <w:spacing w:after="0"/>
              <w:rPr>
                <w:sz w:val="20"/>
                <w:szCs w:val="20"/>
                <w:color w:val="auto"/>
              </w:rPr>
            </w:pPr>
            <w:r>
              <w:rPr>
                <w:rFonts w:ascii="Arial" w:cs="Arial" w:eastAsia="Arial" w:hAnsi="Arial"/>
                <w:sz w:val="18"/>
                <w:szCs w:val="18"/>
                <w:color w:val="auto"/>
              </w:rPr>
              <w:t>Jersey Star LLC</w:t>
            </w:r>
          </w:p>
        </w:tc>
      </w:tr>
      <w:tr>
        <w:trPr>
          <w:trHeight w:val="27"/>
        </w:trPr>
        <w:tc>
          <w:tcPr>
            <w:tcW w:w="4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Key West Harbour Development, L.L.C.</w:t>
            </w:r>
          </w:p>
        </w:tc>
        <w:tc>
          <w:tcPr>
            <w:tcW w:w="17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Florida</w:t>
            </w:r>
          </w:p>
        </w:tc>
        <w:tc>
          <w:tcPr>
            <w:tcW w:w="4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Key West Marina Investments, L.L.C.</w:t>
            </w:r>
          </w:p>
        </w:tc>
        <w:tc>
          <w:tcPr>
            <w:tcW w:w="1720" w:type="dxa"/>
            <w:vAlign w:val="bottom"/>
          </w:tcPr>
          <w:p>
            <w:pPr>
              <w:ind w:left="580"/>
              <w:spacing w:after="0"/>
              <w:rPr>
                <w:sz w:val="20"/>
                <w:szCs w:val="20"/>
                <w:color w:val="auto"/>
              </w:rPr>
            </w:pPr>
            <w:r>
              <w:rPr>
                <w:rFonts w:ascii="Arial" w:cs="Arial" w:eastAsia="Arial" w:hAnsi="Arial"/>
                <w:sz w:val="18"/>
                <w:szCs w:val="18"/>
                <w:color w:val="auto"/>
              </w:rPr>
              <w:t>Florida</w:t>
            </w:r>
          </w:p>
        </w:tc>
        <w:tc>
          <w:tcPr>
            <w:tcW w:w="428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Loft Office Acquisition, LLC</w:t>
            </w:r>
          </w:p>
        </w:tc>
        <w:tc>
          <w:tcPr>
            <w:tcW w:w="17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Delaware</w:t>
            </w:r>
          </w:p>
        </w:tc>
        <w:tc>
          <w:tcPr>
            <w:tcW w:w="4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Long Beach Wayfarer LLC</w:t>
            </w:r>
          </w:p>
        </w:tc>
        <w:tc>
          <w:tcPr>
            <w:tcW w:w="1720" w:type="dxa"/>
            <w:vAlign w:val="bottom"/>
          </w:tcPr>
          <w:p>
            <w:pPr>
              <w:ind w:left="580"/>
              <w:spacing w:after="0"/>
              <w:rPr>
                <w:sz w:val="20"/>
                <w:szCs w:val="20"/>
                <w:color w:val="auto"/>
              </w:rPr>
            </w:pPr>
            <w:r>
              <w:rPr>
                <w:rFonts w:ascii="Arial" w:cs="Arial" w:eastAsia="Arial" w:hAnsi="Arial"/>
                <w:sz w:val="18"/>
                <w:szCs w:val="18"/>
                <w:color w:val="auto"/>
              </w:rPr>
              <w:t>Delaware</w:t>
            </w:r>
          </w:p>
        </w:tc>
        <w:tc>
          <w:tcPr>
            <w:tcW w:w="428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Lysol Limited</w:t>
            </w:r>
          </w:p>
        </w:tc>
        <w:tc>
          <w:tcPr>
            <w:tcW w:w="17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Cyprus</w:t>
            </w:r>
          </w:p>
        </w:tc>
        <w:tc>
          <w:tcPr>
            <w:tcW w:w="4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Madison Asbury Retail, LLC</w:t>
            </w:r>
          </w:p>
        </w:tc>
        <w:tc>
          <w:tcPr>
            <w:tcW w:w="1720" w:type="dxa"/>
            <w:vAlign w:val="bottom"/>
          </w:tcPr>
          <w:p>
            <w:pPr>
              <w:ind w:left="580"/>
              <w:spacing w:after="0"/>
              <w:rPr>
                <w:sz w:val="20"/>
                <w:szCs w:val="20"/>
                <w:color w:val="auto"/>
              </w:rPr>
            </w:pPr>
            <w:r>
              <w:rPr>
                <w:rFonts w:ascii="Arial" w:cs="Arial" w:eastAsia="Arial" w:hAnsi="Arial"/>
                <w:sz w:val="18"/>
                <w:szCs w:val="18"/>
                <w:color w:val="auto"/>
              </w:rPr>
              <w:t>Delaware</w:t>
            </w:r>
          </w:p>
        </w:tc>
        <w:tc>
          <w:tcPr>
            <w:tcW w:w="4720" w:type="dxa"/>
            <w:vAlign w:val="bottom"/>
            <w:gridSpan w:val="2"/>
          </w:tcPr>
          <w:p>
            <w:pPr>
              <w:ind w:left="300"/>
              <w:spacing w:after="0"/>
              <w:rPr>
                <w:sz w:val="20"/>
                <w:szCs w:val="20"/>
                <w:color w:val="auto"/>
              </w:rPr>
            </w:pPr>
            <w:r>
              <w:rPr>
                <w:rFonts w:ascii="Arial" w:cs="Arial" w:eastAsia="Arial" w:hAnsi="Arial"/>
                <w:sz w:val="18"/>
                <w:szCs w:val="18"/>
                <w:color w:val="auto"/>
              </w:rPr>
              <w:t>Asbury Park Retail, LLC</w:t>
            </w:r>
          </w:p>
        </w:tc>
      </w:tr>
      <w:tr>
        <w:trPr>
          <w:trHeight w:val="27"/>
        </w:trPr>
        <w:tc>
          <w:tcPr>
            <w:tcW w:w="4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MF III Albion LLC</w:t>
            </w:r>
          </w:p>
        </w:tc>
        <w:tc>
          <w:tcPr>
            <w:tcW w:w="17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New Jersey</w:t>
            </w:r>
          </w:p>
        </w:tc>
        <w:tc>
          <w:tcPr>
            <w:tcW w:w="4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MG Apartments Parcel 3 LLC</w:t>
            </w:r>
          </w:p>
        </w:tc>
        <w:tc>
          <w:tcPr>
            <w:tcW w:w="1720" w:type="dxa"/>
            <w:vAlign w:val="bottom"/>
          </w:tcPr>
          <w:p>
            <w:pPr>
              <w:ind w:left="580"/>
              <w:spacing w:after="0"/>
              <w:rPr>
                <w:sz w:val="20"/>
                <w:szCs w:val="20"/>
                <w:color w:val="auto"/>
              </w:rPr>
            </w:pPr>
            <w:r>
              <w:rPr>
                <w:rFonts w:ascii="Arial" w:cs="Arial" w:eastAsia="Arial" w:hAnsi="Arial"/>
                <w:sz w:val="18"/>
                <w:szCs w:val="18"/>
                <w:color w:val="auto"/>
              </w:rPr>
              <w:t>Delaware</w:t>
            </w:r>
          </w:p>
        </w:tc>
        <w:tc>
          <w:tcPr>
            <w:tcW w:w="428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MN Theaters 2006 LLC</w:t>
            </w:r>
          </w:p>
        </w:tc>
        <w:tc>
          <w:tcPr>
            <w:tcW w:w="17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Minnesota</w:t>
            </w:r>
          </w:p>
        </w:tc>
        <w:tc>
          <w:tcPr>
            <w:tcW w:w="472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GAC Theaters LLC</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Naples AW Holdco LLC</w:t>
            </w:r>
          </w:p>
        </w:tc>
        <w:tc>
          <w:tcPr>
            <w:tcW w:w="1720" w:type="dxa"/>
            <w:vAlign w:val="bottom"/>
          </w:tcPr>
          <w:p>
            <w:pPr>
              <w:ind w:left="580"/>
              <w:spacing w:after="0"/>
              <w:rPr>
                <w:sz w:val="20"/>
                <w:szCs w:val="20"/>
                <w:color w:val="auto"/>
              </w:rPr>
            </w:pPr>
            <w:r>
              <w:rPr>
                <w:rFonts w:ascii="Arial" w:cs="Arial" w:eastAsia="Arial" w:hAnsi="Arial"/>
                <w:sz w:val="18"/>
                <w:szCs w:val="18"/>
                <w:color w:val="auto"/>
              </w:rPr>
              <w:t>Delaware</w:t>
            </w:r>
          </w:p>
        </w:tc>
        <w:tc>
          <w:tcPr>
            <w:tcW w:w="4720" w:type="dxa"/>
            <w:vAlign w:val="bottom"/>
            <w:gridSpan w:val="2"/>
          </w:tcPr>
          <w:p>
            <w:pPr>
              <w:ind w:left="300"/>
              <w:spacing w:after="0"/>
              <w:rPr>
                <w:sz w:val="20"/>
                <w:szCs w:val="20"/>
                <w:color w:val="auto"/>
              </w:rPr>
            </w:pPr>
            <w:r>
              <w:rPr>
                <w:rFonts w:ascii="Arial" w:cs="Arial" w:eastAsia="Arial" w:hAnsi="Arial"/>
                <w:sz w:val="18"/>
                <w:szCs w:val="18"/>
                <w:color w:val="auto"/>
              </w:rPr>
              <w:t>240 S Pineapple Land - Sarasota LLC</w:t>
            </w:r>
          </w:p>
        </w:tc>
      </w:tr>
      <w:tr>
        <w:trPr>
          <w:trHeight w:val="27"/>
        </w:trPr>
        <w:tc>
          <w:tcPr>
            <w:tcW w:w="4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Naples Harbour Development, .L.C.</w:t>
            </w:r>
          </w:p>
        </w:tc>
        <w:tc>
          <w:tcPr>
            <w:tcW w:w="17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Florida</w:t>
            </w:r>
          </w:p>
        </w:tc>
        <w:tc>
          <w:tcPr>
            <w:tcW w:w="4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Naples Marina Investments, L.L.C.</w:t>
            </w:r>
          </w:p>
        </w:tc>
        <w:tc>
          <w:tcPr>
            <w:tcW w:w="1720" w:type="dxa"/>
            <w:vAlign w:val="bottom"/>
          </w:tcPr>
          <w:p>
            <w:pPr>
              <w:ind w:left="580"/>
              <w:spacing w:after="0"/>
              <w:rPr>
                <w:sz w:val="20"/>
                <w:szCs w:val="20"/>
                <w:color w:val="auto"/>
              </w:rPr>
            </w:pPr>
            <w:r>
              <w:rPr>
                <w:rFonts w:ascii="Arial" w:cs="Arial" w:eastAsia="Arial" w:hAnsi="Arial"/>
                <w:sz w:val="18"/>
                <w:szCs w:val="18"/>
                <w:color w:val="auto"/>
              </w:rPr>
              <w:t>Florida</w:t>
            </w:r>
          </w:p>
        </w:tc>
        <w:tc>
          <w:tcPr>
            <w:tcW w:w="428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720" w:type="dxa"/>
            <w:vAlign w:val="bottom"/>
            <w:gridSpan w:val="2"/>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NHN Holdco LLC</w:t>
            </w:r>
          </w:p>
        </w:tc>
        <w:tc>
          <w:tcPr>
            <w:tcW w:w="17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Delaware</w:t>
            </w:r>
          </w:p>
        </w:tc>
        <w:tc>
          <w:tcPr>
            <w:tcW w:w="42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345 Los Coches Street - North Hollywood LLC</w:t>
            </w:r>
          </w:p>
        </w:tc>
        <w:tc>
          <w:tcPr>
            <w:tcW w:w="440" w:type="dxa"/>
            <w:vAlign w:val="bottom"/>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NHN Venture 2, LLC</w:t>
            </w:r>
          </w:p>
        </w:tc>
        <w:tc>
          <w:tcPr>
            <w:tcW w:w="1720" w:type="dxa"/>
            <w:vAlign w:val="bottom"/>
          </w:tcPr>
          <w:p>
            <w:pPr>
              <w:ind w:left="580"/>
              <w:spacing w:after="0"/>
              <w:rPr>
                <w:sz w:val="20"/>
                <w:szCs w:val="20"/>
                <w:color w:val="auto"/>
              </w:rPr>
            </w:pPr>
            <w:r>
              <w:rPr>
                <w:rFonts w:ascii="Arial" w:cs="Arial" w:eastAsia="Arial" w:hAnsi="Arial"/>
                <w:sz w:val="18"/>
                <w:szCs w:val="18"/>
                <w:color w:val="auto"/>
              </w:rPr>
              <w:t>Delaware</w:t>
            </w:r>
          </w:p>
        </w:tc>
        <w:tc>
          <w:tcPr>
            <w:tcW w:w="428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Oakton NLA LLC</w:t>
            </w:r>
          </w:p>
        </w:tc>
        <w:tc>
          <w:tcPr>
            <w:tcW w:w="17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Delaware</w:t>
            </w:r>
          </w:p>
        </w:tc>
        <w:tc>
          <w:tcPr>
            <w:tcW w:w="4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Oakton Net Lease EIT</w:t>
            </w:r>
          </w:p>
        </w:tc>
        <w:tc>
          <w:tcPr>
            <w:tcW w:w="1720" w:type="dxa"/>
            <w:vAlign w:val="bottom"/>
          </w:tcPr>
          <w:p>
            <w:pPr>
              <w:ind w:left="580"/>
              <w:spacing w:after="0"/>
              <w:rPr>
                <w:sz w:val="20"/>
                <w:szCs w:val="20"/>
                <w:color w:val="auto"/>
              </w:rPr>
            </w:pPr>
            <w:r>
              <w:rPr>
                <w:rFonts w:ascii="Arial" w:cs="Arial" w:eastAsia="Arial" w:hAnsi="Arial"/>
                <w:sz w:val="18"/>
                <w:szCs w:val="18"/>
                <w:color w:val="auto"/>
              </w:rPr>
              <w:t>Maryland</w:t>
            </w:r>
          </w:p>
        </w:tc>
        <w:tc>
          <w:tcPr>
            <w:tcW w:w="428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One Palm LLC</w:t>
            </w:r>
          </w:p>
        </w:tc>
        <w:tc>
          <w:tcPr>
            <w:tcW w:w="17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Delaware</w:t>
            </w:r>
          </w:p>
        </w:tc>
        <w:tc>
          <w:tcPr>
            <w:tcW w:w="4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One Palm Hotel Operator LLC</w:t>
            </w:r>
          </w:p>
        </w:tc>
        <w:tc>
          <w:tcPr>
            <w:tcW w:w="1720" w:type="dxa"/>
            <w:vAlign w:val="bottom"/>
          </w:tcPr>
          <w:p>
            <w:pPr>
              <w:ind w:left="580"/>
              <w:spacing w:after="0"/>
              <w:rPr>
                <w:sz w:val="20"/>
                <w:szCs w:val="20"/>
                <w:color w:val="auto"/>
              </w:rPr>
            </w:pPr>
            <w:r>
              <w:rPr>
                <w:rFonts w:ascii="Arial" w:cs="Arial" w:eastAsia="Arial" w:hAnsi="Arial"/>
                <w:sz w:val="18"/>
                <w:szCs w:val="18"/>
                <w:color w:val="auto"/>
              </w:rPr>
              <w:t>Delaware</w:t>
            </w:r>
          </w:p>
        </w:tc>
        <w:tc>
          <w:tcPr>
            <w:tcW w:w="428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Outlets at Westgate, LLC</w:t>
            </w:r>
          </w:p>
        </w:tc>
        <w:tc>
          <w:tcPr>
            <w:tcW w:w="17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Delaware</w:t>
            </w:r>
          </w:p>
        </w:tc>
        <w:tc>
          <w:tcPr>
            <w:tcW w:w="4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Paramount Bay Owner LLC</w:t>
            </w:r>
          </w:p>
        </w:tc>
        <w:tc>
          <w:tcPr>
            <w:tcW w:w="1720" w:type="dxa"/>
            <w:vAlign w:val="bottom"/>
          </w:tcPr>
          <w:p>
            <w:pPr>
              <w:ind w:left="580"/>
              <w:spacing w:after="0"/>
              <w:rPr>
                <w:sz w:val="20"/>
                <w:szCs w:val="20"/>
                <w:color w:val="auto"/>
              </w:rPr>
            </w:pPr>
            <w:r>
              <w:rPr>
                <w:rFonts w:ascii="Arial" w:cs="Arial" w:eastAsia="Arial" w:hAnsi="Arial"/>
                <w:sz w:val="18"/>
                <w:szCs w:val="18"/>
                <w:color w:val="auto"/>
              </w:rPr>
              <w:t>Delaware</w:t>
            </w:r>
          </w:p>
        </w:tc>
        <w:tc>
          <w:tcPr>
            <w:tcW w:w="428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Parrot Cay Holdco LLC</w:t>
            </w:r>
          </w:p>
        </w:tc>
        <w:tc>
          <w:tcPr>
            <w:tcW w:w="17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Delaware</w:t>
            </w:r>
          </w:p>
        </w:tc>
        <w:tc>
          <w:tcPr>
            <w:tcW w:w="4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Piscataway Road-Clinton MD LLC</w:t>
            </w:r>
          </w:p>
        </w:tc>
        <w:tc>
          <w:tcPr>
            <w:tcW w:w="1720" w:type="dxa"/>
            <w:vAlign w:val="bottom"/>
          </w:tcPr>
          <w:p>
            <w:pPr>
              <w:ind w:left="580"/>
              <w:spacing w:after="0"/>
              <w:rPr>
                <w:sz w:val="20"/>
                <w:szCs w:val="20"/>
                <w:color w:val="auto"/>
              </w:rPr>
            </w:pPr>
            <w:r>
              <w:rPr>
                <w:rFonts w:ascii="Arial" w:cs="Arial" w:eastAsia="Arial" w:hAnsi="Arial"/>
                <w:sz w:val="18"/>
                <w:szCs w:val="18"/>
                <w:color w:val="auto"/>
              </w:rPr>
              <w:t>Delaware</w:t>
            </w:r>
          </w:p>
        </w:tc>
        <w:tc>
          <w:tcPr>
            <w:tcW w:w="428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Raintree Venture Owner, LLC</w:t>
            </w:r>
          </w:p>
        </w:tc>
        <w:tc>
          <w:tcPr>
            <w:tcW w:w="17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Delaware</w:t>
            </w:r>
          </w:p>
        </w:tc>
        <w:tc>
          <w:tcPr>
            <w:tcW w:w="4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Raintree Venture Partners, LLC</w:t>
            </w:r>
          </w:p>
        </w:tc>
        <w:tc>
          <w:tcPr>
            <w:tcW w:w="1720" w:type="dxa"/>
            <w:vAlign w:val="bottom"/>
          </w:tcPr>
          <w:p>
            <w:pPr>
              <w:ind w:left="580"/>
              <w:spacing w:after="0"/>
              <w:rPr>
                <w:sz w:val="20"/>
                <w:szCs w:val="20"/>
                <w:color w:val="auto"/>
              </w:rPr>
            </w:pPr>
            <w:r>
              <w:rPr>
                <w:rFonts w:ascii="Arial" w:cs="Arial" w:eastAsia="Arial" w:hAnsi="Arial"/>
                <w:sz w:val="18"/>
                <w:szCs w:val="18"/>
                <w:color w:val="auto"/>
              </w:rPr>
              <w:t>Delaware</w:t>
            </w:r>
          </w:p>
        </w:tc>
        <w:tc>
          <w:tcPr>
            <w:tcW w:w="428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Rattlefish Raw Bar and Grill, LLC.</w:t>
            </w:r>
          </w:p>
        </w:tc>
        <w:tc>
          <w:tcPr>
            <w:tcW w:w="17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Florida</w:t>
            </w:r>
          </w:p>
        </w:tc>
        <w:tc>
          <w:tcPr>
            <w:tcW w:w="4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Red Lion G.P., Inc.</w:t>
            </w:r>
          </w:p>
        </w:tc>
        <w:tc>
          <w:tcPr>
            <w:tcW w:w="1720" w:type="dxa"/>
            <w:vAlign w:val="bottom"/>
          </w:tcPr>
          <w:p>
            <w:pPr>
              <w:ind w:left="580"/>
              <w:spacing w:after="0"/>
              <w:rPr>
                <w:sz w:val="20"/>
                <w:szCs w:val="20"/>
                <w:color w:val="auto"/>
              </w:rPr>
            </w:pPr>
            <w:r>
              <w:rPr>
                <w:rFonts w:ascii="Arial" w:cs="Arial" w:eastAsia="Arial" w:hAnsi="Arial"/>
                <w:sz w:val="18"/>
                <w:szCs w:val="18"/>
                <w:color w:val="auto"/>
              </w:rPr>
              <w:t>Delaware</w:t>
            </w:r>
          </w:p>
        </w:tc>
        <w:tc>
          <w:tcPr>
            <w:tcW w:w="428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RLH Partnership, L.P.</w:t>
            </w:r>
          </w:p>
        </w:tc>
        <w:tc>
          <w:tcPr>
            <w:tcW w:w="17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Delaware</w:t>
            </w:r>
          </w:p>
        </w:tc>
        <w:tc>
          <w:tcPr>
            <w:tcW w:w="4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Royal Oaks Lane (Biscayne Landing)-North Miami LLC</w:t>
            </w:r>
          </w:p>
        </w:tc>
        <w:tc>
          <w:tcPr>
            <w:tcW w:w="1720" w:type="dxa"/>
            <w:vAlign w:val="bottom"/>
          </w:tcPr>
          <w:p>
            <w:pPr>
              <w:ind w:left="580"/>
              <w:spacing w:after="0"/>
              <w:rPr>
                <w:sz w:val="20"/>
                <w:szCs w:val="20"/>
                <w:color w:val="auto"/>
              </w:rPr>
            </w:pPr>
            <w:r>
              <w:rPr>
                <w:rFonts w:ascii="Arial" w:cs="Arial" w:eastAsia="Arial" w:hAnsi="Arial"/>
                <w:sz w:val="18"/>
                <w:szCs w:val="18"/>
                <w:color w:val="auto"/>
              </w:rPr>
              <w:t>Delaware</w:t>
            </w:r>
          </w:p>
        </w:tc>
        <w:tc>
          <w:tcPr>
            <w:tcW w:w="428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Safety Income and Growth Operating Partnership, LP</w:t>
            </w:r>
          </w:p>
        </w:tc>
        <w:tc>
          <w:tcPr>
            <w:tcW w:w="17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Delaware</w:t>
            </w:r>
          </w:p>
        </w:tc>
        <w:tc>
          <w:tcPr>
            <w:tcW w:w="4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Safety Income and Growth REIT, Inc.</w:t>
            </w:r>
          </w:p>
        </w:tc>
        <w:tc>
          <w:tcPr>
            <w:tcW w:w="1720" w:type="dxa"/>
            <w:vAlign w:val="bottom"/>
          </w:tcPr>
          <w:p>
            <w:pPr>
              <w:ind w:left="580"/>
              <w:spacing w:after="0"/>
              <w:rPr>
                <w:sz w:val="20"/>
                <w:szCs w:val="20"/>
                <w:color w:val="auto"/>
              </w:rPr>
            </w:pPr>
            <w:r>
              <w:rPr>
                <w:rFonts w:ascii="Arial" w:cs="Arial" w:eastAsia="Arial" w:hAnsi="Arial"/>
                <w:sz w:val="18"/>
                <w:szCs w:val="18"/>
                <w:color w:val="auto"/>
              </w:rPr>
              <w:t>Maryland</w:t>
            </w:r>
          </w:p>
        </w:tc>
        <w:tc>
          <w:tcPr>
            <w:tcW w:w="428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Seaside Park LLC</w:t>
            </w:r>
          </w:p>
        </w:tc>
        <w:tc>
          <w:tcPr>
            <w:tcW w:w="17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Delaware</w:t>
            </w:r>
          </w:p>
        </w:tc>
        <w:tc>
          <w:tcPr>
            <w:tcW w:w="4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SFI 10 Rittenhouse LLC</w:t>
            </w:r>
          </w:p>
        </w:tc>
        <w:tc>
          <w:tcPr>
            <w:tcW w:w="1720" w:type="dxa"/>
            <w:vAlign w:val="bottom"/>
          </w:tcPr>
          <w:p>
            <w:pPr>
              <w:ind w:left="580"/>
              <w:spacing w:after="0"/>
              <w:rPr>
                <w:sz w:val="20"/>
                <w:szCs w:val="20"/>
                <w:color w:val="auto"/>
              </w:rPr>
            </w:pPr>
            <w:r>
              <w:rPr>
                <w:rFonts w:ascii="Arial" w:cs="Arial" w:eastAsia="Arial" w:hAnsi="Arial"/>
                <w:sz w:val="18"/>
                <w:szCs w:val="18"/>
                <w:color w:val="auto"/>
              </w:rPr>
              <w:t>Delaware</w:t>
            </w:r>
          </w:p>
        </w:tc>
        <w:tc>
          <w:tcPr>
            <w:tcW w:w="428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SFI Acquest Holdings LLC</w:t>
            </w:r>
          </w:p>
        </w:tc>
        <w:tc>
          <w:tcPr>
            <w:tcW w:w="17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Delaware</w:t>
            </w:r>
          </w:p>
        </w:tc>
        <w:tc>
          <w:tcPr>
            <w:tcW w:w="4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SFI Almaden Manager LLC</w:t>
            </w:r>
          </w:p>
        </w:tc>
        <w:tc>
          <w:tcPr>
            <w:tcW w:w="1720" w:type="dxa"/>
            <w:vAlign w:val="bottom"/>
          </w:tcPr>
          <w:p>
            <w:pPr>
              <w:ind w:left="580"/>
              <w:spacing w:after="0"/>
              <w:rPr>
                <w:sz w:val="20"/>
                <w:szCs w:val="20"/>
                <w:color w:val="auto"/>
              </w:rPr>
            </w:pPr>
            <w:r>
              <w:rPr>
                <w:rFonts w:ascii="Arial" w:cs="Arial" w:eastAsia="Arial" w:hAnsi="Arial"/>
                <w:sz w:val="18"/>
                <w:szCs w:val="18"/>
                <w:color w:val="auto"/>
              </w:rPr>
              <w:t>Delaware</w:t>
            </w:r>
          </w:p>
        </w:tc>
        <w:tc>
          <w:tcPr>
            <w:tcW w:w="428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SFI Ambassador East TRS LLC</w:t>
            </w:r>
          </w:p>
        </w:tc>
        <w:tc>
          <w:tcPr>
            <w:tcW w:w="17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Delaware</w:t>
            </w:r>
          </w:p>
        </w:tc>
        <w:tc>
          <w:tcPr>
            <w:tcW w:w="4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SFI Artesia LLC</w:t>
            </w:r>
          </w:p>
        </w:tc>
        <w:tc>
          <w:tcPr>
            <w:tcW w:w="1720" w:type="dxa"/>
            <w:vAlign w:val="bottom"/>
          </w:tcPr>
          <w:p>
            <w:pPr>
              <w:ind w:left="580"/>
              <w:spacing w:after="0"/>
              <w:rPr>
                <w:sz w:val="20"/>
                <w:szCs w:val="20"/>
                <w:color w:val="auto"/>
              </w:rPr>
            </w:pPr>
            <w:r>
              <w:rPr>
                <w:rFonts w:ascii="Arial" w:cs="Arial" w:eastAsia="Arial" w:hAnsi="Arial"/>
                <w:sz w:val="18"/>
                <w:szCs w:val="18"/>
                <w:color w:val="auto"/>
              </w:rPr>
              <w:t>Delaware</w:t>
            </w:r>
          </w:p>
        </w:tc>
        <w:tc>
          <w:tcPr>
            <w:tcW w:w="4720" w:type="dxa"/>
            <w:vAlign w:val="bottom"/>
            <w:gridSpan w:val="2"/>
          </w:tcPr>
          <w:p>
            <w:pPr>
              <w:ind w:left="300"/>
              <w:spacing w:after="0"/>
              <w:rPr>
                <w:sz w:val="20"/>
                <w:szCs w:val="20"/>
                <w:color w:val="auto"/>
              </w:rPr>
            </w:pPr>
            <w:r>
              <w:rPr>
                <w:rFonts w:ascii="Arial" w:cs="Arial" w:eastAsia="Arial" w:hAnsi="Arial"/>
                <w:sz w:val="18"/>
                <w:szCs w:val="18"/>
                <w:color w:val="auto"/>
              </w:rPr>
              <w:t>SFI Artesia Retail LLC</w:t>
            </w:r>
          </w:p>
        </w:tc>
      </w:tr>
    </w:tbl>
    <w:p>
      <w:pPr>
        <w:sectPr>
          <w:pgSz w:w="11900" w:h="16838" w:orient="portrait"/>
          <w:cols w:equalWidth="0" w:num="1">
            <w:col w:w="11140"/>
          </w:cols>
          <w:pgMar w:left="380" w:top="734" w:right="379" w:bottom="1440" w:gutter="0" w:footer="0" w:header="0"/>
        </w:sectPr>
      </w:pPr>
    </w:p>
    <w:bookmarkStart w:id="137" w:name="page138"/>
    <w:bookmarkEnd w:id="1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SFI Ballpark Village LLC</w:t>
            </w:r>
          </w:p>
        </w:tc>
        <w:tc>
          <w:tcPr>
            <w:tcW w:w="23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Delaware</w:t>
            </w:r>
          </w:p>
        </w:tc>
        <w:tc>
          <w:tcPr>
            <w:tcW w:w="4800" w:type="dxa"/>
            <w:vAlign w:val="bottom"/>
            <w:shd w:val="clear" w:color="auto" w:fill="CCEEFF"/>
          </w:tcPr>
          <w:p>
            <w:pPr>
              <w:spacing w:after="0"/>
              <w:rPr>
                <w:sz w:val="23"/>
                <w:szCs w:val="23"/>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SFI Bedford LLC</w:t>
            </w:r>
          </w:p>
        </w:tc>
        <w:tc>
          <w:tcPr>
            <w:tcW w:w="2320" w:type="dxa"/>
            <w:vAlign w:val="bottom"/>
          </w:tcPr>
          <w:p>
            <w:pPr>
              <w:ind w:left="1260"/>
              <w:spacing w:after="0"/>
              <w:rPr>
                <w:sz w:val="20"/>
                <w:szCs w:val="20"/>
                <w:color w:val="auto"/>
              </w:rPr>
            </w:pPr>
            <w:r>
              <w:rPr>
                <w:rFonts w:ascii="Arial" w:cs="Arial" w:eastAsia="Arial" w:hAnsi="Arial"/>
                <w:sz w:val="18"/>
                <w:szCs w:val="18"/>
                <w:color w:val="auto"/>
              </w:rPr>
              <w:t>Delaware</w:t>
            </w:r>
          </w:p>
        </w:tc>
        <w:tc>
          <w:tcPr>
            <w:tcW w:w="4800" w:type="dxa"/>
            <w:vAlign w:val="bottom"/>
          </w:tcPr>
          <w:p>
            <w:pPr>
              <w:spacing w:after="0"/>
              <w:rPr>
                <w:sz w:val="21"/>
                <w:szCs w:val="21"/>
                <w:color w:val="auto"/>
              </w:rPr>
            </w:pPr>
          </w:p>
        </w:tc>
      </w:tr>
      <w:tr>
        <w:trPr>
          <w:trHeight w:val="27"/>
        </w:trPr>
        <w:tc>
          <w:tcPr>
            <w:tcW w:w="4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SFI Belmont LLC</w:t>
            </w:r>
          </w:p>
        </w:tc>
        <w:tc>
          <w:tcPr>
            <w:tcW w:w="232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Delaware</w:t>
            </w:r>
          </w:p>
        </w:tc>
        <w:tc>
          <w:tcPr>
            <w:tcW w:w="480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SFI BR Villa Luisa LLC</w:t>
            </w:r>
          </w:p>
        </w:tc>
        <w:tc>
          <w:tcPr>
            <w:tcW w:w="2320" w:type="dxa"/>
            <w:vAlign w:val="bottom"/>
          </w:tcPr>
          <w:p>
            <w:pPr>
              <w:ind w:left="1260"/>
              <w:spacing w:after="0"/>
              <w:rPr>
                <w:sz w:val="20"/>
                <w:szCs w:val="20"/>
                <w:color w:val="auto"/>
              </w:rPr>
            </w:pPr>
            <w:r>
              <w:rPr>
                <w:rFonts w:ascii="Arial" w:cs="Arial" w:eastAsia="Arial" w:hAnsi="Arial"/>
                <w:sz w:val="18"/>
                <w:szCs w:val="18"/>
                <w:color w:val="auto"/>
              </w:rPr>
              <w:t>Delaware</w:t>
            </w:r>
          </w:p>
        </w:tc>
        <w:tc>
          <w:tcPr>
            <w:tcW w:w="4800" w:type="dxa"/>
            <w:vAlign w:val="bottom"/>
          </w:tcPr>
          <w:p>
            <w:pPr>
              <w:spacing w:after="0"/>
              <w:rPr>
                <w:sz w:val="21"/>
                <w:szCs w:val="21"/>
                <w:color w:val="auto"/>
              </w:rPr>
            </w:pPr>
          </w:p>
        </w:tc>
      </w:tr>
      <w:tr>
        <w:trPr>
          <w:trHeight w:val="27"/>
        </w:trPr>
        <w:tc>
          <w:tcPr>
            <w:tcW w:w="4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SFI Bridgeview LLC</w:t>
            </w:r>
          </w:p>
        </w:tc>
        <w:tc>
          <w:tcPr>
            <w:tcW w:w="232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Delaware</w:t>
            </w:r>
          </w:p>
        </w:tc>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SFI Harbor View LLC</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SFI Bullseye - Chicago LLC</w:t>
            </w:r>
          </w:p>
        </w:tc>
        <w:tc>
          <w:tcPr>
            <w:tcW w:w="2320" w:type="dxa"/>
            <w:vAlign w:val="bottom"/>
          </w:tcPr>
          <w:p>
            <w:pPr>
              <w:ind w:left="1260"/>
              <w:spacing w:after="0"/>
              <w:rPr>
                <w:sz w:val="20"/>
                <w:szCs w:val="20"/>
                <w:color w:val="auto"/>
              </w:rPr>
            </w:pPr>
            <w:r>
              <w:rPr>
                <w:rFonts w:ascii="Arial" w:cs="Arial" w:eastAsia="Arial" w:hAnsi="Arial"/>
                <w:sz w:val="18"/>
                <w:szCs w:val="18"/>
                <w:color w:val="auto"/>
              </w:rPr>
              <w:t>Delaware</w:t>
            </w:r>
          </w:p>
        </w:tc>
        <w:tc>
          <w:tcPr>
            <w:tcW w:w="4800" w:type="dxa"/>
            <w:vAlign w:val="bottom"/>
          </w:tcPr>
          <w:p>
            <w:pPr>
              <w:spacing w:after="0"/>
              <w:rPr>
                <w:sz w:val="21"/>
                <w:szCs w:val="21"/>
                <w:color w:val="auto"/>
              </w:rPr>
            </w:pPr>
          </w:p>
        </w:tc>
      </w:tr>
      <w:tr>
        <w:trPr>
          <w:trHeight w:val="27"/>
        </w:trPr>
        <w:tc>
          <w:tcPr>
            <w:tcW w:w="4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SFI Cascade Highlands LLC</w:t>
            </w:r>
          </w:p>
        </w:tc>
        <w:tc>
          <w:tcPr>
            <w:tcW w:w="232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Delaware</w:t>
            </w:r>
          </w:p>
        </w:tc>
        <w:tc>
          <w:tcPr>
            <w:tcW w:w="480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SFI Chicago Tollway LLC</w:t>
            </w:r>
          </w:p>
        </w:tc>
        <w:tc>
          <w:tcPr>
            <w:tcW w:w="2320" w:type="dxa"/>
            <w:vAlign w:val="bottom"/>
          </w:tcPr>
          <w:p>
            <w:pPr>
              <w:ind w:left="1260"/>
              <w:spacing w:after="0"/>
              <w:rPr>
                <w:sz w:val="20"/>
                <w:szCs w:val="20"/>
                <w:color w:val="auto"/>
              </w:rPr>
            </w:pPr>
            <w:r>
              <w:rPr>
                <w:rFonts w:ascii="Arial" w:cs="Arial" w:eastAsia="Arial" w:hAnsi="Arial"/>
                <w:sz w:val="18"/>
                <w:szCs w:val="18"/>
                <w:color w:val="auto"/>
              </w:rPr>
              <w:t>Delaware</w:t>
            </w:r>
          </w:p>
        </w:tc>
        <w:tc>
          <w:tcPr>
            <w:tcW w:w="4800" w:type="dxa"/>
            <w:vAlign w:val="bottom"/>
          </w:tcPr>
          <w:p>
            <w:pPr>
              <w:ind w:left="380"/>
              <w:spacing w:after="0"/>
              <w:rPr>
                <w:sz w:val="20"/>
                <w:szCs w:val="20"/>
                <w:color w:val="auto"/>
              </w:rPr>
            </w:pPr>
            <w:r>
              <w:rPr>
                <w:rFonts w:ascii="Arial" w:cs="Arial" w:eastAsia="Arial" w:hAnsi="Arial"/>
                <w:sz w:val="18"/>
                <w:szCs w:val="18"/>
                <w:color w:val="auto"/>
              </w:rPr>
              <w:t>SFI Wilton Oases LLC</w:t>
            </w:r>
          </w:p>
        </w:tc>
      </w:tr>
      <w:tr>
        <w:trPr>
          <w:trHeight w:val="27"/>
        </w:trPr>
        <w:tc>
          <w:tcPr>
            <w:tcW w:w="4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SFI Coney Island Manager LLC</w:t>
            </w:r>
          </w:p>
        </w:tc>
        <w:tc>
          <w:tcPr>
            <w:tcW w:w="232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Delaware</w:t>
            </w:r>
          </w:p>
        </w:tc>
        <w:tc>
          <w:tcPr>
            <w:tcW w:w="480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SFI CWD Venture Manager LLC</w:t>
            </w:r>
          </w:p>
        </w:tc>
        <w:tc>
          <w:tcPr>
            <w:tcW w:w="2320" w:type="dxa"/>
            <w:vAlign w:val="bottom"/>
          </w:tcPr>
          <w:p>
            <w:pPr>
              <w:ind w:left="1260"/>
              <w:spacing w:after="0"/>
              <w:rPr>
                <w:sz w:val="20"/>
                <w:szCs w:val="20"/>
                <w:color w:val="auto"/>
              </w:rPr>
            </w:pPr>
            <w:r>
              <w:rPr>
                <w:rFonts w:ascii="Arial" w:cs="Arial" w:eastAsia="Arial" w:hAnsi="Arial"/>
                <w:sz w:val="18"/>
                <w:szCs w:val="18"/>
                <w:color w:val="auto"/>
              </w:rPr>
              <w:t>Delaware</w:t>
            </w:r>
          </w:p>
        </w:tc>
        <w:tc>
          <w:tcPr>
            <w:tcW w:w="4800" w:type="dxa"/>
            <w:vAlign w:val="bottom"/>
          </w:tcPr>
          <w:p>
            <w:pPr>
              <w:spacing w:after="0"/>
              <w:rPr>
                <w:sz w:val="21"/>
                <w:szCs w:val="21"/>
                <w:color w:val="auto"/>
              </w:rPr>
            </w:pPr>
          </w:p>
        </w:tc>
      </w:tr>
      <w:tr>
        <w:trPr>
          <w:trHeight w:val="27"/>
        </w:trPr>
        <w:tc>
          <w:tcPr>
            <w:tcW w:w="4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SFI DT Holdings LLC</w:t>
            </w:r>
          </w:p>
        </w:tc>
        <w:tc>
          <w:tcPr>
            <w:tcW w:w="232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Delaware</w:t>
            </w:r>
          </w:p>
        </w:tc>
        <w:tc>
          <w:tcPr>
            <w:tcW w:w="480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SFI Eagle Land LLC</w:t>
            </w:r>
          </w:p>
        </w:tc>
        <w:tc>
          <w:tcPr>
            <w:tcW w:w="2320" w:type="dxa"/>
            <w:vAlign w:val="bottom"/>
          </w:tcPr>
          <w:p>
            <w:pPr>
              <w:ind w:left="1260"/>
              <w:spacing w:after="0"/>
              <w:rPr>
                <w:sz w:val="20"/>
                <w:szCs w:val="20"/>
                <w:color w:val="auto"/>
              </w:rPr>
            </w:pPr>
            <w:r>
              <w:rPr>
                <w:rFonts w:ascii="Arial" w:cs="Arial" w:eastAsia="Arial" w:hAnsi="Arial"/>
                <w:sz w:val="18"/>
                <w:szCs w:val="18"/>
                <w:color w:val="auto"/>
              </w:rPr>
              <w:t>Delaware</w:t>
            </w:r>
          </w:p>
        </w:tc>
        <w:tc>
          <w:tcPr>
            <w:tcW w:w="4800" w:type="dxa"/>
            <w:vAlign w:val="bottom"/>
          </w:tcPr>
          <w:p>
            <w:pPr>
              <w:spacing w:after="0"/>
              <w:rPr>
                <w:sz w:val="21"/>
                <w:szCs w:val="21"/>
                <w:color w:val="auto"/>
              </w:rPr>
            </w:pPr>
          </w:p>
        </w:tc>
      </w:tr>
      <w:tr>
        <w:trPr>
          <w:trHeight w:val="27"/>
        </w:trPr>
        <w:tc>
          <w:tcPr>
            <w:tcW w:w="4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SFI Emery Bay Participant LLC</w:t>
            </w:r>
          </w:p>
        </w:tc>
        <w:tc>
          <w:tcPr>
            <w:tcW w:w="232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Delaware</w:t>
            </w:r>
          </w:p>
        </w:tc>
        <w:tc>
          <w:tcPr>
            <w:tcW w:w="480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SFI Euro Holdings LLC</w:t>
            </w:r>
          </w:p>
        </w:tc>
        <w:tc>
          <w:tcPr>
            <w:tcW w:w="2320" w:type="dxa"/>
            <w:vAlign w:val="bottom"/>
          </w:tcPr>
          <w:p>
            <w:pPr>
              <w:ind w:left="1260"/>
              <w:spacing w:after="0"/>
              <w:rPr>
                <w:sz w:val="20"/>
                <w:szCs w:val="20"/>
                <w:color w:val="auto"/>
              </w:rPr>
            </w:pPr>
            <w:r>
              <w:rPr>
                <w:rFonts w:ascii="Arial" w:cs="Arial" w:eastAsia="Arial" w:hAnsi="Arial"/>
                <w:sz w:val="18"/>
                <w:szCs w:val="18"/>
                <w:color w:val="auto"/>
              </w:rPr>
              <w:t>Delaware</w:t>
            </w:r>
          </w:p>
        </w:tc>
        <w:tc>
          <w:tcPr>
            <w:tcW w:w="4800" w:type="dxa"/>
            <w:vAlign w:val="bottom"/>
          </w:tcPr>
          <w:p>
            <w:pPr>
              <w:spacing w:after="0"/>
              <w:rPr>
                <w:sz w:val="21"/>
                <w:szCs w:val="21"/>
                <w:color w:val="auto"/>
              </w:rPr>
            </w:pPr>
          </w:p>
        </w:tc>
      </w:tr>
      <w:tr>
        <w:trPr>
          <w:trHeight w:val="27"/>
        </w:trPr>
        <w:tc>
          <w:tcPr>
            <w:tcW w:w="4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SFI Euro Holdings II LLC</w:t>
            </w:r>
          </w:p>
        </w:tc>
        <w:tc>
          <w:tcPr>
            <w:tcW w:w="232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Delaware</w:t>
            </w:r>
          </w:p>
        </w:tc>
        <w:tc>
          <w:tcPr>
            <w:tcW w:w="480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SFI Ford City - Chicago LLC</w:t>
            </w:r>
          </w:p>
        </w:tc>
        <w:tc>
          <w:tcPr>
            <w:tcW w:w="2320" w:type="dxa"/>
            <w:vAlign w:val="bottom"/>
          </w:tcPr>
          <w:p>
            <w:pPr>
              <w:ind w:left="1260"/>
              <w:spacing w:after="0"/>
              <w:rPr>
                <w:sz w:val="20"/>
                <w:szCs w:val="20"/>
                <w:color w:val="auto"/>
              </w:rPr>
            </w:pPr>
            <w:r>
              <w:rPr>
                <w:rFonts w:ascii="Arial" w:cs="Arial" w:eastAsia="Arial" w:hAnsi="Arial"/>
                <w:sz w:val="18"/>
                <w:szCs w:val="18"/>
                <w:color w:val="auto"/>
              </w:rPr>
              <w:t>Delaware</w:t>
            </w:r>
          </w:p>
        </w:tc>
        <w:tc>
          <w:tcPr>
            <w:tcW w:w="4800" w:type="dxa"/>
            <w:vAlign w:val="bottom"/>
          </w:tcPr>
          <w:p>
            <w:pPr>
              <w:spacing w:after="0"/>
              <w:rPr>
                <w:sz w:val="21"/>
                <w:szCs w:val="21"/>
                <w:color w:val="auto"/>
              </w:rPr>
            </w:pPr>
          </w:p>
        </w:tc>
      </w:tr>
      <w:tr>
        <w:trPr>
          <w:trHeight w:val="27"/>
        </w:trPr>
        <w:tc>
          <w:tcPr>
            <w:tcW w:w="4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SFI Ginn Investments LLC</w:t>
            </w:r>
          </w:p>
        </w:tc>
        <w:tc>
          <w:tcPr>
            <w:tcW w:w="232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Delaware</w:t>
            </w:r>
          </w:p>
        </w:tc>
        <w:tc>
          <w:tcPr>
            <w:tcW w:w="480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SFI Gold Coast Partner LLC</w:t>
            </w:r>
          </w:p>
        </w:tc>
        <w:tc>
          <w:tcPr>
            <w:tcW w:w="2320" w:type="dxa"/>
            <w:vAlign w:val="bottom"/>
          </w:tcPr>
          <w:p>
            <w:pPr>
              <w:ind w:left="1260"/>
              <w:spacing w:after="0"/>
              <w:rPr>
                <w:sz w:val="20"/>
                <w:szCs w:val="20"/>
                <w:color w:val="auto"/>
              </w:rPr>
            </w:pPr>
            <w:r>
              <w:rPr>
                <w:rFonts w:ascii="Arial" w:cs="Arial" w:eastAsia="Arial" w:hAnsi="Arial"/>
                <w:sz w:val="18"/>
                <w:szCs w:val="18"/>
                <w:color w:val="auto"/>
              </w:rPr>
              <w:t>Delaware</w:t>
            </w:r>
          </w:p>
        </w:tc>
        <w:tc>
          <w:tcPr>
            <w:tcW w:w="4800" w:type="dxa"/>
            <w:vAlign w:val="bottom"/>
          </w:tcPr>
          <w:p>
            <w:pPr>
              <w:spacing w:after="0"/>
              <w:rPr>
                <w:sz w:val="21"/>
                <w:szCs w:val="21"/>
                <w:color w:val="auto"/>
              </w:rPr>
            </w:pPr>
          </w:p>
        </w:tc>
      </w:tr>
      <w:tr>
        <w:trPr>
          <w:trHeight w:val="27"/>
        </w:trPr>
        <w:tc>
          <w:tcPr>
            <w:tcW w:w="4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SFI Golden Hills-Vacaville LLC</w:t>
            </w:r>
          </w:p>
        </w:tc>
        <w:tc>
          <w:tcPr>
            <w:tcW w:w="232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Delaware</w:t>
            </w:r>
          </w:p>
        </w:tc>
        <w:tc>
          <w:tcPr>
            <w:tcW w:w="480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SFI Grand Vista LLC</w:t>
            </w:r>
          </w:p>
        </w:tc>
        <w:tc>
          <w:tcPr>
            <w:tcW w:w="2320" w:type="dxa"/>
            <w:vAlign w:val="bottom"/>
          </w:tcPr>
          <w:p>
            <w:pPr>
              <w:ind w:left="1260"/>
              <w:spacing w:after="0"/>
              <w:rPr>
                <w:sz w:val="20"/>
                <w:szCs w:val="20"/>
                <w:color w:val="auto"/>
              </w:rPr>
            </w:pPr>
            <w:r>
              <w:rPr>
                <w:rFonts w:ascii="Arial" w:cs="Arial" w:eastAsia="Arial" w:hAnsi="Arial"/>
                <w:sz w:val="18"/>
                <w:szCs w:val="18"/>
                <w:color w:val="auto"/>
              </w:rPr>
              <w:t>Delaware</w:t>
            </w:r>
          </w:p>
        </w:tc>
        <w:tc>
          <w:tcPr>
            <w:tcW w:w="4800" w:type="dxa"/>
            <w:vAlign w:val="bottom"/>
          </w:tcPr>
          <w:p>
            <w:pPr>
              <w:spacing w:after="0"/>
              <w:rPr>
                <w:sz w:val="21"/>
                <w:szCs w:val="21"/>
                <w:color w:val="auto"/>
              </w:rPr>
            </w:pPr>
          </w:p>
        </w:tc>
      </w:tr>
      <w:tr>
        <w:trPr>
          <w:trHeight w:val="27"/>
        </w:trPr>
        <w:tc>
          <w:tcPr>
            <w:tcW w:w="4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SFI Harborspire GenPar LLC</w:t>
            </w:r>
          </w:p>
        </w:tc>
        <w:tc>
          <w:tcPr>
            <w:tcW w:w="232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Delaware</w:t>
            </w:r>
          </w:p>
        </w:tc>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328-342 Washington Blvd-Jersey City GenPar LLC</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SFI Harborspire LimPar LLC</w:t>
            </w:r>
          </w:p>
        </w:tc>
        <w:tc>
          <w:tcPr>
            <w:tcW w:w="2320" w:type="dxa"/>
            <w:vAlign w:val="bottom"/>
          </w:tcPr>
          <w:p>
            <w:pPr>
              <w:ind w:left="1260"/>
              <w:spacing w:after="0"/>
              <w:rPr>
                <w:sz w:val="20"/>
                <w:szCs w:val="20"/>
                <w:color w:val="auto"/>
              </w:rPr>
            </w:pPr>
            <w:r>
              <w:rPr>
                <w:rFonts w:ascii="Arial" w:cs="Arial" w:eastAsia="Arial" w:hAnsi="Arial"/>
                <w:sz w:val="18"/>
                <w:szCs w:val="18"/>
                <w:color w:val="auto"/>
              </w:rPr>
              <w:t>Delaware</w:t>
            </w:r>
          </w:p>
        </w:tc>
        <w:tc>
          <w:tcPr>
            <w:tcW w:w="4800" w:type="dxa"/>
            <w:vAlign w:val="bottom"/>
          </w:tcPr>
          <w:p>
            <w:pPr>
              <w:ind w:left="380"/>
              <w:spacing w:after="0"/>
              <w:rPr>
                <w:sz w:val="20"/>
                <w:szCs w:val="20"/>
                <w:color w:val="auto"/>
              </w:rPr>
            </w:pPr>
            <w:r>
              <w:rPr>
                <w:rFonts w:ascii="Arial" w:cs="Arial" w:eastAsia="Arial" w:hAnsi="Arial"/>
                <w:sz w:val="18"/>
                <w:szCs w:val="18"/>
                <w:color w:val="auto"/>
              </w:rPr>
              <w:t>328-342 Washington Blvd-Jersey City LimPar LLC</w:t>
            </w:r>
          </w:p>
        </w:tc>
      </w:tr>
      <w:tr>
        <w:trPr>
          <w:trHeight w:val="27"/>
        </w:trPr>
        <w:tc>
          <w:tcPr>
            <w:tcW w:w="4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SFI I, LLC</w:t>
            </w:r>
          </w:p>
        </w:tc>
        <w:tc>
          <w:tcPr>
            <w:tcW w:w="232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Delaware</w:t>
            </w:r>
          </w:p>
        </w:tc>
        <w:tc>
          <w:tcPr>
            <w:tcW w:w="480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SFI Ilikai 104 LLC</w:t>
            </w:r>
          </w:p>
        </w:tc>
        <w:tc>
          <w:tcPr>
            <w:tcW w:w="2320" w:type="dxa"/>
            <w:vAlign w:val="bottom"/>
          </w:tcPr>
          <w:p>
            <w:pPr>
              <w:ind w:left="1260"/>
              <w:spacing w:after="0"/>
              <w:rPr>
                <w:sz w:val="20"/>
                <w:szCs w:val="20"/>
                <w:color w:val="auto"/>
              </w:rPr>
            </w:pPr>
            <w:r>
              <w:rPr>
                <w:rFonts w:ascii="Arial" w:cs="Arial" w:eastAsia="Arial" w:hAnsi="Arial"/>
                <w:sz w:val="18"/>
                <w:szCs w:val="18"/>
                <w:color w:val="auto"/>
              </w:rPr>
              <w:t>Delaware</w:t>
            </w:r>
          </w:p>
        </w:tc>
        <w:tc>
          <w:tcPr>
            <w:tcW w:w="4800" w:type="dxa"/>
            <w:vAlign w:val="bottom"/>
          </w:tcPr>
          <w:p>
            <w:pPr>
              <w:spacing w:after="0"/>
              <w:rPr>
                <w:sz w:val="21"/>
                <w:szCs w:val="21"/>
                <w:color w:val="auto"/>
              </w:rPr>
            </w:pPr>
          </w:p>
        </w:tc>
      </w:tr>
      <w:tr>
        <w:trPr>
          <w:trHeight w:val="27"/>
        </w:trPr>
        <w:tc>
          <w:tcPr>
            <w:tcW w:w="4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SFI Ilikai GenPar LLC</w:t>
            </w:r>
          </w:p>
        </w:tc>
        <w:tc>
          <w:tcPr>
            <w:tcW w:w="232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Delaware</w:t>
            </w:r>
          </w:p>
        </w:tc>
        <w:tc>
          <w:tcPr>
            <w:tcW w:w="480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SFI Ilikai LL Parent Inc.</w:t>
            </w:r>
          </w:p>
        </w:tc>
        <w:tc>
          <w:tcPr>
            <w:tcW w:w="2320" w:type="dxa"/>
            <w:vAlign w:val="bottom"/>
          </w:tcPr>
          <w:p>
            <w:pPr>
              <w:ind w:left="1260"/>
              <w:spacing w:after="0"/>
              <w:rPr>
                <w:sz w:val="20"/>
                <w:szCs w:val="20"/>
                <w:color w:val="auto"/>
              </w:rPr>
            </w:pPr>
            <w:r>
              <w:rPr>
                <w:rFonts w:ascii="Arial" w:cs="Arial" w:eastAsia="Arial" w:hAnsi="Arial"/>
                <w:sz w:val="18"/>
                <w:szCs w:val="18"/>
                <w:color w:val="auto"/>
              </w:rPr>
              <w:t>Delaware</w:t>
            </w:r>
          </w:p>
        </w:tc>
        <w:tc>
          <w:tcPr>
            <w:tcW w:w="4800" w:type="dxa"/>
            <w:vAlign w:val="bottom"/>
          </w:tcPr>
          <w:p>
            <w:pPr>
              <w:spacing w:after="0"/>
              <w:rPr>
                <w:sz w:val="21"/>
                <w:szCs w:val="21"/>
                <w:color w:val="auto"/>
              </w:rPr>
            </w:pPr>
          </w:p>
        </w:tc>
      </w:tr>
      <w:tr>
        <w:trPr>
          <w:trHeight w:val="27"/>
        </w:trPr>
        <w:tc>
          <w:tcPr>
            <w:tcW w:w="4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SFI Ilikai LL Inc.</w:t>
            </w:r>
          </w:p>
        </w:tc>
        <w:tc>
          <w:tcPr>
            <w:tcW w:w="232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Delaware</w:t>
            </w:r>
          </w:p>
        </w:tc>
        <w:tc>
          <w:tcPr>
            <w:tcW w:w="480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SFI Ilikai LP</w:t>
            </w:r>
          </w:p>
        </w:tc>
        <w:tc>
          <w:tcPr>
            <w:tcW w:w="2320" w:type="dxa"/>
            <w:vAlign w:val="bottom"/>
          </w:tcPr>
          <w:p>
            <w:pPr>
              <w:ind w:left="1260"/>
              <w:spacing w:after="0"/>
              <w:rPr>
                <w:sz w:val="20"/>
                <w:szCs w:val="20"/>
                <w:color w:val="auto"/>
              </w:rPr>
            </w:pPr>
            <w:r>
              <w:rPr>
                <w:rFonts w:ascii="Arial" w:cs="Arial" w:eastAsia="Arial" w:hAnsi="Arial"/>
                <w:sz w:val="18"/>
                <w:szCs w:val="18"/>
                <w:color w:val="auto"/>
              </w:rPr>
              <w:t>Delaware</w:t>
            </w:r>
          </w:p>
        </w:tc>
        <w:tc>
          <w:tcPr>
            <w:tcW w:w="4800" w:type="dxa"/>
            <w:vAlign w:val="bottom"/>
          </w:tcPr>
          <w:p>
            <w:pPr>
              <w:ind w:left="380"/>
              <w:spacing w:after="0"/>
              <w:rPr>
                <w:sz w:val="20"/>
                <w:szCs w:val="20"/>
                <w:color w:val="auto"/>
              </w:rPr>
            </w:pPr>
            <w:r>
              <w:rPr>
                <w:rFonts w:ascii="Arial" w:cs="Arial" w:eastAsia="Arial" w:hAnsi="Arial"/>
                <w:sz w:val="18"/>
                <w:szCs w:val="18"/>
                <w:color w:val="auto"/>
              </w:rPr>
              <w:t>SFI Ilikai TRS LLC</w:t>
            </w:r>
          </w:p>
        </w:tc>
      </w:tr>
      <w:tr>
        <w:trPr>
          <w:trHeight w:val="27"/>
        </w:trPr>
        <w:tc>
          <w:tcPr>
            <w:tcW w:w="4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SFI Ilikai Property Owner LLC</w:t>
            </w:r>
          </w:p>
        </w:tc>
        <w:tc>
          <w:tcPr>
            <w:tcW w:w="232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Delaware</w:t>
            </w:r>
          </w:p>
        </w:tc>
        <w:tc>
          <w:tcPr>
            <w:tcW w:w="480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SFI Ilikai Retail Owner LLC</w:t>
            </w:r>
          </w:p>
        </w:tc>
        <w:tc>
          <w:tcPr>
            <w:tcW w:w="2320" w:type="dxa"/>
            <w:vAlign w:val="bottom"/>
          </w:tcPr>
          <w:p>
            <w:pPr>
              <w:ind w:left="1260"/>
              <w:spacing w:after="0"/>
              <w:rPr>
                <w:sz w:val="20"/>
                <w:szCs w:val="20"/>
                <w:color w:val="auto"/>
              </w:rPr>
            </w:pPr>
            <w:r>
              <w:rPr>
                <w:rFonts w:ascii="Arial" w:cs="Arial" w:eastAsia="Arial" w:hAnsi="Arial"/>
                <w:sz w:val="18"/>
                <w:szCs w:val="18"/>
                <w:color w:val="auto"/>
              </w:rPr>
              <w:t>Delaware</w:t>
            </w:r>
          </w:p>
        </w:tc>
        <w:tc>
          <w:tcPr>
            <w:tcW w:w="4800" w:type="dxa"/>
            <w:vAlign w:val="bottom"/>
          </w:tcPr>
          <w:p>
            <w:pPr>
              <w:spacing w:after="0"/>
              <w:rPr>
                <w:sz w:val="21"/>
                <w:szCs w:val="21"/>
                <w:color w:val="auto"/>
              </w:rPr>
            </w:pPr>
          </w:p>
        </w:tc>
      </w:tr>
      <w:tr>
        <w:trPr>
          <w:trHeight w:val="27"/>
        </w:trPr>
        <w:tc>
          <w:tcPr>
            <w:tcW w:w="4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SFI Kauai GenPar LLC</w:t>
            </w:r>
          </w:p>
        </w:tc>
        <w:tc>
          <w:tcPr>
            <w:tcW w:w="232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Delaware</w:t>
            </w:r>
          </w:p>
        </w:tc>
        <w:tc>
          <w:tcPr>
            <w:tcW w:w="480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SFI Kauai LP</w:t>
            </w:r>
          </w:p>
        </w:tc>
        <w:tc>
          <w:tcPr>
            <w:tcW w:w="2320" w:type="dxa"/>
            <w:vAlign w:val="bottom"/>
          </w:tcPr>
          <w:p>
            <w:pPr>
              <w:ind w:left="1260"/>
              <w:spacing w:after="0"/>
              <w:rPr>
                <w:sz w:val="20"/>
                <w:szCs w:val="20"/>
                <w:color w:val="auto"/>
              </w:rPr>
            </w:pPr>
            <w:r>
              <w:rPr>
                <w:rFonts w:ascii="Arial" w:cs="Arial" w:eastAsia="Arial" w:hAnsi="Arial"/>
                <w:sz w:val="18"/>
                <w:szCs w:val="18"/>
                <w:color w:val="auto"/>
              </w:rPr>
              <w:t>Delaware</w:t>
            </w:r>
          </w:p>
        </w:tc>
        <w:tc>
          <w:tcPr>
            <w:tcW w:w="4800" w:type="dxa"/>
            <w:vAlign w:val="bottom"/>
          </w:tcPr>
          <w:p>
            <w:pPr>
              <w:ind w:left="380"/>
              <w:spacing w:after="0"/>
              <w:rPr>
                <w:sz w:val="20"/>
                <w:szCs w:val="20"/>
                <w:color w:val="auto"/>
              </w:rPr>
            </w:pPr>
            <w:r>
              <w:rPr>
                <w:rFonts w:ascii="Arial" w:cs="Arial" w:eastAsia="Arial" w:hAnsi="Arial"/>
                <w:sz w:val="18"/>
                <w:szCs w:val="18"/>
                <w:color w:val="auto"/>
              </w:rPr>
              <w:t>SFI Kauai TRS LLC</w:t>
            </w:r>
          </w:p>
        </w:tc>
      </w:tr>
      <w:tr>
        <w:trPr>
          <w:trHeight w:val="27"/>
        </w:trPr>
        <w:tc>
          <w:tcPr>
            <w:tcW w:w="4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SFI Kauai Operator LLC</w:t>
            </w:r>
          </w:p>
        </w:tc>
        <w:tc>
          <w:tcPr>
            <w:tcW w:w="232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Delaware</w:t>
            </w:r>
          </w:p>
        </w:tc>
        <w:tc>
          <w:tcPr>
            <w:tcW w:w="480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SFI Kauai Owner LLC</w:t>
            </w:r>
          </w:p>
        </w:tc>
        <w:tc>
          <w:tcPr>
            <w:tcW w:w="2320" w:type="dxa"/>
            <w:vAlign w:val="bottom"/>
          </w:tcPr>
          <w:p>
            <w:pPr>
              <w:ind w:left="1260"/>
              <w:spacing w:after="0"/>
              <w:rPr>
                <w:sz w:val="20"/>
                <w:szCs w:val="20"/>
                <w:color w:val="auto"/>
              </w:rPr>
            </w:pPr>
            <w:r>
              <w:rPr>
                <w:rFonts w:ascii="Arial" w:cs="Arial" w:eastAsia="Arial" w:hAnsi="Arial"/>
                <w:sz w:val="18"/>
                <w:szCs w:val="18"/>
                <w:color w:val="auto"/>
              </w:rPr>
              <w:t>Delaware</w:t>
            </w:r>
          </w:p>
        </w:tc>
        <w:tc>
          <w:tcPr>
            <w:tcW w:w="4800" w:type="dxa"/>
            <w:vAlign w:val="bottom"/>
          </w:tcPr>
          <w:p>
            <w:pPr>
              <w:spacing w:after="0"/>
              <w:rPr>
                <w:sz w:val="21"/>
                <w:szCs w:val="21"/>
                <w:color w:val="auto"/>
              </w:rPr>
            </w:pPr>
          </w:p>
        </w:tc>
      </w:tr>
      <w:tr>
        <w:trPr>
          <w:trHeight w:val="27"/>
        </w:trPr>
        <w:tc>
          <w:tcPr>
            <w:tcW w:w="4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SFI Key West Harbour Holdings LLC</w:t>
            </w:r>
          </w:p>
        </w:tc>
        <w:tc>
          <w:tcPr>
            <w:tcW w:w="232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Delaware</w:t>
            </w:r>
          </w:p>
        </w:tc>
        <w:tc>
          <w:tcPr>
            <w:tcW w:w="480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SFI Key West Marina LLC</w:t>
            </w:r>
          </w:p>
        </w:tc>
        <w:tc>
          <w:tcPr>
            <w:tcW w:w="2320" w:type="dxa"/>
            <w:vAlign w:val="bottom"/>
          </w:tcPr>
          <w:p>
            <w:pPr>
              <w:ind w:left="1260"/>
              <w:spacing w:after="0"/>
              <w:rPr>
                <w:sz w:val="20"/>
                <w:szCs w:val="20"/>
                <w:color w:val="auto"/>
              </w:rPr>
            </w:pPr>
            <w:r>
              <w:rPr>
                <w:rFonts w:ascii="Arial" w:cs="Arial" w:eastAsia="Arial" w:hAnsi="Arial"/>
                <w:sz w:val="18"/>
                <w:szCs w:val="18"/>
                <w:color w:val="auto"/>
              </w:rPr>
              <w:t>Delaware</w:t>
            </w:r>
          </w:p>
        </w:tc>
        <w:tc>
          <w:tcPr>
            <w:tcW w:w="4800" w:type="dxa"/>
            <w:vAlign w:val="bottom"/>
          </w:tcPr>
          <w:p>
            <w:pPr>
              <w:spacing w:after="0"/>
              <w:rPr>
                <w:sz w:val="21"/>
                <w:szCs w:val="21"/>
                <w:color w:val="auto"/>
              </w:rPr>
            </w:pPr>
          </w:p>
        </w:tc>
      </w:tr>
      <w:tr>
        <w:trPr>
          <w:trHeight w:val="27"/>
        </w:trPr>
        <w:tc>
          <w:tcPr>
            <w:tcW w:w="4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SFI Kua 4 Partner LLC</w:t>
            </w:r>
          </w:p>
        </w:tc>
        <w:tc>
          <w:tcPr>
            <w:tcW w:w="232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Delaware</w:t>
            </w:r>
          </w:p>
        </w:tc>
        <w:tc>
          <w:tcPr>
            <w:tcW w:w="480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SFI Los Valles LLC</w:t>
            </w:r>
          </w:p>
        </w:tc>
        <w:tc>
          <w:tcPr>
            <w:tcW w:w="2320" w:type="dxa"/>
            <w:vAlign w:val="bottom"/>
          </w:tcPr>
          <w:p>
            <w:pPr>
              <w:ind w:left="1260"/>
              <w:spacing w:after="0"/>
              <w:rPr>
                <w:sz w:val="20"/>
                <w:szCs w:val="20"/>
                <w:color w:val="auto"/>
              </w:rPr>
            </w:pPr>
            <w:r>
              <w:rPr>
                <w:rFonts w:ascii="Arial" w:cs="Arial" w:eastAsia="Arial" w:hAnsi="Arial"/>
                <w:sz w:val="18"/>
                <w:szCs w:val="18"/>
                <w:color w:val="auto"/>
              </w:rPr>
              <w:t>Delaware</w:t>
            </w:r>
          </w:p>
        </w:tc>
        <w:tc>
          <w:tcPr>
            <w:tcW w:w="4800" w:type="dxa"/>
            <w:vAlign w:val="bottom"/>
          </w:tcPr>
          <w:p>
            <w:pPr>
              <w:ind w:left="380"/>
              <w:spacing w:after="0"/>
              <w:rPr>
                <w:sz w:val="20"/>
                <w:szCs w:val="20"/>
                <w:color w:val="auto"/>
              </w:rPr>
            </w:pPr>
            <w:r>
              <w:rPr>
                <w:rFonts w:ascii="Arial" w:cs="Arial" w:eastAsia="Arial" w:hAnsi="Arial"/>
                <w:sz w:val="18"/>
                <w:szCs w:val="18"/>
                <w:color w:val="auto"/>
              </w:rPr>
              <w:t>Los Valles REO LLC</w:t>
            </w:r>
          </w:p>
        </w:tc>
      </w:tr>
      <w:tr>
        <w:trPr>
          <w:trHeight w:val="27"/>
        </w:trPr>
        <w:tc>
          <w:tcPr>
            <w:tcW w:w="4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SFI Magnolia Avenue-Riverside LLC</w:t>
            </w:r>
          </w:p>
        </w:tc>
        <w:tc>
          <w:tcPr>
            <w:tcW w:w="232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Delaware</w:t>
            </w:r>
          </w:p>
        </w:tc>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SFI Emperor Estates - Riverside County LLC</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SFI Mammoth Crossing LLC</w:t>
            </w:r>
          </w:p>
        </w:tc>
        <w:tc>
          <w:tcPr>
            <w:tcW w:w="2320" w:type="dxa"/>
            <w:vAlign w:val="bottom"/>
          </w:tcPr>
          <w:p>
            <w:pPr>
              <w:ind w:left="1260"/>
              <w:spacing w:after="0"/>
              <w:rPr>
                <w:sz w:val="20"/>
                <w:szCs w:val="20"/>
                <w:color w:val="auto"/>
              </w:rPr>
            </w:pPr>
            <w:r>
              <w:rPr>
                <w:rFonts w:ascii="Arial" w:cs="Arial" w:eastAsia="Arial" w:hAnsi="Arial"/>
                <w:sz w:val="18"/>
                <w:szCs w:val="18"/>
                <w:color w:val="auto"/>
              </w:rPr>
              <w:t>Delaware</w:t>
            </w:r>
          </w:p>
        </w:tc>
        <w:tc>
          <w:tcPr>
            <w:tcW w:w="4800" w:type="dxa"/>
            <w:vAlign w:val="bottom"/>
          </w:tcPr>
          <w:p>
            <w:pPr>
              <w:ind w:left="380"/>
              <w:spacing w:after="0"/>
              <w:rPr>
                <w:sz w:val="20"/>
                <w:szCs w:val="20"/>
                <w:color w:val="auto"/>
              </w:rPr>
            </w:pPr>
            <w:r>
              <w:rPr>
                <w:rFonts w:ascii="Arial" w:cs="Arial" w:eastAsia="Arial" w:hAnsi="Arial"/>
                <w:sz w:val="18"/>
                <w:szCs w:val="18"/>
                <w:color w:val="auto"/>
              </w:rPr>
              <w:t>SFI West Hills - Riverside County LLC</w:t>
            </w:r>
          </w:p>
        </w:tc>
      </w:tr>
      <w:tr>
        <w:trPr>
          <w:trHeight w:val="27"/>
        </w:trPr>
        <w:tc>
          <w:tcPr>
            <w:tcW w:w="4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SFI Mammoth Finance LLC</w:t>
            </w:r>
          </w:p>
        </w:tc>
        <w:tc>
          <w:tcPr>
            <w:tcW w:w="232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Delaware</w:t>
            </w:r>
          </w:p>
        </w:tc>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900 North Point Street-San Francisco LLC</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SFI Mammoth GenPar LLC</w:t>
            </w:r>
          </w:p>
        </w:tc>
        <w:tc>
          <w:tcPr>
            <w:tcW w:w="2320" w:type="dxa"/>
            <w:vAlign w:val="bottom"/>
          </w:tcPr>
          <w:p>
            <w:pPr>
              <w:ind w:left="1260"/>
              <w:spacing w:after="0"/>
              <w:rPr>
                <w:sz w:val="20"/>
                <w:szCs w:val="20"/>
                <w:color w:val="auto"/>
              </w:rPr>
            </w:pPr>
            <w:r>
              <w:rPr>
                <w:rFonts w:ascii="Arial" w:cs="Arial" w:eastAsia="Arial" w:hAnsi="Arial"/>
                <w:sz w:val="18"/>
                <w:szCs w:val="18"/>
                <w:color w:val="auto"/>
              </w:rPr>
              <w:t>Delaware</w:t>
            </w:r>
          </w:p>
        </w:tc>
        <w:tc>
          <w:tcPr>
            <w:tcW w:w="4800" w:type="dxa"/>
            <w:vAlign w:val="bottom"/>
          </w:tcPr>
          <w:p>
            <w:pPr>
              <w:spacing w:after="0"/>
              <w:rPr>
                <w:sz w:val="21"/>
                <w:szCs w:val="21"/>
                <w:color w:val="auto"/>
              </w:rPr>
            </w:pPr>
          </w:p>
        </w:tc>
      </w:tr>
      <w:tr>
        <w:trPr>
          <w:trHeight w:val="27"/>
        </w:trPr>
        <w:tc>
          <w:tcPr>
            <w:tcW w:w="4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SFI Mammoth Owner LP</w:t>
            </w:r>
          </w:p>
        </w:tc>
        <w:tc>
          <w:tcPr>
            <w:tcW w:w="232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Delaware</w:t>
            </w:r>
          </w:p>
        </w:tc>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SFI Mammoth LLC</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SFI Marina Investments LLC</w:t>
            </w:r>
          </w:p>
        </w:tc>
        <w:tc>
          <w:tcPr>
            <w:tcW w:w="2320" w:type="dxa"/>
            <w:vAlign w:val="bottom"/>
          </w:tcPr>
          <w:p>
            <w:pPr>
              <w:ind w:left="1260"/>
              <w:spacing w:after="0"/>
              <w:rPr>
                <w:sz w:val="20"/>
                <w:szCs w:val="20"/>
                <w:color w:val="auto"/>
              </w:rPr>
            </w:pPr>
            <w:r>
              <w:rPr>
                <w:rFonts w:ascii="Arial" w:cs="Arial" w:eastAsia="Arial" w:hAnsi="Arial"/>
                <w:sz w:val="18"/>
                <w:szCs w:val="18"/>
                <w:color w:val="auto"/>
              </w:rPr>
              <w:t>Delaware</w:t>
            </w:r>
          </w:p>
        </w:tc>
        <w:tc>
          <w:tcPr>
            <w:tcW w:w="4800" w:type="dxa"/>
            <w:vAlign w:val="bottom"/>
          </w:tcPr>
          <w:p>
            <w:pPr>
              <w:spacing w:after="0"/>
              <w:rPr>
                <w:sz w:val="21"/>
                <w:szCs w:val="21"/>
                <w:color w:val="auto"/>
              </w:rPr>
            </w:pPr>
          </w:p>
        </w:tc>
      </w:tr>
    </w:tbl>
    <w:p>
      <w:pPr>
        <w:sectPr>
          <w:pgSz w:w="11900" w:h="16838" w:orient="portrait"/>
          <w:cols w:equalWidth="0" w:num="1">
            <w:col w:w="11140"/>
          </w:cols>
          <w:pgMar w:left="380" w:top="734" w:right="379" w:bottom="1440" w:gutter="0" w:footer="0" w:header="0"/>
        </w:sectPr>
      </w:pPr>
    </w:p>
    <w:bookmarkStart w:id="138" w:name="page139"/>
    <w:bookmarkEnd w:id="1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SFI Marina Stuart TRS LLC</w:t>
            </w:r>
          </w:p>
        </w:tc>
        <w:tc>
          <w:tcPr>
            <w:tcW w:w="226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Delaware</w:t>
            </w:r>
          </w:p>
        </w:tc>
        <w:tc>
          <w:tcPr>
            <w:tcW w:w="4720" w:type="dxa"/>
            <w:vAlign w:val="bottom"/>
            <w:shd w:val="clear" w:color="auto" w:fill="CCEEFF"/>
          </w:tcPr>
          <w:p>
            <w:pPr>
              <w:spacing w:after="0"/>
              <w:rPr>
                <w:sz w:val="23"/>
                <w:szCs w:val="23"/>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SFI MG Investor LLC</w:t>
            </w:r>
          </w:p>
        </w:tc>
        <w:tc>
          <w:tcPr>
            <w:tcW w:w="2260" w:type="dxa"/>
            <w:vAlign w:val="bottom"/>
          </w:tcPr>
          <w:p>
            <w:pPr>
              <w:ind w:left="1120"/>
              <w:spacing w:after="0"/>
              <w:rPr>
                <w:sz w:val="20"/>
                <w:szCs w:val="20"/>
                <w:color w:val="auto"/>
              </w:rPr>
            </w:pPr>
            <w:r>
              <w:rPr>
                <w:rFonts w:ascii="Arial" w:cs="Arial" w:eastAsia="Arial" w:hAnsi="Arial"/>
                <w:sz w:val="18"/>
                <w:szCs w:val="18"/>
                <w:color w:val="auto"/>
              </w:rPr>
              <w:t>Delaware</w:t>
            </w:r>
          </w:p>
        </w:tc>
        <w:tc>
          <w:tcPr>
            <w:tcW w:w="472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SFI Mortgage Funding LLC</w:t>
            </w:r>
          </w:p>
        </w:tc>
        <w:tc>
          <w:tcPr>
            <w:tcW w:w="226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SFI Naples Harbour Holdings LLC</w:t>
            </w:r>
          </w:p>
        </w:tc>
        <w:tc>
          <w:tcPr>
            <w:tcW w:w="2260" w:type="dxa"/>
            <w:vAlign w:val="bottom"/>
          </w:tcPr>
          <w:p>
            <w:pPr>
              <w:ind w:left="1120"/>
              <w:spacing w:after="0"/>
              <w:rPr>
                <w:sz w:val="20"/>
                <w:szCs w:val="20"/>
                <w:color w:val="auto"/>
              </w:rPr>
            </w:pPr>
            <w:r>
              <w:rPr>
                <w:rFonts w:ascii="Arial" w:cs="Arial" w:eastAsia="Arial" w:hAnsi="Arial"/>
                <w:sz w:val="18"/>
                <w:szCs w:val="18"/>
                <w:color w:val="auto"/>
              </w:rPr>
              <w:t>Delaware</w:t>
            </w:r>
          </w:p>
        </w:tc>
        <w:tc>
          <w:tcPr>
            <w:tcW w:w="472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SFI Naples Marina LLC</w:t>
            </w:r>
          </w:p>
        </w:tc>
        <w:tc>
          <w:tcPr>
            <w:tcW w:w="226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SFI Naples Reserve LLC</w:t>
            </w:r>
          </w:p>
        </w:tc>
        <w:tc>
          <w:tcPr>
            <w:tcW w:w="2260" w:type="dxa"/>
            <w:vAlign w:val="bottom"/>
          </w:tcPr>
          <w:p>
            <w:pPr>
              <w:ind w:left="1120"/>
              <w:spacing w:after="0"/>
              <w:rPr>
                <w:sz w:val="20"/>
                <w:szCs w:val="20"/>
                <w:color w:val="auto"/>
              </w:rPr>
            </w:pPr>
            <w:r>
              <w:rPr>
                <w:rFonts w:ascii="Arial" w:cs="Arial" w:eastAsia="Arial" w:hAnsi="Arial"/>
                <w:sz w:val="18"/>
                <w:szCs w:val="18"/>
                <w:color w:val="auto"/>
              </w:rPr>
              <w:t>Delaware</w:t>
            </w:r>
          </w:p>
        </w:tc>
        <w:tc>
          <w:tcPr>
            <w:tcW w:w="472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SFI Net Lease Holdings LLC</w:t>
            </w:r>
          </w:p>
        </w:tc>
        <w:tc>
          <w:tcPr>
            <w:tcW w:w="226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SFI One Palm Partner LLC</w:t>
            </w:r>
          </w:p>
        </w:tc>
        <w:tc>
          <w:tcPr>
            <w:tcW w:w="2260" w:type="dxa"/>
            <w:vAlign w:val="bottom"/>
          </w:tcPr>
          <w:p>
            <w:pPr>
              <w:ind w:left="1120"/>
              <w:spacing w:after="0"/>
              <w:rPr>
                <w:sz w:val="20"/>
                <w:szCs w:val="20"/>
                <w:color w:val="auto"/>
              </w:rPr>
            </w:pPr>
            <w:r>
              <w:rPr>
                <w:rFonts w:ascii="Arial" w:cs="Arial" w:eastAsia="Arial" w:hAnsi="Arial"/>
                <w:sz w:val="18"/>
                <w:szCs w:val="18"/>
                <w:color w:val="auto"/>
              </w:rPr>
              <w:t>Delaware</w:t>
            </w:r>
          </w:p>
        </w:tc>
        <w:tc>
          <w:tcPr>
            <w:tcW w:w="472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SFI Palm Tree Farms LLC</w:t>
            </w:r>
          </w:p>
        </w:tc>
        <w:tc>
          <w:tcPr>
            <w:tcW w:w="226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29"/>
        </w:trPr>
        <w:tc>
          <w:tcPr>
            <w:tcW w:w="41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720" w:type="dxa"/>
            <w:vAlign w:val="bottom"/>
          </w:tcPr>
          <w:p>
            <w:pPr>
              <w:ind w:left="300"/>
              <w:spacing w:after="0"/>
              <w:rPr>
                <w:sz w:val="20"/>
                <w:szCs w:val="20"/>
                <w:color w:val="auto"/>
              </w:rPr>
            </w:pPr>
            <w:r>
              <w:rPr>
                <w:rFonts w:ascii="Arial" w:cs="Arial" w:eastAsia="Arial" w:hAnsi="Arial"/>
                <w:sz w:val="18"/>
                <w:szCs w:val="18"/>
                <w:color w:val="auto"/>
              </w:rPr>
              <w:t>14951 Royal Oaks (Biscayne Landing)-North</w:t>
            </w:r>
          </w:p>
        </w:tc>
      </w:tr>
      <w:tr>
        <w:trPr>
          <w:trHeight w:val="230"/>
        </w:trPr>
        <w:tc>
          <w:tcPr>
            <w:tcW w:w="4160" w:type="dxa"/>
            <w:vAlign w:val="bottom"/>
          </w:tcPr>
          <w:p>
            <w:pPr>
              <w:ind w:left="40"/>
              <w:spacing w:after="0"/>
              <w:rPr>
                <w:sz w:val="20"/>
                <w:szCs w:val="20"/>
                <w:color w:val="auto"/>
              </w:rPr>
            </w:pPr>
            <w:r>
              <w:rPr>
                <w:rFonts w:ascii="Arial" w:cs="Arial" w:eastAsia="Arial" w:hAnsi="Arial"/>
                <w:sz w:val="18"/>
                <w:szCs w:val="18"/>
                <w:color w:val="auto"/>
              </w:rPr>
              <w:t>SFI Palm (St. Lucie) LLC</w:t>
            </w:r>
          </w:p>
        </w:tc>
        <w:tc>
          <w:tcPr>
            <w:tcW w:w="2260" w:type="dxa"/>
            <w:vAlign w:val="bottom"/>
          </w:tcPr>
          <w:p>
            <w:pPr>
              <w:ind w:left="1120"/>
              <w:spacing w:after="0"/>
              <w:rPr>
                <w:sz w:val="20"/>
                <w:szCs w:val="20"/>
                <w:color w:val="auto"/>
              </w:rPr>
            </w:pPr>
            <w:r>
              <w:rPr>
                <w:rFonts w:ascii="Arial" w:cs="Arial" w:eastAsia="Arial" w:hAnsi="Arial"/>
                <w:sz w:val="18"/>
                <w:szCs w:val="18"/>
                <w:color w:val="auto"/>
              </w:rPr>
              <w:t>Delaware</w:t>
            </w:r>
          </w:p>
        </w:tc>
        <w:tc>
          <w:tcPr>
            <w:tcW w:w="4720" w:type="dxa"/>
            <w:vAlign w:val="bottom"/>
          </w:tcPr>
          <w:p>
            <w:pPr>
              <w:ind w:left="300"/>
              <w:spacing w:after="0"/>
              <w:rPr>
                <w:sz w:val="20"/>
                <w:szCs w:val="20"/>
                <w:color w:val="auto"/>
              </w:rPr>
            </w:pPr>
            <w:r>
              <w:rPr>
                <w:rFonts w:ascii="Arial" w:cs="Arial" w:eastAsia="Arial" w:hAnsi="Arial"/>
                <w:sz w:val="18"/>
                <w:szCs w:val="18"/>
                <w:color w:val="auto"/>
              </w:rPr>
              <w:t>Miami LLC</w:t>
            </w:r>
          </w:p>
        </w:tc>
      </w:tr>
      <w:tr>
        <w:trPr>
          <w:trHeight w:val="27"/>
        </w:trPr>
        <w:tc>
          <w:tcPr>
            <w:tcW w:w="41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SFI Penn Holdco Statutory Trust</w:t>
            </w:r>
          </w:p>
        </w:tc>
        <w:tc>
          <w:tcPr>
            <w:tcW w:w="226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SFI Rittenhouse Statutory Trust</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SFI Penn Properties Statutory Trust</w:t>
            </w:r>
          </w:p>
        </w:tc>
        <w:tc>
          <w:tcPr>
            <w:tcW w:w="2260" w:type="dxa"/>
            <w:vAlign w:val="bottom"/>
          </w:tcPr>
          <w:p>
            <w:pPr>
              <w:ind w:left="1120"/>
              <w:spacing w:after="0"/>
              <w:rPr>
                <w:sz w:val="20"/>
                <w:szCs w:val="20"/>
                <w:color w:val="auto"/>
              </w:rPr>
            </w:pPr>
            <w:r>
              <w:rPr>
                <w:rFonts w:ascii="Arial" w:cs="Arial" w:eastAsia="Arial" w:hAnsi="Arial"/>
                <w:sz w:val="18"/>
                <w:szCs w:val="18"/>
                <w:color w:val="auto"/>
              </w:rPr>
              <w:t>Delaware</w:t>
            </w:r>
          </w:p>
        </w:tc>
        <w:tc>
          <w:tcPr>
            <w:tcW w:w="472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SFI Raintree-Scottsdale LLC</w:t>
            </w:r>
          </w:p>
        </w:tc>
        <w:tc>
          <w:tcPr>
            <w:tcW w:w="226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SFI Savannah Commercial LLC</w:t>
            </w:r>
          </w:p>
        </w:tc>
        <w:tc>
          <w:tcPr>
            <w:tcW w:w="2260" w:type="dxa"/>
            <w:vAlign w:val="bottom"/>
          </w:tcPr>
          <w:p>
            <w:pPr>
              <w:ind w:left="1120"/>
              <w:spacing w:after="0"/>
              <w:rPr>
                <w:sz w:val="20"/>
                <w:szCs w:val="20"/>
                <w:color w:val="auto"/>
              </w:rPr>
            </w:pPr>
            <w:r>
              <w:rPr>
                <w:rFonts w:ascii="Arial" w:cs="Arial" w:eastAsia="Arial" w:hAnsi="Arial"/>
                <w:sz w:val="18"/>
                <w:szCs w:val="18"/>
                <w:color w:val="auto"/>
              </w:rPr>
              <w:t>Delaware</w:t>
            </w:r>
          </w:p>
        </w:tc>
        <w:tc>
          <w:tcPr>
            <w:tcW w:w="472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SFI Savannah Residential LLC</w:t>
            </w:r>
          </w:p>
        </w:tc>
        <w:tc>
          <w:tcPr>
            <w:tcW w:w="226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SFI Shadelands-Walnut Creek LLC</w:t>
            </w:r>
          </w:p>
        </w:tc>
        <w:tc>
          <w:tcPr>
            <w:tcW w:w="2260" w:type="dxa"/>
            <w:vAlign w:val="bottom"/>
          </w:tcPr>
          <w:p>
            <w:pPr>
              <w:ind w:left="1120"/>
              <w:spacing w:after="0"/>
              <w:rPr>
                <w:sz w:val="20"/>
                <w:szCs w:val="20"/>
                <w:color w:val="auto"/>
              </w:rPr>
            </w:pPr>
            <w:r>
              <w:rPr>
                <w:rFonts w:ascii="Arial" w:cs="Arial" w:eastAsia="Arial" w:hAnsi="Arial"/>
                <w:sz w:val="18"/>
                <w:szCs w:val="18"/>
                <w:color w:val="auto"/>
              </w:rPr>
              <w:t>Delaware</w:t>
            </w:r>
          </w:p>
        </w:tc>
        <w:tc>
          <w:tcPr>
            <w:tcW w:w="4720" w:type="dxa"/>
            <w:vAlign w:val="bottom"/>
          </w:tcPr>
          <w:p>
            <w:pPr>
              <w:ind w:left="300"/>
              <w:spacing w:after="0"/>
              <w:rPr>
                <w:sz w:val="20"/>
                <w:szCs w:val="20"/>
                <w:color w:val="auto"/>
              </w:rPr>
            </w:pPr>
            <w:r>
              <w:rPr>
                <w:rFonts w:ascii="Arial" w:cs="Arial" w:eastAsia="Arial" w:hAnsi="Arial"/>
                <w:sz w:val="18"/>
                <w:szCs w:val="18"/>
                <w:color w:val="auto"/>
              </w:rPr>
              <w:t>50 Adrian Court-Burlingame LLC</w:t>
            </w:r>
          </w:p>
        </w:tc>
      </w:tr>
      <w:tr>
        <w:trPr>
          <w:trHeight w:val="27"/>
        </w:trPr>
        <w:tc>
          <w:tcPr>
            <w:tcW w:w="41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SFI SMR LP</w:t>
            </w:r>
          </w:p>
        </w:tc>
        <w:tc>
          <w:tcPr>
            <w:tcW w:w="226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SFI SMR LLC</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SFI SMR GenPar LLC</w:t>
            </w:r>
          </w:p>
        </w:tc>
        <w:tc>
          <w:tcPr>
            <w:tcW w:w="2260" w:type="dxa"/>
            <w:vAlign w:val="bottom"/>
          </w:tcPr>
          <w:p>
            <w:pPr>
              <w:ind w:left="1120"/>
              <w:spacing w:after="0"/>
              <w:rPr>
                <w:sz w:val="20"/>
                <w:szCs w:val="20"/>
                <w:color w:val="auto"/>
              </w:rPr>
            </w:pPr>
            <w:r>
              <w:rPr>
                <w:rFonts w:ascii="Arial" w:cs="Arial" w:eastAsia="Arial" w:hAnsi="Arial"/>
                <w:sz w:val="18"/>
                <w:szCs w:val="18"/>
                <w:color w:val="auto"/>
              </w:rPr>
              <w:t>Delaware</w:t>
            </w:r>
          </w:p>
        </w:tc>
        <w:tc>
          <w:tcPr>
            <w:tcW w:w="472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SFI Spring Mountain Ranch Phase 1 LLC</w:t>
            </w:r>
          </w:p>
        </w:tc>
        <w:tc>
          <w:tcPr>
            <w:tcW w:w="226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SFI Sugar Mill Investor LLC</w:t>
            </w:r>
          </w:p>
        </w:tc>
        <w:tc>
          <w:tcPr>
            <w:tcW w:w="2260" w:type="dxa"/>
            <w:vAlign w:val="bottom"/>
          </w:tcPr>
          <w:p>
            <w:pPr>
              <w:ind w:left="1120"/>
              <w:spacing w:after="0"/>
              <w:rPr>
                <w:sz w:val="20"/>
                <w:szCs w:val="20"/>
                <w:color w:val="auto"/>
              </w:rPr>
            </w:pPr>
            <w:r>
              <w:rPr>
                <w:rFonts w:ascii="Arial" w:cs="Arial" w:eastAsia="Arial" w:hAnsi="Arial"/>
                <w:sz w:val="18"/>
                <w:szCs w:val="18"/>
                <w:color w:val="auto"/>
              </w:rPr>
              <w:t>Delaware</w:t>
            </w:r>
          </w:p>
        </w:tc>
        <w:tc>
          <w:tcPr>
            <w:tcW w:w="4720" w:type="dxa"/>
            <w:vAlign w:val="bottom"/>
          </w:tcPr>
          <w:p>
            <w:pPr>
              <w:ind w:left="300"/>
              <w:spacing w:after="0"/>
              <w:rPr>
                <w:sz w:val="20"/>
                <w:szCs w:val="20"/>
                <w:color w:val="auto"/>
              </w:rPr>
            </w:pPr>
            <w:r>
              <w:rPr>
                <w:rFonts w:ascii="Arial" w:cs="Arial" w:eastAsia="Arial" w:hAnsi="Arial"/>
                <w:sz w:val="18"/>
                <w:szCs w:val="18"/>
                <w:color w:val="auto"/>
              </w:rPr>
              <w:t>SFI Paramount Bay Owner LLC</w:t>
            </w:r>
          </w:p>
        </w:tc>
      </w:tr>
      <w:tr>
        <w:trPr>
          <w:trHeight w:val="27"/>
        </w:trPr>
        <w:tc>
          <w:tcPr>
            <w:tcW w:w="41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SFI Tampa Harbour Holdings LLC</w:t>
            </w:r>
          </w:p>
        </w:tc>
        <w:tc>
          <w:tcPr>
            <w:tcW w:w="226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SFI Tampa Marina LLC</w:t>
            </w:r>
          </w:p>
        </w:tc>
        <w:tc>
          <w:tcPr>
            <w:tcW w:w="2260" w:type="dxa"/>
            <w:vAlign w:val="bottom"/>
          </w:tcPr>
          <w:p>
            <w:pPr>
              <w:ind w:left="1120"/>
              <w:spacing w:after="0"/>
              <w:rPr>
                <w:sz w:val="20"/>
                <w:szCs w:val="20"/>
                <w:color w:val="auto"/>
              </w:rPr>
            </w:pPr>
            <w:r>
              <w:rPr>
                <w:rFonts w:ascii="Arial" w:cs="Arial" w:eastAsia="Arial" w:hAnsi="Arial"/>
                <w:sz w:val="18"/>
                <w:szCs w:val="18"/>
                <w:color w:val="auto"/>
              </w:rPr>
              <w:t>Delaware</w:t>
            </w:r>
          </w:p>
        </w:tc>
        <w:tc>
          <w:tcPr>
            <w:tcW w:w="472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SFI Valley Plaza - North Hollywood LLC</w:t>
            </w:r>
          </w:p>
        </w:tc>
        <w:tc>
          <w:tcPr>
            <w:tcW w:w="226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SFI Westgate City Center - Glendale LLC</w:t>
            </w:r>
          </w:p>
        </w:tc>
        <w:tc>
          <w:tcPr>
            <w:tcW w:w="2260" w:type="dxa"/>
            <w:vAlign w:val="bottom"/>
          </w:tcPr>
          <w:p>
            <w:pPr>
              <w:ind w:left="1120"/>
              <w:spacing w:after="0"/>
              <w:rPr>
                <w:sz w:val="20"/>
                <w:szCs w:val="20"/>
                <w:color w:val="auto"/>
              </w:rPr>
            </w:pPr>
            <w:r>
              <w:rPr>
                <w:rFonts w:ascii="Arial" w:cs="Arial" w:eastAsia="Arial" w:hAnsi="Arial"/>
                <w:sz w:val="18"/>
                <w:szCs w:val="18"/>
                <w:color w:val="auto"/>
              </w:rPr>
              <w:t>Delaware</w:t>
            </w:r>
          </w:p>
        </w:tc>
        <w:tc>
          <w:tcPr>
            <w:tcW w:w="472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SFI Winkel Way LLC</w:t>
            </w:r>
          </w:p>
        </w:tc>
        <w:tc>
          <w:tcPr>
            <w:tcW w:w="226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SFT I, Inc.</w:t>
            </w:r>
          </w:p>
        </w:tc>
        <w:tc>
          <w:tcPr>
            <w:tcW w:w="2260" w:type="dxa"/>
            <w:vAlign w:val="bottom"/>
          </w:tcPr>
          <w:p>
            <w:pPr>
              <w:ind w:left="1120"/>
              <w:spacing w:after="0"/>
              <w:rPr>
                <w:sz w:val="20"/>
                <w:szCs w:val="20"/>
                <w:color w:val="auto"/>
              </w:rPr>
            </w:pPr>
            <w:r>
              <w:rPr>
                <w:rFonts w:ascii="Arial" w:cs="Arial" w:eastAsia="Arial" w:hAnsi="Arial"/>
                <w:sz w:val="18"/>
                <w:szCs w:val="18"/>
                <w:color w:val="auto"/>
              </w:rPr>
              <w:t>Delaware</w:t>
            </w:r>
          </w:p>
        </w:tc>
        <w:tc>
          <w:tcPr>
            <w:tcW w:w="472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SFTY Manager LLC</w:t>
            </w:r>
          </w:p>
        </w:tc>
        <w:tc>
          <w:tcPr>
            <w:tcW w:w="226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Shawan Net Lease I REIT</w:t>
            </w:r>
          </w:p>
        </w:tc>
        <w:tc>
          <w:tcPr>
            <w:tcW w:w="2260" w:type="dxa"/>
            <w:vAlign w:val="bottom"/>
          </w:tcPr>
          <w:p>
            <w:pPr>
              <w:ind w:left="1120"/>
              <w:spacing w:after="0"/>
              <w:rPr>
                <w:sz w:val="20"/>
                <w:szCs w:val="20"/>
                <w:color w:val="auto"/>
              </w:rPr>
            </w:pPr>
            <w:r>
              <w:rPr>
                <w:rFonts w:ascii="Arial" w:cs="Arial" w:eastAsia="Arial" w:hAnsi="Arial"/>
                <w:sz w:val="18"/>
                <w:szCs w:val="18"/>
                <w:color w:val="auto"/>
              </w:rPr>
              <w:t>Maryland</w:t>
            </w:r>
          </w:p>
        </w:tc>
        <w:tc>
          <w:tcPr>
            <w:tcW w:w="472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Shore Road - Long Beach LP</w:t>
            </w:r>
          </w:p>
        </w:tc>
        <w:tc>
          <w:tcPr>
            <w:tcW w:w="226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Shore Road - Long Beach Superblock TRS LLC</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Shore Road GenPar LLC</w:t>
            </w:r>
          </w:p>
        </w:tc>
        <w:tc>
          <w:tcPr>
            <w:tcW w:w="2260" w:type="dxa"/>
            <w:vAlign w:val="bottom"/>
          </w:tcPr>
          <w:p>
            <w:pPr>
              <w:ind w:left="1120"/>
              <w:spacing w:after="0"/>
              <w:rPr>
                <w:sz w:val="20"/>
                <w:szCs w:val="20"/>
                <w:color w:val="auto"/>
              </w:rPr>
            </w:pPr>
            <w:r>
              <w:rPr>
                <w:rFonts w:ascii="Arial" w:cs="Arial" w:eastAsia="Arial" w:hAnsi="Arial"/>
                <w:sz w:val="18"/>
                <w:szCs w:val="18"/>
                <w:color w:val="auto"/>
              </w:rPr>
              <w:t>Delaware</w:t>
            </w:r>
          </w:p>
        </w:tc>
        <w:tc>
          <w:tcPr>
            <w:tcW w:w="472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Shore Road-Long Beach Superblock LLC</w:t>
            </w:r>
          </w:p>
        </w:tc>
        <w:tc>
          <w:tcPr>
            <w:tcW w:w="226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SIGOP Gen Par LLC</w:t>
            </w:r>
          </w:p>
        </w:tc>
        <w:tc>
          <w:tcPr>
            <w:tcW w:w="2260" w:type="dxa"/>
            <w:vAlign w:val="bottom"/>
          </w:tcPr>
          <w:p>
            <w:pPr>
              <w:ind w:left="1120"/>
              <w:spacing w:after="0"/>
              <w:rPr>
                <w:sz w:val="20"/>
                <w:szCs w:val="20"/>
                <w:color w:val="auto"/>
              </w:rPr>
            </w:pPr>
            <w:r>
              <w:rPr>
                <w:rFonts w:ascii="Arial" w:cs="Arial" w:eastAsia="Arial" w:hAnsi="Arial"/>
                <w:sz w:val="18"/>
                <w:szCs w:val="18"/>
                <w:color w:val="auto"/>
              </w:rPr>
              <w:t>Delaware</w:t>
            </w:r>
          </w:p>
        </w:tc>
        <w:tc>
          <w:tcPr>
            <w:tcW w:w="472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SMR Phase 1 Joint Venture LLC</w:t>
            </w:r>
          </w:p>
        </w:tc>
        <w:tc>
          <w:tcPr>
            <w:tcW w:w="226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State Road 710-Indiantown LLC</w:t>
            </w:r>
          </w:p>
        </w:tc>
        <w:tc>
          <w:tcPr>
            <w:tcW w:w="2260" w:type="dxa"/>
            <w:vAlign w:val="bottom"/>
          </w:tcPr>
          <w:p>
            <w:pPr>
              <w:ind w:left="1120"/>
              <w:spacing w:after="0"/>
              <w:rPr>
                <w:sz w:val="20"/>
                <w:szCs w:val="20"/>
                <w:color w:val="auto"/>
              </w:rPr>
            </w:pPr>
            <w:r>
              <w:rPr>
                <w:rFonts w:ascii="Arial" w:cs="Arial" w:eastAsia="Arial" w:hAnsi="Arial"/>
                <w:sz w:val="18"/>
                <w:szCs w:val="18"/>
                <w:color w:val="auto"/>
              </w:rPr>
              <w:t>Delaware</w:t>
            </w:r>
          </w:p>
        </w:tc>
        <w:tc>
          <w:tcPr>
            <w:tcW w:w="472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 Lucie Palm Tree Sales LLC</w:t>
            </w:r>
          </w:p>
        </w:tc>
        <w:tc>
          <w:tcPr>
            <w:tcW w:w="226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Stone Pony Partners, L.L.C.</w:t>
            </w:r>
          </w:p>
        </w:tc>
        <w:tc>
          <w:tcPr>
            <w:tcW w:w="2260" w:type="dxa"/>
            <w:vAlign w:val="bottom"/>
          </w:tcPr>
          <w:p>
            <w:pPr>
              <w:ind w:left="1120"/>
              <w:spacing w:after="0"/>
              <w:rPr>
                <w:sz w:val="20"/>
                <w:szCs w:val="20"/>
                <w:color w:val="auto"/>
              </w:rPr>
            </w:pPr>
            <w:r>
              <w:rPr>
                <w:rFonts w:ascii="Arial" w:cs="Arial" w:eastAsia="Arial" w:hAnsi="Arial"/>
                <w:sz w:val="18"/>
                <w:szCs w:val="18"/>
                <w:color w:val="auto"/>
              </w:rPr>
              <w:t>Delaware</w:t>
            </w:r>
          </w:p>
        </w:tc>
        <w:tc>
          <w:tcPr>
            <w:tcW w:w="472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Sugar MG II, LLC</w:t>
            </w:r>
          </w:p>
        </w:tc>
        <w:tc>
          <w:tcPr>
            <w:tcW w:w="226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Sugar Mill Glen LLC</w:t>
            </w:r>
          </w:p>
        </w:tc>
        <w:tc>
          <w:tcPr>
            <w:tcW w:w="2260" w:type="dxa"/>
            <w:vAlign w:val="bottom"/>
          </w:tcPr>
          <w:p>
            <w:pPr>
              <w:ind w:left="1120"/>
              <w:spacing w:after="0"/>
              <w:rPr>
                <w:sz w:val="20"/>
                <w:szCs w:val="20"/>
                <w:color w:val="auto"/>
              </w:rPr>
            </w:pPr>
            <w:r>
              <w:rPr>
                <w:rFonts w:ascii="Arial" w:cs="Arial" w:eastAsia="Arial" w:hAnsi="Arial"/>
                <w:sz w:val="18"/>
                <w:szCs w:val="18"/>
                <w:color w:val="auto"/>
              </w:rPr>
              <w:t>Delaware</w:t>
            </w:r>
          </w:p>
        </w:tc>
        <w:tc>
          <w:tcPr>
            <w:tcW w:w="472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Sunnyvale GenPar LLC</w:t>
            </w:r>
          </w:p>
        </w:tc>
        <w:tc>
          <w:tcPr>
            <w:tcW w:w="226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Talking Partners, LLC</w:t>
            </w:r>
          </w:p>
        </w:tc>
        <w:tc>
          <w:tcPr>
            <w:tcW w:w="2260" w:type="dxa"/>
            <w:vAlign w:val="bottom"/>
          </w:tcPr>
          <w:p>
            <w:pPr>
              <w:ind w:left="1120"/>
              <w:spacing w:after="0"/>
              <w:rPr>
                <w:sz w:val="20"/>
                <w:szCs w:val="20"/>
                <w:color w:val="auto"/>
              </w:rPr>
            </w:pPr>
            <w:r>
              <w:rPr>
                <w:rFonts w:ascii="Arial" w:cs="Arial" w:eastAsia="Arial" w:hAnsi="Arial"/>
                <w:sz w:val="18"/>
                <w:szCs w:val="18"/>
                <w:color w:val="auto"/>
              </w:rPr>
              <w:t>New Jersey</w:t>
            </w:r>
          </w:p>
        </w:tc>
        <w:tc>
          <w:tcPr>
            <w:tcW w:w="472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Tampa Harbour Development, L.L.C.</w:t>
            </w:r>
          </w:p>
        </w:tc>
        <w:tc>
          <w:tcPr>
            <w:tcW w:w="226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Florida</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Tampa Marina Investments, L.L.C.</w:t>
            </w:r>
          </w:p>
        </w:tc>
        <w:tc>
          <w:tcPr>
            <w:tcW w:w="2260" w:type="dxa"/>
            <w:vAlign w:val="bottom"/>
          </w:tcPr>
          <w:p>
            <w:pPr>
              <w:ind w:left="1120"/>
              <w:spacing w:after="0"/>
              <w:rPr>
                <w:sz w:val="20"/>
                <w:szCs w:val="20"/>
                <w:color w:val="auto"/>
              </w:rPr>
            </w:pPr>
            <w:r>
              <w:rPr>
                <w:rFonts w:ascii="Arial" w:cs="Arial" w:eastAsia="Arial" w:hAnsi="Arial"/>
                <w:sz w:val="18"/>
                <w:szCs w:val="18"/>
                <w:color w:val="auto"/>
              </w:rPr>
              <w:t>Florida</w:t>
            </w:r>
          </w:p>
        </w:tc>
        <w:tc>
          <w:tcPr>
            <w:tcW w:w="472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TDM Kua 4, LLC</w:t>
            </w:r>
          </w:p>
        </w:tc>
        <w:tc>
          <w:tcPr>
            <w:tcW w:w="226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THCF LLC</w:t>
            </w:r>
          </w:p>
        </w:tc>
        <w:tc>
          <w:tcPr>
            <w:tcW w:w="2260" w:type="dxa"/>
            <w:vAlign w:val="bottom"/>
          </w:tcPr>
          <w:p>
            <w:pPr>
              <w:ind w:left="1120"/>
              <w:spacing w:after="0"/>
              <w:rPr>
                <w:sz w:val="20"/>
                <w:szCs w:val="20"/>
                <w:color w:val="auto"/>
              </w:rPr>
            </w:pPr>
            <w:r>
              <w:rPr>
                <w:rFonts w:ascii="Arial" w:cs="Arial" w:eastAsia="Arial" w:hAnsi="Arial"/>
                <w:sz w:val="18"/>
                <w:szCs w:val="18"/>
                <w:color w:val="auto"/>
              </w:rPr>
              <w:t>New Jersey</w:t>
            </w:r>
          </w:p>
        </w:tc>
        <w:tc>
          <w:tcPr>
            <w:tcW w:w="472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43"/>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 New Westgate LLC</w:t>
            </w:r>
          </w:p>
        </w:tc>
        <w:tc>
          <w:tcPr>
            <w:tcW w:w="226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Delaware</w:t>
            </w:r>
          </w:p>
        </w:tc>
        <w:tc>
          <w:tcPr>
            <w:tcW w:w="4720" w:type="dxa"/>
            <w:vAlign w:val="bottom"/>
            <w:shd w:val="clear" w:color="auto" w:fill="CCEEFF"/>
          </w:tcPr>
          <w:p>
            <w:pPr>
              <w:spacing w:after="0"/>
              <w:rPr>
                <w:sz w:val="21"/>
                <w:szCs w:val="21"/>
                <w:color w:val="auto"/>
              </w:rPr>
            </w:pPr>
          </w:p>
        </w:tc>
      </w:tr>
      <w:tr>
        <w:trPr>
          <w:trHeight w:val="27"/>
        </w:trPr>
        <w:tc>
          <w:tcPr>
            <w:tcW w:w="416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4720" w:type="dxa"/>
            <w:vAlign w:val="bottom"/>
            <w:shd w:val="clear" w:color="auto" w:fill="CCEEFF"/>
          </w:tcPr>
          <w:p>
            <w:pPr>
              <w:spacing w:after="0"/>
              <w:rPr>
                <w:sz w:val="2"/>
                <w:szCs w:val="2"/>
                <w:color w:val="auto"/>
              </w:rPr>
            </w:pPr>
          </w:p>
        </w:tc>
      </w:tr>
    </w:tbl>
    <w:p>
      <w:pPr>
        <w:sectPr>
          <w:pgSz w:w="11900" w:h="16838" w:orient="portrait"/>
          <w:cols w:equalWidth="0" w:num="1">
            <w:col w:w="11140"/>
          </w:cols>
          <w:pgMar w:left="380" w:top="734" w:right="379" w:bottom="1440" w:gutter="0" w:footer="0" w:header="0"/>
        </w:sectPr>
      </w:pPr>
    </w:p>
    <w:bookmarkStart w:id="139" w:name="page140"/>
    <w:bookmarkEnd w:id="1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ind w:left="40"/>
              <w:spacing w:after="0"/>
              <w:rPr>
                <w:sz w:val="20"/>
                <w:szCs w:val="20"/>
                <w:color w:val="auto"/>
              </w:rPr>
            </w:pPr>
            <w:r>
              <w:rPr>
                <w:rFonts w:ascii="Arial" w:cs="Arial" w:eastAsia="Arial" w:hAnsi="Arial"/>
                <w:sz w:val="18"/>
                <w:szCs w:val="18"/>
                <w:color w:val="auto"/>
              </w:rPr>
              <w:t>TimberStar Investors Partnership LLP</w:t>
            </w:r>
          </w:p>
        </w:tc>
        <w:tc>
          <w:tcPr>
            <w:tcW w:w="1840" w:type="dxa"/>
            <w:vAlign w:val="bottom"/>
          </w:tcPr>
          <w:p>
            <w:pPr>
              <w:ind w:left="700"/>
              <w:spacing w:after="0"/>
              <w:rPr>
                <w:sz w:val="20"/>
                <w:szCs w:val="20"/>
                <w:color w:val="auto"/>
              </w:rPr>
            </w:pPr>
            <w:r>
              <w:rPr>
                <w:rFonts w:ascii="Arial" w:cs="Arial" w:eastAsia="Arial" w:hAnsi="Arial"/>
                <w:sz w:val="18"/>
                <w:szCs w:val="18"/>
                <w:color w:val="auto"/>
              </w:rPr>
              <w:t>Delaware</w:t>
            </w:r>
          </w:p>
        </w:tc>
        <w:tc>
          <w:tcPr>
            <w:tcW w:w="472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TimberStar Operating Partnership, L.P.</w:t>
            </w:r>
          </w:p>
        </w:tc>
        <w:tc>
          <w:tcPr>
            <w:tcW w:w="18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TimberStar Selling Party Representative Holdco LLC</w:t>
            </w:r>
          </w:p>
        </w:tc>
        <w:tc>
          <w:tcPr>
            <w:tcW w:w="1840" w:type="dxa"/>
            <w:vAlign w:val="bottom"/>
          </w:tcPr>
          <w:p>
            <w:pPr>
              <w:ind w:left="700"/>
              <w:spacing w:after="0"/>
              <w:rPr>
                <w:sz w:val="20"/>
                <w:szCs w:val="20"/>
                <w:color w:val="auto"/>
              </w:rPr>
            </w:pPr>
            <w:r>
              <w:rPr>
                <w:rFonts w:ascii="Arial" w:cs="Arial" w:eastAsia="Arial" w:hAnsi="Arial"/>
                <w:sz w:val="18"/>
                <w:szCs w:val="18"/>
                <w:color w:val="auto"/>
              </w:rPr>
              <w:t>Delaware</w:t>
            </w:r>
          </w:p>
        </w:tc>
        <w:tc>
          <w:tcPr>
            <w:tcW w:w="472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TimberStar Southwest Investor LLC</w:t>
            </w:r>
          </w:p>
        </w:tc>
        <w:tc>
          <w:tcPr>
            <w:tcW w:w="18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TPRJC Owner LLC</w:t>
            </w:r>
          </w:p>
        </w:tc>
        <w:tc>
          <w:tcPr>
            <w:tcW w:w="1840" w:type="dxa"/>
            <w:vAlign w:val="bottom"/>
          </w:tcPr>
          <w:p>
            <w:pPr>
              <w:ind w:left="700"/>
              <w:spacing w:after="0"/>
              <w:rPr>
                <w:sz w:val="20"/>
                <w:szCs w:val="20"/>
                <w:color w:val="auto"/>
              </w:rPr>
            </w:pPr>
            <w:r>
              <w:rPr>
                <w:rFonts w:ascii="Arial" w:cs="Arial" w:eastAsia="Arial" w:hAnsi="Arial"/>
                <w:sz w:val="18"/>
                <w:szCs w:val="18"/>
                <w:color w:val="auto"/>
              </w:rPr>
              <w:t>New Jersey</w:t>
            </w:r>
          </w:p>
        </w:tc>
        <w:tc>
          <w:tcPr>
            <w:tcW w:w="472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TriNet Essential Facilities XXIII, Inc.</w:t>
            </w:r>
          </w:p>
        </w:tc>
        <w:tc>
          <w:tcPr>
            <w:tcW w:w="18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TriNet Essential Facilities XXVI, Inc.</w:t>
            </w:r>
          </w:p>
        </w:tc>
        <w:tc>
          <w:tcPr>
            <w:tcW w:w="1840" w:type="dxa"/>
            <w:vAlign w:val="bottom"/>
          </w:tcPr>
          <w:p>
            <w:pPr>
              <w:ind w:left="700"/>
              <w:spacing w:after="0"/>
              <w:rPr>
                <w:sz w:val="20"/>
                <w:szCs w:val="20"/>
                <w:color w:val="auto"/>
              </w:rPr>
            </w:pPr>
            <w:r>
              <w:rPr>
                <w:rFonts w:ascii="Arial" w:cs="Arial" w:eastAsia="Arial" w:hAnsi="Arial"/>
                <w:sz w:val="18"/>
                <w:szCs w:val="18"/>
                <w:color w:val="auto"/>
              </w:rPr>
              <w:t>Delaware</w:t>
            </w:r>
          </w:p>
        </w:tc>
        <w:tc>
          <w:tcPr>
            <w:tcW w:w="472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TriNet Essential Facilities XXVII, Inc.</w:t>
            </w:r>
          </w:p>
        </w:tc>
        <w:tc>
          <w:tcPr>
            <w:tcW w:w="18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TriNet Sunnyvale Partners, L.P.</w:t>
            </w:r>
          </w:p>
        </w:tc>
        <w:tc>
          <w:tcPr>
            <w:tcW w:w="1840" w:type="dxa"/>
            <w:vAlign w:val="bottom"/>
          </w:tcPr>
          <w:p>
            <w:pPr>
              <w:ind w:left="700"/>
              <w:spacing w:after="0"/>
              <w:rPr>
                <w:sz w:val="20"/>
                <w:szCs w:val="20"/>
                <w:color w:val="auto"/>
              </w:rPr>
            </w:pPr>
            <w:r>
              <w:rPr>
                <w:rFonts w:ascii="Arial" w:cs="Arial" w:eastAsia="Arial" w:hAnsi="Arial"/>
                <w:sz w:val="18"/>
                <w:szCs w:val="18"/>
                <w:color w:val="auto"/>
              </w:rPr>
              <w:t>Delaware</w:t>
            </w:r>
          </w:p>
        </w:tc>
        <w:tc>
          <w:tcPr>
            <w:tcW w:w="4720" w:type="dxa"/>
            <w:vAlign w:val="bottom"/>
          </w:tcPr>
          <w:p>
            <w:pPr>
              <w:ind w:left="300"/>
              <w:spacing w:after="0"/>
              <w:rPr>
                <w:sz w:val="20"/>
                <w:szCs w:val="20"/>
                <w:color w:val="auto"/>
              </w:rPr>
            </w:pPr>
            <w:r>
              <w:rPr>
                <w:rFonts w:ascii="Arial" w:cs="Arial" w:eastAsia="Arial" w:hAnsi="Arial"/>
                <w:sz w:val="18"/>
                <w:szCs w:val="18"/>
                <w:color w:val="auto"/>
              </w:rPr>
              <w:t>Sunnyvale Partners, L.P.</w:t>
            </w:r>
          </w:p>
        </w:tc>
      </w:tr>
      <w:tr>
        <w:trPr>
          <w:trHeight w:val="27"/>
        </w:trPr>
        <w:tc>
          <w:tcPr>
            <w:tcW w:w="45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TSM I, LLC</w:t>
            </w:r>
          </w:p>
        </w:tc>
        <w:tc>
          <w:tcPr>
            <w:tcW w:w="18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TSM II, LLC</w:t>
            </w:r>
          </w:p>
        </w:tc>
        <w:tc>
          <w:tcPr>
            <w:tcW w:w="1840" w:type="dxa"/>
            <w:vAlign w:val="bottom"/>
          </w:tcPr>
          <w:p>
            <w:pPr>
              <w:ind w:left="700"/>
              <w:spacing w:after="0"/>
              <w:rPr>
                <w:sz w:val="20"/>
                <w:szCs w:val="20"/>
                <w:color w:val="auto"/>
              </w:rPr>
            </w:pPr>
            <w:r>
              <w:rPr>
                <w:rFonts w:ascii="Arial" w:cs="Arial" w:eastAsia="Arial" w:hAnsi="Arial"/>
                <w:sz w:val="18"/>
                <w:szCs w:val="18"/>
                <w:color w:val="auto"/>
              </w:rPr>
              <w:t>Delaware</w:t>
            </w:r>
          </w:p>
        </w:tc>
        <w:tc>
          <w:tcPr>
            <w:tcW w:w="472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Uncommon CCRC Investor LLC</w:t>
            </w:r>
          </w:p>
        </w:tc>
        <w:tc>
          <w:tcPr>
            <w:tcW w:w="18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Vector Urban Renewal Associates I, L.P.</w:t>
            </w:r>
          </w:p>
        </w:tc>
        <w:tc>
          <w:tcPr>
            <w:tcW w:w="1840" w:type="dxa"/>
            <w:vAlign w:val="bottom"/>
          </w:tcPr>
          <w:p>
            <w:pPr>
              <w:ind w:left="700"/>
              <w:spacing w:after="0"/>
              <w:rPr>
                <w:sz w:val="20"/>
                <w:szCs w:val="20"/>
                <w:color w:val="auto"/>
              </w:rPr>
            </w:pPr>
            <w:r>
              <w:rPr>
                <w:rFonts w:ascii="Arial" w:cs="Arial" w:eastAsia="Arial" w:hAnsi="Arial"/>
                <w:sz w:val="18"/>
                <w:szCs w:val="18"/>
                <w:color w:val="auto"/>
              </w:rPr>
              <w:t>New Jersey</w:t>
            </w:r>
          </w:p>
        </w:tc>
        <w:tc>
          <w:tcPr>
            <w:tcW w:w="472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Westgate Investments, LLC</w:t>
            </w:r>
          </w:p>
        </w:tc>
        <w:tc>
          <w:tcPr>
            <w:tcW w:w="18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Westgate Signage, LLC</w:t>
            </w:r>
          </w:p>
        </w:tc>
        <w:tc>
          <w:tcPr>
            <w:tcW w:w="1840" w:type="dxa"/>
            <w:vAlign w:val="bottom"/>
          </w:tcPr>
          <w:p>
            <w:pPr>
              <w:ind w:left="700"/>
              <w:spacing w:after="0"/>
              <w:rPr>
                <w:sz w:val="20"/>
                <w:szCs w:val="20"/>
                <w:color w:val="auto"/>
              </w:rPr>
            </w:pPr>
            <w:r>
              <w:rPr>
                <w:rFonts w:ascii="Arial" w:cs="Arial" w:eastAsia="Arial" w:hAnsi="Arial"/>
                <w:sz w:val="18"/>
                <w:szCs w:val="18"/>
                <w:color w:val="auto"/>
              </w:rPr>
              <w:t>Delaware</w:t>
            </w:r>
          </w:p>
        </w:tc>
        <w:tc>
          <w:tcPr>
            <w:tcW w:w="472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Westgate Sports and Entertainment Group LLC</w:t>
            </w:r>
          </w:p>
        </w:tc>
        <w:tc>
          <w:tcPr>
            <w:tcW w:w="18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Delaware</w:t>
            </w:r>
          </w:p>
        </w:tc>
        <w:tc>
          <w:tcPr>
            <w:tcW w:w="472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WG Net Lease I REIT</w:t>
            </w:r>
          </w:p>
        </w:tc>
        <w:tc>
          <w:tcPr>
            <w:tcW w:w="1840" w:type="dxa"/>
            <w:vAlign w:val="bottom"/>
          </w:tcPr>
          <w:p>
            <w:pPr>
              <w:ind w:left="700"/>
              <w:spacing w:after="0"/>
              <w:rPr>
                <w:sz w:val="20"/>
                <w:szCs w:val="20"/>
                <w:color w:val="auto"/>
              </w:rPr>
            </w:pPr>
            <w:r>
              <w:rPr>
                <w:rFonts w:ascii="Arial" w:cs="Arial" w:eastAsia="Arial" w:hAnsi="Arial"/>
                <w:sz w:val="18"/>
                <w:szCs w:val="18"/>
                <w:color w:val="auto"/>
              </w:rPr>
              <w:t>Maryland</w:t>
            </w:r>
          </w:p>
        </w:tc>
        <w:tc>
          <w:tcPr>
            <w:tcW w:w="472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43"/>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WG NLA LLC</w:t>
            </w:r>
          </w:p>
        </w:tc>
        <w:tc>
          <w:tcPr>
            <w:tcW w:w="1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Delaware</w:t>
            </w:r>
          </w:p>
        </w:tc>
        <w:tc>
          <w:tcPr>
            <w:tcW w:w="4720" w:type="dxa"/>
            <w:vAlign w:val="bottom"/>
            <w:shd w:val="clear" w:color="auto" w:fill="CCEEFF"/>
          </w:tcPr>
          <w:p>
            <w:pPr>
              <w:spacing w:after="0"/>
              <w:rPr>
                <w:sz w:val="21"/>
                <w:szCs w:val="21"/>
                <w:color w:val="auto"/>
              </w:rPr>
            </w:pPr>
          </w:p>
        </w:tc>
      </w:tr>
      <w:tr>
        <w:trPr>
          <w:trHeight w:val="27"/>
        </w:trPr>
        <w:tc>
          <w:tcPr>
            <w:tcW w:w="458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4720" w:type="dxa"/>
            <w:vAlign w:val="bottom"/>
            <w:shd w:val="clear" w:color="auto" w:fill="CCEEFF"/>
          </w:tcPr>
          <w:p>
            <w:pPr>
              <w:spacing w:after="0"/>
              <w:rPr>
                <w:sz w:val="2"/>
                <w:szCs w:val="2"/>
                <w:color w:val="auto"/>
              </w:rPr>
            </w:pPr>
          </w:p>
        </w:tc>
      </w:tr>
    </w:tbl>
    <w:p>
      <w:pPr>
        <w:sectPr>
          <w:pgSz w:w="11900" w:h="16838" w:orient="portrait"/>
          <w:cols w:equalWidth="0" w:num="1">
            <w:col w:w="11140"/>
          </w:cols>
          <w:pgMar w:left="380" w:top="746" w:right="37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CONSENT OF INDEPENDENT REGISTERED PUBLIC ACCOUNTING FIRM</w:t>
      </w:r>
    </w:p>
    <w:p>
      <w:pPr>
        <w:spacing w:after="0" w:line="200" w:lineRule="exact"/>
        <w:rPr>
          <w:sz w:val="20"/>
          <w:szCs w:val="20"/>
          <w:color w:val="auto"/>
        </w:rPr>
      </w:pPr>
    </w:p>
    <w:p>
      <w:pPr>
        <w:spacing w:after="0" w:line="229" w:lineRule="exact"/>
        <w:rPr>
          <w:sz w:val="20"/>
          <w:szCs w:val="20"/>
          <w:color w:val="auto"/>
        </w:rPr>
      </w:pPr>
    </w:p>
    <w:p>
      <w:pPr>
        <w:ind w:firstLine="324"/>
        <w:spacing w:after="0" w:line="221" w:lineRule="exact"/>
        <w:rPr>
          <w:sz w:val="20"/>
          <w:szCs w:val="20"/>
          <w:color w:val="auto"/>
        </w:rPr>
      </w:pPr>
      <w:r>
        <w:rPr>
          <w:rFonts w:ascii="Arial" w:cs="Arial" w:eastAsia="Arial" w:hAnsi="Arial"/>
          <w:sz w:val="18"/>
          <w:szCs w:val="18"/>
          <w:color w:val="auto"/>
        </w:rPr>
        <w:t>We hereby consent to the incorporation by reference in the Registration Statements on Form S</w:t>
      </w:r>
      <w:r>
        <w:rPr>
          <w:rFonts w:ascii="MS PGothic" w:cs="MS PGothic" w:eastAsia="MS PGothic" w:hAnsi="MS PGothic"/>
          <w:sz w:val="18"/>
          <w:szCs w:val="18"/>
          <w:color w:val="auto"/>
        </w:rPr>
        <w:t>‑</w:t>
      </w:r>
      <w:r>
        <w:rPr>
          <w:rFonts w:ascii="Arial" w:cs="Arial" w:eastAsia="Arial" w:hAnsi="Arial"/>
          <w:sz w:val="18"/>
          <w:szCs w:val="18"/>
          <w:color w:val="auto"/>
        </w:rPr>
        <w:t>3 (No. 333-198576) and Form S-8 (No. 333-183465) of iStar Inc. of our report dated February 24, 2017 relating to the financial statements, financial statement schedules and the effectiveness of internal control over financial reporting, which appears in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2017</w:t>
      </w:r>
    </w:p>
    <w:p>
      <w:pPr>
        <w:sectPr>
          <w:pgSz w:w="11900" w:h="16838" w:orient="portrait"/>
          <w:cols w:equalWidth="0" w:num="1">
            <w:col w:w="11420"/>
          </w:cols>
          <w:pgMar w:left="240" w:top="796"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AUDITORS</w:t>
      </w:r>
    </w:p>
    <w:p>
      <w:pPr>
        <w:spacing w:after="0" w:line="171"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333-198576) and Form S-8 (No. 333-183465) of iStar Inc. of our report dated February 10, 2017 relating to the consolidated financial statements of Marina Palms, LLC and Subsidiaries, appearing in the Annual Report on Form 10-K of iStar Inc. for the year ended December 31, 2016.</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Gerson, Preston, Klein, Lips, Eisenberg &amp; Gelber, 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Miami, Florida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2017</w:t>
      </w:r>
    </w:p>
    <w:p>
      <w:pPr>
        <w:sectPr>
          <w:pgSz w:w="11900" w:h="16838" w:orient="portrait"/>
          <w:cols w:equalWidth="0" w:num="1">
            <w:col w:w="11420"/>
          </w:cols>
          <w:pgMar w:left="240" w:top="796"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31.0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Jay Sugarman, certify that:</w:t>
      </w:r>
    </w:p>
    <w:p>
      <w:pPr>
        <w:spacing w:after="0" w:line="171" w:lineRule="exact"/>
        <w:rPr>
          <w:sz w:val="20"/>
          <w:szCs w:val="20"/>
          <w:color w:val="auto"/>
        </w:rPr>
      </w:pPr>
    </w:p>
    <w:p>
      <w:pPr>
        <w:ind w:left="520" w:hanging="188"/>
        <w:spacing w:after="0"/>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iStar Inc.;</w:t>
      </w:r>
    </w:p>
    <w:p>
      <w:pPr>
        <w:spacing w:after="0" w:line="171" w:lineRule="exact"/>
        <w:rPr>
          <w:rFonts w:ascii="Arial" w:cs="Arial" w:eastAsia="Arial" w:hAnsi="Arial"/>
          <w:sz w:val="18"/>
          <w:szCs w:val="18"/>
          <w:color w:val="auto"/>
        </w:rPr>
      </w:pPr>
    </w:p>
    <w:p>
      <w:pPr>
        <w:ind w:firstLine="332"/>
        <w:spacing w:after="0" w:line="342" w:lineRule="auto"/>
        <w:tabs>
          <w:tab w:leader="none" w:pos="5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332"/>
        <w:spacing w:after="0" w:line="277" w:lineRule="auto"/>
        <w:tabs>
          <w:tab w:leader="none" w:pos="522"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332"/>
        <w:spacing w:after="0" w:line="264" w:lineRule="auto"/>
        <w:tabs>
          <w:tab w:leader="none" w:pos="536"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340" w:firstLine="316"/>
        <w:spacing w:after="0" w:line="264" w:lineRule="auto"/>
        <w:tabs>
          <w:tab w:leader="none" w:pos="924"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340" w:firstLine="316"/>
        <w:spacing w:after="0" w:line="264" w:lineRule="auto"/>
        <w:tabs>
          <w:tab w:leader="none" w:pos="953"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firstLine="316"/>
        <w:spacing w:after="0" w:line="308" w:lineRule="auto"/>
        <w:tabs>
          <w:tab w:leader="none" w:pos="952" w:val="left"/>
        </w:tabs>
        <w:numPr>
          <w:ilvl w:val="1"/>
          <w:numId w:val="6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340" w:firstLine="316"/>
        <w:spacing w:after="0" w:line="264" w:lineRule="auto"/>
        <w:tabs>
          <w:tab w:leader="none" w:pos="934"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firstLine="332"/>
        <w:spacing w:after="0" w:line="308" w:lineRule="auto"/>
        <w:tabs>
          <w:tab w:leader="none" w:pos="519"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340" w:firstLine="316"/>
        <w:spacing w:after="0" w:line="277" w:lineRule="auto"/>
        <w:tabs>
          <w:tab w:leader="none" w:pos="919"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20" w:firstLine="316"/>
        <w:spacing w:after="0" w:line="277" w:lineRule="auto"/>
        <w:tabs>
          <w:tab w:leader="none" w:pos="926"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Date:  February 24, 2017</w:t>
            </w:r>
          </w:p>
        </w:tc>
        <w:tc>
          <w:tcPr>
            <w:tcW w:w="7560" w:type="dxa"/>
            <w:vAlign w:val="bottom"/>
            <w:gridSpan w:val="3"/>
          </w:tcPr>
          <w:p>
            <w:pPr>
              <w:ind w:left="1900"/>
              <w:spacing w:after="0"/>
              <w:rPr>
                <w:sz w:val="20"/>
                <w:szCs w:val="20"/>
                <w:color w:val="auto"/>
              </w:rPr>
            </w:pPr>
            <w:r>
              <w:rPr>
                <w:rFonts w:ascii="Arial" w:cs="Arial" w:eastAsia="Arial" w:hAnsi="Arial"/>
                <w:sz w:val="18"/>
                <w:szCs w:val="18"/>
                <w:color w:val="auto"/>
              </w:rPr>
              <w:t>By:    /s/ JAY SUGARMAN</w:t>
            </w:r>
          </w:p>
        </w:tc>
      </w:tr>
      <w:tr>
        <w:trPr>
          <w:trHeight w:val="27"/>
        </w:trPr>
        <w:tc>
          <w:tcPr>
            <w:tcW w:w="38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38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Jay Sugarman</w:t>
            </w:r>
          </w:p>
        </w:tc>
      </w:tr>
      <w:tr>
        <w:trPr>
          <w:trHeight w:val="270"/>
        </w:trPr>
        <w:tc>
          <w:tcPr>
            <w:tcW w:w="382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ind w:left="220"/>
              <w:spacing w:after="0"/>
              <w:rPr>
                <w:sz w:val="20"/>
                <w:szCs w:val="20"/>
                <w:color w:val="auto"/>
              </w:rPr>
            </w:pPr>
            <w:r>
              <w:rPr>
                <w:rFonts w:ascii="Arial" w:cs="Arial" w:eastAsia="Arial" w:hAnsi="Arial"/>
                <w:sz w:val="18"/>
                <w:szCs w:val="18"/>
                <w:i w:val="1"/>
                <w:iCs w:val="1"/>
                <w:color w:val="auto"/>
              </w:rPr>
              <w:t>Chief Executive Officer</w:t>
            </w:r>
          </w:p>
        </w:tc>
      </w:tr>
    </w:tbl>
    <w:p>
      <w:pPr>
        <w:sectPr>
          <w:pgSz w:w="11900" w:h="16838" w:orient="portrait"/>
          <w:cols w:equalWidth="0" w:num="1">
            <w:col w:w="11420"/>
          </w:cols>
          <w:pgMar w:left="240" w:top="337" w:right="2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Geoffrey G. Jervis, certify that:</w:t>
      </w:r>
    </w:p>
    <w:p>
      <w:pPr>
        <w:spacing w:after="0" w:line="171" w:lineRule="exact"/>
        <w:rPr>
          <w:sz w:val="20"/>
          <w:szCs w:val="20"/>
          <w:color w:val="auto"/>
        </w:rPr>
      </w:pPr>
    </w:p>
    <w:p>
      <w:pPr>
        <w:ind w:left="520" w:hanging="188"/>
        <w:spacing w:after="0"/>
        <w:tabs>
          <w:tab w:leader="none" w:pos="5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iStar Inc.;</w:t>
      </w:r>
    </w:p>
    <w:p>
      <w:pPr>
        <w:spacing w:after="0" w:line="171" w:lineRule="exact"/>
        <w:rPr>
          <w:rFonts w:ascii="Arial" w:cs="Arial" w:eastAsia="Arial" w:hAnsi="Arial"/>
          <w:sz w:val="18"/>
          <w:szCs w:val="18"/>
          <w:color w:val="auto"/>
        </w:rPr>
      </w:pPr>
    </w:p>
    <w:p>
      <w:pPr>
        <w:ind w:firstLine="332"/>
        <w:spacing w:after="0" w:line="342" w:lineRule="auto"/>
        <w:tabs>
          <w:tab w:leader="none" w:pos="5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332"/>
        <w:spacing w:after="0" w:line="277" w:lineRule="auto"/>
        <w:tabs>
          <w:tab w:leader="none" w:pos="522"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332"/>
        <w:spacing w:after="0" w:line="264" w:lineRule="auto"/>
        <w:tabs>
          <w:tab w:leader="none" w:pos="536"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340" w:firstLine="316"/>
        <w:spacing w:after="0" w:line="264" w:lineRule="auto"/>
        <w:tabs>
          <w:tab w:leader="none" w:pos="924"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340" w:firstLine="316"/>
        <w:spacing w:after="0" w:line="264" w:lineRule="auto"/>
        <w:tabs>
          <w:tab w:leader="none" w:pos="953"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firstLine="316"/>
        <w:spacing w:after="0" w:line="308" w:lineRule="auto"/>
        <w:tabs>
          <w:tab w:leader="none" w:pos="952" w:val="left"/>
        </w:tabs>
        <w:numPr>
          <w:ilvl w:val="1"/>
          <w:numId w:val="7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340" w:firstLine="316"/>
        <w:spacing w:after="0" w:line="264" w:lineRule="auto"/>
        <w:tabs>
          <w:tab w:leader="none" w:pos="934"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firstLine="332"/>
        <w:spacing w:after="0" w:line="308" w:lineRule="auto"/>
        <w:tabs>
          <w:tab w:leader="none" w:pos="519"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340" w:firstLine="316"/>
        <w:spacing w:after="0" w:line="277" w:lineRule="auto"/>
        <w:tabs>
          <w:tab w:leader="none" w:pos="919"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20" w:firstLine="316"/>
        <w:spacing w:after="0" w:line="277" w:lineRule="auto"/>
        <w:tabs>
          <w:tab w:leader="none" w:pos="926"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Date:  February 24, 2017</w:t>
            </w:r>
          </w:p>
        </w:tc>
        <w:tc>
          <w:tcPr>
            <w:tcW w:w="2440" w:type="dxa"/>
            <w:vAlign w:val="bottom"/>
          </w:tcPr>
          <w:p>
            <w:pPr>
              <w:ind w:left="1900"/>
              <w:spacing w:after="0"/>
              <w:rPr>
                <w:sz w:val="20"/>
                <w:szCs w:val="20"/>
                <w:color w:val="auto"/>
              </w:rPr>
            </w:pPr>
            <w:r>
              <w:rPr>
                <w:rFonts w:ascii="Arial" w:cs="Arial" w:eastAsia="Arial" w:hAnsi="Arial"/>
                <w:sz w:val="18"/>
                <w:szCs w:val="18"/>
                <w:color w:val="auto"/>
              </w:rPr>
              <w:t>By:</w:t>
            </w: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/s/ GEOFFREY G. JERVIS</w:t>
            </w:r>
          </w:p>
        </w:tc>
      </w:tr>
      <w:tr>
        <w:trPr>
          <w:trHeight w:val="27"/>
        </w:trPr>
        <w:tc>
          <w:tcPr>
            <w:tcW w:w="38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38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Geoffrey G. Jervis</w:t>
            </w:r>
          </w:p>
        </w:tc>
      </w:tr>
      <w:tr>
        <w:trPr>
          <w:trHeight w:val="164"/>
        </w:trPr>
        <w:tc>
          <w:tcPr>
            <w:tcW w:w="38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0" w:type="dxa"/>
            <w:vAlign w:val="bottom"/>
          </w:tcPr>
          <w:p>
            <w:pPr>
              <w:ind w:left="220"/>
              <w:spacing w:after="0" w:line="163" w:lineRule="exact"/>
              <w:rPr>
                <w:sz w:val="20"/>
                <w:szCs w:val="20"/>
                <w:color w:val="auto"/>
              </w:rPr>
            </w:pPr>
            <w:r>
              <w:rPr>
                <w:rFonts w:ascii="Arial" w:cs="Arial" w:eastAsia="Arial" w:hAnsi="Arial"/>
                <w:sz w:val="18"/>
                <w:szCs w:val="18"/>
                <w:i w:val="1"/>
                <w:iCs w:val="1"/>
                <w:color w:val="auto"/>
              </w:rPr>
              <w:t>Chief Financial Officer (principal</w:t>
            </w:r>
          </w:p>
        </w:tc>
      </w:tr>
    </w:tbl>
    <w:p>
      <w:pPr>
        <w:spacing w:after="0" w:line="1" w:lineRule="exact"/>
        <w:rPr>
          <w:sz w:val="20"/>
          <w:szCs w:val="20"/>
          <w:color w:val="auto"/>
        </w:rPr>
      </w:pPr>
    </w:p>
    <w:tbl>
      <w:tblPr>
        <w:tblLayout w:type="fixed"/>
        <w:tblInd w:w="63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2620" w:type="dxa"/>
            <w:vAlign w:val="bottom"/>
            <w:vMerge w:val="restart"/>
          </w:tcPr>
          <w:p>
            <w:pPr>
              <w:ind w:left="260"/>
              <w:spacing w:after="0"/>
              <w:rPr>
                <w:sz w:val="20"/>
                <w:szCs w:val="20"/>
                <w:color w:val="auto"/>
              </w:rPr>
            </w:pPr>
            <w:r>
              <w:rPr>
                <w:rFonts w:ascii="Arial" w:cs="Arial" w:eastAsia="Arial" w:hAnsi="Arial"/>
                <w:sz w:val="18"/>
                <w:szCs w:val="18"/>
                <w:i w:val="1"/>
                <w:iCs w:val="1"/>
                <w:color w:val="auto"/>
                <w:w w:val="92"/>
              </w:rPr>
              <w:t>financial and accounting officer)</w:t>
            </w:r>
          </w:p>
        </w:tc>
        <w:tc>
          <w:tcPr>
            <w:tcW w:w="0" w:type="dxa"/>
            <w:vAlign w:val="bottom"/>
          </w:tcPr>
          <w:p>
            <w:pPr>
              <w:spacing w:after="0"/>
              <w:rPr>
                <w:sz w:val="1"/>
                <w:szCs w:val="1"/>
                <w:color w:val="auto"/>
              </w:rPr>
            </w:pPr>
          </w:p>
        </w:tc>
      </w:tr>
      <w:tr>
        <w:trPr>
          <w:trHeight w:val="92"/>
        </w:trPr>
        <w:tc>
          <w:tcPr>
            <w:tcW w:w="660" w:type="dxa"/>
            <w:vAlign w:val="bottom"/>
          </w:tcPr>
          <w:p>
            <w:pPr>
              <w:spacing w:after="0"/>
              <w:rPr>
                <w:sz w:val="8"/>
                <w:szCs w:val="8"/>
                <w:color w:val="auto"/>
              </w:rPr>
            </w:pPr>
          </w:p>
        </w:tc>
        <w:tc>
          <w:tcPr>
            <w:tcW w:w="2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02"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undersigned, the Chief Executive Officer of iStar Inc. (the "Company"), hereby certifies on the date hereof, pursuant to 18 U.S.C. 1350, as adopted pursuant to Section 906 of The Sarbanes-Oxley Act of 2002, that the Annual Report on Form 10-K for the year ended December 31, 2016 (the "Form 10-K"), filed concurrently herewith by the Company, fully complies with the requirements of Section 13(a) or 15(d) of the Securities Exchange Act of 1934, as amended, and that the information contained in the Form 10-K fairly presents, in all material respects, the financial condition and results of operations of the Company.</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Date:  February 24, 2017</w:t>
            </w:r>
          </w:p>
        </w:tc>
        <w:tc>
          <w:tcPr>
            <w:tcW w:w="7560" w:type="dxa"/>
            <w:vAlign w:val="bottom"/>
            <w:gridSpan w:val="3"/>
          </w:tcPr>
          <w:p>
            <w:pPr>
              <w:ind w:left="1900"/>
              <w:spacing w:after="0"/>
              <w:rPr>
                <w:sz w:val="20"/>
                <w:szCs w:val="20"/>
                <w:color w:val="auto"/>
              </w:rPr>
            </w:pPr>
            <w:r>
              <w:rPr>
                <w:rFonts w:ascii="Arial" w:cs="Arial" w:eastAsia="Arial" w:hAnsi="Arial"/>
                <w:sz w:val="18"/>
                <w:szCs w:val="18"/>
                <w:color w:val="auto"/>
              </w:rPr>
              <w:t>By:    /s/ JAY SUGARMAN</w:t>
            </w:r>
          </w:p>
        </w:tc>
      </w:tr>
      <w:tr>
        <w:trPr>
          <w:trHeight w:val="27"/>
        </w:trPr>
        <w:tc>
          <w:tcPr>
            <w:tcW w:w="38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38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Jay Sugarman</w:t>
            </w:r>
          </w:p>
        </w:tc>
      </w:tr>
      <w:tr>
        <w:trPr>
          <w:trHeight w:val="270"/>
        </w:trPr>
        <w:tc>
          <w:tcPr>
            <w:tcW w:w="382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ind w:left="220"/>
              <w:spacing w:after="0"/>
              <w:rPr>
                <w:sz w:val="20"/>
                <w:szCs w:val="20"/>
                <w:color w:val="auto"/>
              </w:rPr>
            </w:pPr>
            <w:r>
              <w:rPr>
                <w:rFonts w:ascii="Arial" w:cs="Arial" w:eastAsia="Arial" w:hAnsi="Arial"/>
                <w:sz w:val="18"/>
                <w:szCs w:val="18"/>
                <w:i w:val="1"/>
                <w:iCs w:val="1"/>
                <w:color w:val="auto"/>
              </w:rPr>
              <w:t>Chief Executive Officer</w:t>
            </w:r>
          </w:p>
        </w:tc>
      </w:tr>
    </w:tbl>
    <w:p>
      <w:pPr>
        <w:sectPr>
          <w:pgSz w:w="11900" w:h="16838" w:orient="portrait"/>
          <w:cols w:equalWidth="0" w:num="1">
            <w:col w:w="11420"/>
          </w:cols>
          <w:pgMar w:left="240" w:top="337" w:right="2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undersigned, the Chief Financial Officer of iStar Inc. (the "Company"), hereby certifies on the date hereof, pursuant to 18 U.S.C. 1350, as adopted pursuant to Section 906 of The Sarbanes-Oxley Act of 2002, that the Annual Report on Form 10-K for the year ended December 31, 2016 (the "Form 10-K"), filed concurrently herewith by the Company, fully complies with the requirements of Section 13(a) or 15(d) of the Securities Exchange Act of 1934, as amended, and that the information contained in the Form 10-K fairly presents, in all material respects, the financial condition and results of operations of the Company.</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Date:  February 24, 2017</w:t>
            </w:r>
          </w:p>
        </w:tc>
        <w:tc>
          <w:tcPr>
            <w:tcW w:w="2440" w:type="dxa"/>
            <w:vAlign w:val="bottom"/>
          </w:tcPr>
          <w:p>
            <w:pPr>
              <w:ind w:left="1900"/>
              <w:spacing w:after="0"/>
              <w:rPr>
                <w:sz w:val="20"/>
                <w:szCs w:val="20"/>
                <w:color w:val="auto"/>
              </w:rPr>
            </w:pPr>
            <w:r>
              <w:rPr>
                <w:rFonts w:ascii="Arial" w:cs="Arial" w:eastAsia="Arial" w:hAnsi="Arial"/>
                <w:sz w:val="18"/>
                <w:szCs w:val="18"/>
                <w:color w:val="auto"/>
              </w:rPr>
              <w:t>By:</w:t>
            </w: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/s/ GEOFFREY G. JERVIS</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Geoffrey G. Jervis</w:t>
            </w:r>
          </w:p>
        </w:tc>
        <w:tc>
          <w:tcPr>
            <w:tcW w:w="0" w:type="dxa"/>
            <w:vAlign w:val="bottom"/>
          </w:tcPr>
          <w:p>
            <w:pPr>
              <w:spacing w:after="0"/>
              <w:rPr>
                <w:sz w:val="1"/>
                <w:szCs w:val="1"/>
                <w:color w:val="auto"/>
              </w:rPr>
            </w:pPr>
          </w:p>
        </w:tc>
      </w:tr>
      <w:tr>
        <w:trPr>
          <w:trHeight w:val="256"/>
        </w:trPr>
        <w:tc>
          <w:tcPr>
            <w:tcW w:w="382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720" w:type="dxa"/>
            <w:vAlign w:val="bottom"/>
            <w:vMerge w:val="restart"/>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ind w:left="220"/>
              <w:spacing w:after="0"/>
              <w:rPr>
                <w:sz w:val="20"/>
                <w:szCs w:val="20"/>
                <w:color w:val="auto"/>
              </w:rPr>
            </w:pPr>
            <w:r>
              <w:rPr>
                <w:rFonts w:ascii="Arial" w:cs="Arial" w:eastAsia="Arial" w:hAnsi="Arial"/>
                <w:sz w:val="18"/>
                <w:szCs w:val="18"/>
                <w:i w:val="1"/>
                <w:iCs w:val="1"/>
                <w:color w:val="auto"/>
              </w:rPr>
              <w:t>Chief Financial Officer (principal</w:t>
            </w:r>
          </w:p>
        </w:tc>
        <w:tc>
          <w:tcPr>
            <w:tcW w:w="0" w:type="dxa"/>
            <w:vAlign w:val="bottom"/>
          </w:tcPr>
          <w:p>
            <w:pPr>
              <w:spacing w:after="0"/>
              <w:rPr>
                <w:sz w:val="1"/>
                <w:szCs w:val="1"/>
                <w:color w:val="auto"/>
              </w:rPr>
            </w:pPr>
          </w:p>
        </w:tc>
      </w:tr>
      <w:tr>
        <w:trPr>
          <w:trHeight w:val="122"/>
        </w:trPr>
        <w:tc>
          <w:tcPr>
            <w:tcW w:w="38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400" w:type="dxa"/>
            <w:vAlign w:val="bottom"/>
            <w:vMerge w:val="restart"/>
          </w:tcPr>
          <w:p>
            <w:pPr>
              <w:ind w:left="220"/>
              <w:spacing w:after="0"/>
              <w:rPr>
                <w:sz w:val="20"/>
                <w:szCs w:val="20"/>
                <w:color w:val="auto"/>
              </w:rPr>
            </w:pPr>
            <w:r>
              <w:rPr>
                <w:rFonts w:ascii="Arial" w:cs="Arial" w:eastAsia="Arial" w:hAnsi="Arial"/>
                <w:sz w:val="18"/>
                <w:szCs w:val="18"/>
                <w:i w:val="1"/>
                <w:iCs w:val="1"/>
                <w:color w:val="auto"/>
              </w:rPr>
              <w:t>financial and accounting officer)</w:t>
            </w:r>
          </w:p>
        </w:tc>
        <w:tc>
          <w:tcPr>
            <w:tcW w:w="0" w:type="dxa"/>
            <w:vAlign w:val="bottom"/>
          </w:tcPr>
          <w:p>
            <w:pPr>
              <w:spacing w:after="0"/>
              <w:rPr>
                <w:sz w:val="1"/>
                <w:szCs w:val="1"/>
                <w:color w:val="auto"/>
              </w:rPr>
            </w:pPr>
          </w:p>
        </w:tc>
      </w:tr>
      <w:tr>
        <w:trPr>
          <w:trHeight w:val="108"/>
        </w:trPr>
        <w:tc>
          <w:tcPr>
            <w:tcW w:w="38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000080"/>
        </w:rPr>
        <w:t>Consolidated Financial Statements</w:t>
      </w:r>
    </w:p>
    <w:p>
      <w:pPr>
        <w:spacing w:after="0" w:line="221" w:lineRule="exact"/>
        <w:rPr>
          <w:sz w:val="20"/>
          <w:szCs w:val="20"/>
          <w:color w:val="auto"/>
        </w:rPr>
      </w:pPr>
    </w:p>
    <w:p>
      <w:pPr>
        <w:jc w:val="center"/>
        <w:ind w:right="480"/>
        <w:spacing w:after="0"/>
        <w:rPr>
          <w:sz w:val="20"/>
          <w:szCs w:val="20"/>
          <w:color w:val="auto"/>
        </w:rPr>
      </w:pPr>
      <w:r>
        <w:rPr>
          <w:rFonts w:ascii="Arial" w:cs="Arial" w:eastAsia="Arial" w:hAnsi="Arial"/>
          <w:sz w:val="23"/>
          <w:szCs w:val="23"/>
          <w:b w:val="1"/>
          <w:bCs w:val="1"/>
          <w:color w:val="000080"/>
        </w:rPr>
        <w:t>Marina Palms, LLC and Subsidiaries</w:t>
      </w:r>
    </w:p>
    <w:p>
      <w:pPr>
        <w:spacing w:after="0" w:line="60" w:lineRule="exact"/>
        <w:rPr>
          <w:sz w:val="20"/>
          <w:szCs w:val="20"/>
          <w:color w:val="auto"/>
        </w:rPr>
      </w:pPr>
    </w:p>
    <w:p>
      <w:pPr>
        <w:jc w:val="center"/>
        <w:ind w:right="480"/>
        <w:spacing w:after="0"/>
        <w:rPr>
          <w:sz w:val="20"/>
          <w:szCs w:val="20"/>
          <w:color w:val="auto"/>
        </w:rPr>
      </w:pPr>
      <w:r>
        <w:rPr>
          <w:rFonts w:ascii="Arial" w:cs="Arial" w:eastAsia="Arial" w:hAnsi="Arial"/>
          <w:sz w:val="16"/>
          <w:szCs w:val="16"/>
          <w:b w:val="1"/>
          <w:bCs w:val="1"/>
          <w:color w:val="000080"/>
        </w:rPr>
        <w:t>(A Delaware Limited Liability Company)</w:t>
      </w:r>
    </w:p>
    <w:p>
      <w:pPr>
        <w:spacing w:after="0" w:line="199"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000080"/>
        </w:rPr>
        <w:t>For the Years Ended December 31, 2016 and 2015</w:t>
      </w:r>
    </w:p>
    <w:p>
      <w:pPr>
        <w:sectPr>
          <w:pgSz w:w="11900" w:h="16838" w:orient="portrait"/>
          <w:cols w:equalWidth="0" w:num="1">
            <w:col w:w="10220"/>
          </w:cols>
          <w:pgMar w:left="1440" w:top="121" w:right="239" w:bottom="1440" w:gutter="0" w:footer="0" w:header="0"/>
        </w:sectPr>
      </w:pPr>
    </w:p>
    <w:bookmarkStart w:id="147" w:name="page148"/>
    <w:bookmarkEnd w:id="1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543560</wp:posOffset>
            </wp:positionV>
            <wp:extent cx="5848985" cy="13893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5848985" cy="138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2060"/>
        </w:rPr>
        <w:t>Independent Auditor’s Report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To the Members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Marina Palms, LLC and Subsidiaries</w:t>
      </w:r>
    </w:p>
    <w:p>
      <w:pPr>
        <w:spacing w:after="0" w:line="308"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We have audited the accompanying consolidated financial statements of Marina Palms, LLC and Subsidiaries (a Delaware Limited Liability Company), which comprise the consolidated balance sheets as of December 31, 2016 and 2015, and the related consolidated statements of income, members’ capital, and cash flows for the years then ended, and the related notes to the consolidated financial statements.</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Management’s Responsibility for the Financial Statements</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Management is responsible for the preparation and fair presentation of these consolidated financial statements in accordance with accounting principles generally accepted in the United States of America; this includes the design, implementation, and maintenance of internal control relevant to the preparation and fair presentation of consolidated financial statements that are free from material misstatement, whether due to fraud or error.</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Auditor’s Responsibility</w:t>
      </w:r>
    </w:p>
    <w:p>
      <w:pPr>
        <w:spacing w:after="0" w:line="108" w:lineRule="exact"/>
        <w:rPr>
          <w:sz w:val="20"/>
          <w:szCs w:val="20"/>
          <w:color w:val="auto"/>
        </w:rPr>
      </w:pPr>
    </w:p>
    <w:p>
      <w:pPr>
        <w:jc w:val="both"/>
        <w:ind w:right="20"/>
        <w:spacing w:after="0" w:line="291" w:lineRule="auto"/>
        <w:rPr>
          <w:sz w:val="20"/>
          <w:szCs w:val="20"/>
          <w:color w:val="auto"/>
        </w:rPr>
      </w:pPr>
      <w:r>
        <w:rPr>
          <w:rFonts w:ascii="Arial" w:cs="Arial" w:eastAsia="Arial" w:hAnsi="Arial"/>
          <w:sz w:val="18"/>
          <w:szCs w:val="18"/>
          <w:color w:val="auto"/>
        </w:rPr>
        <w:t>Our responsibility is to express an opinion on these consolidated financial statements based on our audits. We conducted our audits in accordance with auditing standards generally accepted in the United States of America. Those standards require that we plan and perform the audits to obtain reasonable assurance about whether the consolidated financial statements are free from material misstatement.</w:t>
      </w:r>
    </w:p>
    <w:p>
      <w:pPr>
        <w:spacing w:after="0" w:line="44"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consolidated financial statements. The procedures selected depend on the auditor's judgment, including the assessment of the risks of material misstatement of the consolidated financial statements, whether due to fraud or error. In making those risk assessments, the auditor considers internal control relevant to the entity's preparation and fair presentation of the consolidated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w:t>
      </w:r>
    </w:p>
    <w:p>
      <w:pPr>
        <w:spacing w:after="0" w:line="61" w:lineRule="exact"/>
        <w:rPr>
          <w:sz w:val="20"/>
          <w:szCs w:val="20"/>
          <w:color w:val="auto"/>
        </w:rPr>
      </w:pPr>
    </w:p>
    <w:p>
      <w:pPr>
        <w:ind w:right="1820"/>
        <w:spacing w:after="0" w:line="352" w:lineRule="auto"/>
        <w:rPr>
          <w:sz w:val="20"/>
          <w:szCs w:val="20"/>
          <w:color w:val="auto"/>
        </w:rPr>
      </w:pPr>
      <w:r>
        <w:rPr>
          <w:rFonts w:ascii="Arial" w:cs="Arial" w:eastAsia="Arial" w:hAnsi="Arial"/>
          <w:sz w:val="20"/>
          <w:szCs w:val="20"/>
          <w:color w:val="auto"/>
        </w:rPr>
        <w:t xml:space="preserve">We believe that the audit evidence we have obtained is sufficient and appropriate to provide a basis for our audit opinion. </w:t>
      </w:r>
      <w:r>
        <w:rPr>
          <w:rFonts w:ascii="Arial" w:cs="Arial" w:eastAsia="Arial" w:hAnsi="Arial"/>
          <w:sz w:val="20"/>
          <w:szCs w:val="20"/>
          <w:b w:val="1"/>
          <w:bCs w:val="1"/>
          <w:i w:val="1"/>
          <w:iCs w:val="1"/>
          <w:color w:val="auto"/>
        </w:rPr>
        <w:t>Opinion</w:t>
      </w:r>
    </w:p>
    <w:p>
      <w:pPr>
        <w:spacing w:after="0" w:line="1"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Marina Palms, LLC and Subsidiaries as of December 31, 2016 and 2015, and the results of their consolidated operations and their consolidated cash flows for the years then ended, in accordance with accounting principles generally accepted in the United States of America.</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color w:val="auto"/>
        </w:rPr>
        <w:t>Miami, Florida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10, 2017</w:t>
      </w:r>
    </w:p>
    <w:p>
      <w:pPr>
        <w:sectPr>
          <w:pgSz w:w="11900" w:h="16838" w:orient="portrait"/>
          <w:cols w:equalWidth="0" w:num="1">
            <w:col w:w="11420"/>
          </w:cols>
          <w:pgMar w:left="240" w:top="1440" w:right="239" w:bottom="1440" w:gutter="0" w:footer="0" w:header="0"/>
        </w:sectPr>
      </w:pPr>
    </w:p>
    <w:bookmarkStart w:id="148" w:name="page149"/>
    <w:bookmarkEnd w:id="1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480"/>
        </w:trPr>
        <w:tc>
          <w:tcPr>
            <w:tcW w:w="4080" w:type="dxa"/>
            <w:vAlign w:val="bottom"/>
          </w:tcPr>
          <w:p>
            <w:pPr>
              <w:spacing w:after="0"/>
              <w:rPr>
                <w:sz w:val="24"/>
                <w:szCs w:val="24"/>
                <w:color w:val="auto"/>
              </w:rPr>
            </w:pPr>
          </w:p>
        </w:tc>
        <w:tc>
          <w:tcPr>
            <w:tcW w:w="6520" w:type="dxa"/>
            <w:vAlign w:val="bottom"/>
          </w:tcPr>
          <w:p>
            <w:pPr>
              <w:ind w:left="440"/>
              <w:spacing w:after="0"/>
              <w:rPr>
                <w:sz w:val="20"/>
                <w:szCs w:val="20"/>
                <w:color w:val="auto"/>
              </w:rPr>
            </w:pPr>
            <w:r>
              <w:rPr>
                <w:rFonts w:ascii="Arial" w:cs="Arial" w:eastAsia="Arial" w:hAnsi="Arial"/>
                <w:sz w:val="36"/>
                <w:szCs w:val="36"/>
                <w:b w:val="1"/>
                <w:bCs w:val="1"/>
                <w:color w:val="auto"/>
              </w:rPr>
              <w:t>Contents</w:t>
            </w:r>
          </w:p>
        </w:tc>
      </w:tr>
      <w:tr>
        <w:trPr>
          <w:trHeight w:val="1060"/>
        </w:trPr>
        <w:tc>
          <w:tcPr>
            <w:tcW w:w="408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ind w:left="5780"/>
              <w:spacing w:after="0"/>
              <w:rPr>
                <w:sz w:val="20"/>
                <w:szCs w:val="20"/>
                <w:color w:val="auto"/>
              </w:rPr>
            </w:pPr>
            <w:r>
              <w:rPr>
                <w:rFonts w:ascii="Arial" w:cs="Arial" w:eastAsia="Arial" w:hAnsi="Arial"/>
                <w:sz w:val="21"/>
                <w:szCs w:val="21"/>
                <w:color w:val="auto"/>
              </w:rPr>
              <w:t>PAGE</w:t>
            </w:r>
          </w:p>
        </w:tc>
      </w:tr>
      <w:tr>
        <w:trPr>
          <w:trHeight w:val="648"/>
        </w:trPr>
        <w:tc>
          <w:tcPr>
            <w:tcW w:w="4080" w:type="dxa"/>
            <w:vAlign w:val="bottom"/>
          </w:tcPr>
          <w:p>
            <w:pPr>
              <w:spacing w:after="0"/>
              <w:rPr>
                <w:sz w:val="24"/>
                <w:szCs w:val="24"/>
                <w:color w:val="auto"/>
              </w:rPr>
            </w:pPr>
          </w:p>
        </w:tc>
        <w:tc>
          <w:tcPr>
            <w:tcW w:w="6520" w:type="dxa"/>
            <w:vAlign w:val="bottom"/>
          </w:tcPr>
          <w:p>
            <w:pPr>
              <w:spacing w:after="0"/>
              <w:rPr>
                <w:sz w:val="24"/>
                <w:szCs w:val="24"/>
                <w:color w:val="auto"/>
              </w:rPr>
            </w:pPr>
          </w:p>
        </w:tc>
      </w:tr>
      <w:tr>
        <w:trPr>
          <w:trHeight w:val="297"/>
        </w:trPr>
        <w:tc>
          <w:tcPr>
            <w:tcW w:w="4080" w:type="dxa"/>
            <w:vAlign w:val="bottom"/>
            <w:shd w:val="clear" w:color="auto" w:fill="CCEEFF"/>
          </w:tcPr>
          <w:p>
            <w:pPr>
              <w:ind w:left="20"/>
              <w:spacing w:after="0"/>
              <w:rPr>
                <w:sz w:val="20"/>
                <w:szCs w:val="20"/>
                <w:color w:val="auto"/>
              </w:rPr>
            </w:pPr>
            <w:r>
              <w:rPr>
                <w:rFonts w:ascii="Arial" w:cs="Arial" w:eastAsia="Arial" w:hAnsi="Arial"/>
                <w:sz w:val="21"/>
                <w:szCs w:val="21"/>
                <w:color w:val="auto"/>
              </w:rPr>
              <w:t>Independent Auditor’s Report</w:t>
            </w:r>
          </w:p>
        </w:tc>
        <w:tc>
          <w:tcPr>
            <w:tcW w:w="6520" w:type="dxa"/>
            <w:vAlign w:val="bottom"/>
            <w:shd w:val="clear" w:color="auto" w:fill="CCEEFF"/>
          </w:tcPr>
          <w:p>
            <w:pPr>
              <w:spacing w:after="0"/>
              <w:rPr>
                <w:sz w:val="24"/>
                <w:szCs w:val="24"/>
                <w:color w:val="auto"/>
              </w:rPr>
            </w:pPr>
          </w:p>
        </w:tc>
      </w:tr>
      <w:tr>
        <w:trPr>
          <w:trHeight w:val="324"/>
        </w:trPr>
        <w:tc>
          <w:tcPr>
            <w:tcW w:w="4080" w:type="dxa"/>
            <w:vAlign w:val="bottom"/>
          </w:tcPr>
          <w:p>
            <w:pPr>
              <w:spacing w:after="0"/>
              <w:rPr>
                <w:sz w:val="24"/>
                <w:szCs w:val="24"/>
                <w:color w:val="auto"/>
              </w:rPr>
            </w:pPr>
          </w:p>
        </w:tc>
        <w:tc>
          <w:tcPr>
            <w:tcW w:w="6520" w:type="dxa"/>
            <w:vAlign w:val="bottom"/>
          </w:tcPr>
          <w:p>
            <w:pPr>
              <w:spacing w:after="0"/>
              <w:rPr>
                <w:sz w:val="24"/>
                <w:szCs w:val="24"/>
                <w:color w:val="auto"/>
              </w:rPr>
            </w:pPr>
          </w:p>
        </w:tc>
      </w:tr>
      <w:tr>
        <w:trPr>
          <w:trHeight w:val="297"/>
        </w:trPr>
        <w:tc>
          <w:tcPr>
            <w:tcW w:w="4080" w:type="dxa"/>
            <w:vAlign w:val="bottom"/>
            <w:shd w:val="clear" w:color="auto" w:fill="CCEEFF"/>
          </w:tcPr>
          <w:p>
            <w:pPr>
              <w:ind w:left="20"/>
              <w:spacing w:after="0"/>
              <w:rPr>
                <w:sz w:val="20"/>
                <w:szCs w:val="20"/>
                <w:color w:val="auto"/>
              </w:rPr>
            </w:pPr>
            <w:r>
              <w:rPr>
                <w:rFonts w:ascii="Arial" w:cs="Arial" w:eastAsia="Arial" w:hAnsi="Arial"/>
                <w:sz w:val="21"/>
                <w:szCs w:val="21"/>
                <w:color w:val="auto"/>
              </w:rPr>
              <w:t>Consolidated Financial Statements:</w:t>
            </w:r>
          </w:p>
        </w:tc>
        <w:tc>
          <w:tcPr>
            <w:tcW w:w="6520" w:type="dxa"/>
            <w:vAlign w:val="bottom"/>
            <w:shd w:val="clear" w:color="auto" w:fill="CCEEFF"/>
          </w:tcPr>
          <w:p>
            <w:pPr>
              <w:spacing w:after="0"/>
              <w:rPr>
                <w:sz w:val="24"/>
                <w:szCs w:val="24"/>
                <w:color w:val="auto"/>
              </w:rPr>
            </w:pPr>
          </w:p>
        </w:tc>
      </w:tr>
      <w:tr>
        <w:trPr>
          <w:trHeight w:val="288"/>
        </w:trPr>
        <w:tc>
          <w:tcPr>
            <w:tcW w:w="4080" w:type="dxa"/>
            <w:vAlign w:val="bottom"/>
          </w:tcPr>
          <w:p>
            <w:pPr>
              <w:ind w:left="260"/>
              <w:spacing w:after="0"/>
              <w:rPr>
                <w:sz w:val="20"/>
                <w:szCs w:val="20"/>
                <w:color w:val="auto"/>
              </w:rPr>
            </w:pPr>
            <w:r>
              <w:rPr>
                <w:rFonts w:ascii="Arial" w:cs="Arial" w:eastAsia="Arial" w:hAnsi="Arial"/>
                <w:sz w:val="21"/>
                <w:szCs w:val="21"/>
                <w:color w:val="auto"/>
              </w:rPr>
              <w:t>Balance Sheets</w:t>
            </w:r>
          </w:p>
        </w:tc>
        <w:tc>
          <w:tcPr>
            <w:tcW w:w="6520" w:type="dxa"/>
            <w:vAlign w:val="bottom"/>
          </w:tcPr>
          <w:p>
            <w:pPr>
              <w:jc w:val="center"/>
              <w:ind w:left="5466"/>
              <w:spacing w:after="0"/>
              <w:rPr>
                <w:sz w:val="20"/>
                <w:szCs w:val="20"/>
                <w:color w:val="auto"/>
              </w:rPr>
            </w:pPr>
            <w:r>
              <w:rPr>
                <w:rFonts w:ascii="Arial" w:cs="Arial" w:eastAsia="Arial" w:hAnsi="Arial"/>
                <w:sz w:val="21"/>
                <w:szCs w:val="21"/>
                <w:color w:val="auto"/>
                <w:w w:val="85"/>
              </w:rPr>
              <w:t>1</w:t>
            </w:r>
          </w:p>
        </w:tc>
      </w:tr>
      <w:tr>
        <w:trPr>
          <w:trHeight w:val="307"/>
        </w:trPr>
        <w:tc>
          <w:tcPr>
            <w:tcW w:w="4080" w:type="dxa"/>
            <w:vAlign w:val="bottom"/>
            <w:shd w:val="clear" w:color="auto" w:fill="CCEEFF"/>
          </w:tcPr>
          <w:p>
            <w:pPr>
              <w:ind w:left="260"/>
              <w:spacing w:after="0"/>
              <w:rPr>
                <w:sz w:val="20"/>
                <w:szCs w:val="20"/>
                <w:color w:val="auto"/>
              </w:rPr>
            </w:pPr>
            <w:r>
              <w:rPr>
                <w:rFonts w:ascii="Arial" w:cs="Arial" w:eastAsia="Arial" w:hAnsi="Arial"/>
                <w:sz w:val="21"/>
                <w:szCs w:val="21"/>
                <w:color w:val="auto"/>
              </w:rPr>
              <w:t>Statements of Operations</w:t>
            </w:r>
          </w:p>
        </w:tc>
        <w:tc>
          <w:tcPr>
            <w:tcW w:w="6520" w:type="dxa"/>
            <w:vAlign w:val="bottom"/>
            <w:shd w:val="clear" w:color="auto" w:fill="CCEEFF"/>
          </w:tcPr>
          <w:p>
            <w:pPr>
              <w:jc w:val="center"/>
              <w:ind w:left="5466"/>
              <w:spacing w:after="0"/>
              <w:rPr>
                <w:sz w:val="20"/>
                <w:szCs w:val="20"/>
                <w:color w:val="auto"/>
              </w:rPr>
            </w:pPr>
            <w:r>
              <w:rPr>
                <w:rFonts w:ascii="Arial" w:cs="Arial" w:eastAsia="Arial" w:hAnsi="Arial"/>
                <w:sz w:val="21"/>
                <w:szCs w:val="21"/>
                <w:color w:val="auto"/>
                <w:w w:val="85"/>
              </w:rPr>
              <w:t>2</w:t>
            </w:r>
          </w:p>
        </w:tc>
      </w:tr>
      <w:tr>
        <w:trPr>
          <w:trHeight w:val="288"/>
        </w:trPr>
        <w:tc>
          <w:tcPr>
            <w:tcW w:w="4080" w:type="dxa"/>
            <w:vAlign w:val="bottom"/>
          </w:tcPr>
          <w:p>
            <w:pPr>
              <w:ind w:left="260"/>
              <w:spacing w:after="0"/>
              <w:rPr>
                <w:sz w:val="20"/>
                <w:szCs w:val="20"/>
                <w:color w:val="auto"/>
              </w:rPr>
            </w:pPr>
            <w:r>
              <w:rPr>
                <w:rFonts w:ascii="Arial" w:cs="Arial" w:eastAsia="Arial" w:hAnsi="Arial"/>
                <w:sz w:val="21"/>
                <w:szCs w:val="21"/>
                <w:color w:val="auto"/>
              </w:rPr>
              <w:t>Statements of Members’ Capital</w:t>
            </w:r>
          </w:p>
        </w:tc>
        <w:tc>
          <w:tcPr>
            <w:tcW w:w="6520" w:type="dxa"/>
            <w:vAlign w:val="bottom"/>
          </w:tcPr>
          <w:p>
            <w:pPr>
              <w:jc w:val="center"/>
              <w:ind w:left="5466"/>
              <w:spacing w:after="0"/>
              <w:rPr>
                <w:sz w:val="20"/>
                <w:szCs w:val="20"/>
                <w:color w:val="auto"/>
              </w:rPr>
            </w:pPr>
            <w:r>
              <w:rPr>
                <w:rFonts w:ascii="Arial" w:cs="Arial" w:eastAsia="Arial" w:hAnsi="Arial"/>
                <w:sz w:val="21"/>
                <w:szCs w:val="21"/>
                <w:color w:val="auto"/>
                <w:w w:val="85"/>
              </w:rPr>
              <w:t>3</w:t>
            </w:r>
          </w:p>
        </w:tc>
      </w:tr>
      <w:tr>
        <w:trPr>
          <w:trHeight w:val="307"/>
        </w:trPr>
        <w:tc>
          <w:tcPr>
            <w:tcW w:w="4080" w:type="dxa"/>
            <w:vAlign w:val="bottom"/>
            <w:shd w:val="clear" w:color="auto" w:fill="CCEEFF"/>
          </w:tcPr>
          <w:p>
            <w:pPr>
              <w:ind w:left="260"/>
              <w:spacing w:after="0"/>
              <w:rPr>
                <w:sz w:val="20"/>
                <w:szCs w:val="20"/>
                <w:color w:val="auto"/>
              </w:rPr>
            </w:pPr>
            <w:r>
              <w:rPr>
                <w:rFonts w:ascii="Arial" w:cs="Arial" w:eastAsia="Arial" w:hAnsi="Arial"/>
                <w:sz w:val="21"/>
                <w:szCs w:val="21"/>
                <w:color w:val="auto"/>
              </w:rPr>
              <w:t>Statements of Cash Flows</w:t>
            </w:r>
          </w:p>
        </w:tc>
        <w:tc>
          <w:tcPr>
            <w:tcW w:w="6520" w:type="dxa"/>
            <w:vAlign w:val="bottom"/>
            <w:shd w:val="clear" w:color="auto" w:fill="CCEEFF"/>
          </w:tcPr>
          <w:p>
            <w:pPr>
              <w:jc w:val="center"/>
              <w:ind w:left="5466"/>
              <w:spacing w:after="0"/>
              <w:rPr>
                <w:sz w:val="20"/>
                <w:szCs w:val="20"/>
                <w:color w:val="auto"/>
              </w:rPr>
            </w:pPr>
            <w:r>
              <w:rPr>
                <w:rFonts w:ascii="Arial" w:cs="Arial" w:eastAsia="Arial" w:hAnsi="Arial"/>
                <w:sz w:val="21"/>
                <w:szCs w:val="21"/>
                <w:color w:val="auto"/>
                <w:w w:val="85"/>
              </w:rPr>
              <w:t>4</w:t>
            </w:r>
          </w:p>
        </w:tc>
      </w:tr>
      <w:tr>
        <w:trPr>
          <w:trHeight w:val="324"/>
        </w:trPr>
        <w:tc>
          <w:tcPr>
            <w:tcW w:w="4080" w:type="dxa"/>
            <w:vAlign w:val="bottom"/>
          </w:tcPr>
          <w:p>
            <w:pPr>
              <w:spacing w:after="0"/>
              <w:rPr>
                <w:sz w:val="24"/>
                <w:szCs w:val="24"/>
                <w:color w:val="auto"/>
              </w:rPr>
            </w:pPr>
          </w:p>
        </w:tc>
        <w:tc>
          <w:tcPr>
            <w:tcW w:w="6520" w:type="dxa"/>
            <w:vAlign w:val="bottom"/>
          </w:tcPr>
          <w:p>
            <w:pPr>
              <w:spacing w:after="0"/>
              <w:rPr>
                <w:sz w:val="24"/>
                <w:szCs w:val="24"/>
                <w:color w:val="auto"/>
              </w:rPr>
            </w:pPr>
          </w:p>
        </w:tc>
      </w:tr>
      <w:tr>
        <w:trPr>
          <w:trHeight w:val="297"/>
        </w:trPr>
        <w:tc>
          <w:tcPr>
            <w:tcW w:w="4080" w:type="dxa"/>
            <w:vAlign w:val="bottom"/>
            <w:shd w:val="clear" w:color="auto" w:fill="CCEEFF"/>
          </w:tcPr>
          <w:p>
            <w:pPr>
              <w:ind w:left="20"/>
              <w:spacing w:after="0"/>
              <w:rPr>
                <w:sz w:val="20"/>
                <w:szCs w:val="20"/>
                <w:color w:val="auto"/>
              </w:rPr>
            </w:pPr>
            <w:r>
              <w:rPr>
                <w:rFonts w:ascii="Arial" w:cs="Arial" w:eastAsia="Arial" w:hAnsi="Arial"/>
                <w:sz w:val="21"/>
                <w:szCs w:val="21"/>
                <w:color w:val="auto"/>
                <w:w w:val="98"/>
              </w:rPr>
              <w:t>Notes to Consolidated Financial Statements</w:t>
            </w:r>
          </w:p>
        </w:tc>
        <w:tc>
          <w:tcPr>
            <w:tcW w:w="6520" w:type="dxa"/>
            <w:vAlign w:val="bottom"/>
            <w:shd w:val="clear" w:color="auto" w:fill="CCEEFF"/>
          </w:tcPr>
          <w:p>
            <w:pPr>
              <w:jc w:val="center"/>
              <w:ind w:left="5446"/>
              <w:spacing w:after="0"/>
              <w:rPr>
                <w:sz w:val="20"/>
                <w:szCs w:val="20"/>
                <w:color w:val="auto"/>
              </w:rPr>
            </w:pPr>
            <w:r>
              <w:rPr>
                <w:rFonts w:ascii="Arial" w:cs="Arial" w:eastAsia="Arial" w:hAnsi="Arial"/>
                <w:sz w:val="21"/>
                <w:szCs w:val="21"/>
                <w:color w:val="auto"/>
                <w:w w:val="92"/>
              </w:rPr>
              <w:t>5-9</w:t>
            </w:r>
          </w:p>
        </w:tc>
      </w:tr>
    </w:tbl>
    <w:p>
      <w:pPr>
        <w:sectPr>
          <w:pgSz w:w="11900" w:h="16838" w:orient="portrait"/>
          <w:cols w:equalWidth="0" w:num="1">
            <w:col w:w="10600"/>
          </w:cols>
          <w:pgMar w:left="660" w:top="1440" w:right="639" w:bottom="1440" w:gutter="0" w:footer="0" w:header="0"/>
        </w:sectPr>
      </w:pPr>
    </w:p>
    <w:bookmarkStart w:id="149" w:name="page150"/>
    <w:bookmarkEnd w:id="149"/>
    <w:p>
      <w:pPr>
        <w:ind w:left="4280"/>
        <w:spacing w:after="0"/>
        <w:rPr>
          <w:sz w:val="20"/>
          <w:szCs w:val="20"/>
          <w:color w:val="auto"/>
        </w:rPr>
      </w:pPr>
      <w:r>
        <w:rPr>
          <w:rFonts w:ascii="Arial" w:cs="Arial" w:eastAsia="Arial" w:hAnsi="Arial"/>
          <w:sz w:val="18"/>
          <w:szCs w:val="18"/>
          <w:b w:val="1"/>
          <w:bCs w:val="1"/>
          <w:color w:val="auto"/>
        </w:rPr>
        <w:t>Marina Palms, LLC and Subsidiaries</w:t>
      </w:r>
    </w:p>
    <w:p>
      <w:pPr>
        <w:spacing w:after="0" w:line="63"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At December 31, 2016 and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4280" w:type="dxa"/>
            <w:vAlign w:val="bottom"/>
            <w:gridSpan w:val="2"/>
          </w:tcPr>
          <w:p>
            <w:pPr>
              <w:jc w:val="right"/>
              <w:ind w:right="2160"/>
              <w:spacing w:after="0"/>
              <w:rPr>
                <w:sz w:val="20"/>
                <w:szCs w:val="20"/>
                <w:color w:val="auto"/>
              </w:rPr>
            </w:pPr>
            <w:r>
              <w:rPr>
                <w:rFonts w:ascii="Arial" w:cs="Arial" w:eastAsia="Arial" w:hAnsi="Arial"/>
                <w:sz w:val="18"/>
                <w:szCs w:val="18"/>
                <w:b w:val="1"/>
                <w:bCs w:val="1"/>
                <w:color w:val="auto"/>
              </w:rPr>
              <w:t>ASSETS</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11"/>
        </w:trPr>
        <w:tc>
          <w:tcPr>
            <w:tcW w:w="39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2015</w:t>
            </w:r>
          </w:p>
        </w:tc>
      </w:tr>
      <w:tr>
        <w:trPr>
          <w:trHeight w:val="318"/>
        </w:trPr>
        <w:tc>
          <w:tcPr>
            <w:tcW w:w="39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42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3,159,366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15,178,200</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3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b w:val="1"/>
                <w:bCs w:val="1"/>
                <w:color w:val="auto"/>
              </w:rPr>
              <w:t>28,892,743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69,418,897</w:t>
            </w:r>
          </w:p>
        </w:tc>
      </w:tr>
      <w:tr>
        <w:trPr>
          <w:trHeight w:val="27"/>
        </w:trPr>
        <w:tc>
          <w:tcPr>
            <w:tcW w:w="39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contracts receivables</w:t>
            </w:r>
          </w:p>
        </w:tc>
        <w:tc>
          <w:tcPr>
            <w:tcW w:w="3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130,664,643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158,013,673</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Investment in real estate</w:t>
            </w:r>
          </w:p>
        </w:tc>
        <w:tc>
          <w:tcPr>
            <w:tcW w:w="3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b w:val="1"/>
                <w:bCs w:val="1"/>
                <w:color w:val="auto"/>
              </w:rPr>
              <w:t>37,060,100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28,291,622</w:t>
            </w:r>
          </w:p>
        </w:tc>
      </w:tr>
      <w:tr>
        <w:trPr>
          <w:trHeight w:val="27"/>
        </w:trPr>
        <w:tc>
          <w:tcPr>
            <w:tcW w:w="39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selling costs</w:t>
            </w:r>
          </w:p>
        </w:tc>
        <w:tc>
          <w:tcPr>
            <w:tcW w:w="3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1,620,964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7,573,036</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Prepaid expenses and other assets</w:t>
            </w:r>
          </w:p>
        </w:tc>
        <w:tc>
          <w:tcPr>
            <w:tcW w:w="3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b w:val="1"/>
                <w:bCs w:val="1"/>
                <w:color w:val="auto"/>
              </w:rPr>
              <w:t>413,087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70,700</w:t>
            </w:r>
          </w:p>
        </w:tc>
      </w:tr>
      <w:tr>
        <w:trPr>
          <w:trHeight w:val="27"/>
        </w:trPr>
        <w:tc>
          <w:tcPr>
            <w:tcW w:w="392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18"/>
        </w:trPr>
        <w:tc>
          <w:tcPr>
            <w:tcW w:w="3920" w:type="dxa"/>
            <w:vAlign w:val="bottom"/>
            <w:shd w:val="clear" w:color="auto" w:fill="CCEEFF"/>
          </w:tcPr>
          <w:p>
            <w:pPr>
              <w:spacing w:after="0"/>
              <w:rPr>
                <w:sz w:val="24"/>
                <w:szCs w:val="24"/>
                <w:color w:val="auto"/>
              </w:rPr>
            </w:pPr>
          </w:p>
        </w:tc>
        <w:tc>
          <w:tcPr>
            <w:tcW w:w="38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304"/>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42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b w:val="1"/>
                <w:bCs w:val="1"/>
                <w:color w:val="auto"/>
              </w:rPr>
              <w:t>201,810,903</w:t>
            </w:r>
          </w:p>
        </w:tc>
        <w:tc>
          <w:tcPr>
            <w:tcW w:w="10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278,546,128</w:t>
            </w:r>
          </w:p>
        </w:tc>
      </w:tr>
      <w:tr>
        <w:trPr>
          <w:trHeight w:val="257"/>
        </w:trPr>
        <w:tc>
          <w:tcPr>
            <w:tcW w:w="3920" w:type="dxa"/>
            <w:vAlign w:val="bottom"/>
            <w:tcBorders>
              <w:top w:val="single" w:sz="8" w:color="CCEEFF"/>
            </w:tcBorders>
            <w:shd w:val="clear" w:color="auto" w:fill="CCEEFF"/>
          </w:tcPr>
          <w:p>
            <w:pPr>
              <w:spacing w:after="0"/>
              <w:rPr>
                <w:sz w:val="22"/>
                <w:szCs w:val="22"/>
                <w:color w:val="auto"/>
              </w:rPr>
            </w:pPr>
          </w:p>
        </w:tc>
        <w:tc>
          <w:tcPr>
            <w:tcW w:w="386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spacing w:after="0"/>
              <w:rPr>
                <w:sz w:val="22"/>
                <w:szCs w:val="22"/>
                <w:color w:val="auto"/>
              </w:rPr>
            </w:pPr>
          </w:p>
        </w:tc>
        <w:tc>
          <w:tcPr>
            <w:tcW w:w="14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spacing w:after="0"/>
              <w:rPr>
                <w:sz w:val="22"/>
                <w:szCs w:val="22"/>
                <w:color w:val="auto"/>
              </w:rPr>
            </w:pPr>
          </w:p>
        </w:tc>
      </w:tr>
      <w:tr>
        <w:trPr>
          <w:trHeight w:val="324"/>
        </w:trPr>
        <w:tc>
          <w:tcPr>
            <w:tcW w:w="39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84"/>
        </w:trPr>
        <w:tc>
          <w:tcPr>
            <w:tcW w:w="3920" w:type="dxa"/>
            <w:vAlign w:val="bottom"/>
            <w:shd w:val="clear" w:color="auto" w:fill="CCEEFF"/>
          </w:tcPr>
          <w:p>
            <w:pPr>
              <w:spacing w:after="0"/>
              <w:rPr>
                <w:sz w:val="24"/>
                <w:szCs w:val="24"/>
                <w:color w:val="auto"/>
              </w:rPr>
            </w:pPr>
          </w:p>
        </w:tc>
        <w:tc>
          <w:tcPr>
            <w:tcW w:w="38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bl>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LIABILITIES AND MEMBERS'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2057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 payable</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44,031,397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10,367,251</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Accounts payable and accrued expenses</w:t>
            </w:r>
          </w:p>
        </w:tc>
        <w:tc>
          <w:tcPr>
            <w:tcW w:w="46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20,937,753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23,928,742</w:t>
            </w:r>
          </w:p>
        </w:tc>
      </w:tr>
      <w:tr>
        <w:trPr>
          <w:trHeight w:val="27"/>
        </w:trPr>
        <w:tc>
          <w:tcPr>
            <w:tcW w:w="7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29,058,699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151,897,896</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Customer deposits</w:t>
            </w:r>
          </w:p>
        </w:tc>
        <w:tc>
          <w:tcPr>
            <w:tcW w:w="46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217,720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540,864</w:t>
            </w:r>
          </w:p>
        </w:tc>
      </w:tr>
      <w:tr>
        <w:trPr>
          <w:trHeight w:val="27"/>
        </w:trPr>
        <w:tc>
          <w:tcPr>
            <w:tcW w:w="77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18"/>
        </w:trPr>
        <w:tc>
          <w:tcPr>
            <w:tcW w:w="77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Total liabilities</w:t>
            </w:r>
          </w:p>
        </w:tc>
        <w:tc>
          <w:tcPr>
            <w:tcW w:w="46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94,245,569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186,734,753</w:t>
            </w:r>
          </w:p>
        </w:tc>
      </w:tr>
      <w:tr>
        <w:trPr>
          <w:trHeight w:val="27"/>
        </w:trPr>
        <w:tc>
          <w:tcPr>
            <w:tcW w:w="7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7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Members' capital</w:t>
            </w:r>
          </w:p>
        </w:tc>
        <w:tc>
          <w:tcPr>
            <w:tcW w:w="46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107,565,334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91,811,375</w:t>
            </w:r>
          </w:p>
        </w:tc>
      </w:tr>
      <w:tr>
        <w:trPr>
          <w:trHeight w:val="27"/>
        </w:trPr>
        <w:tc>
          <w:tcPr>
            <w:tcW w:w="77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18"/>
        </w:trPr>
        <w:tc>
          <w:tcPr>
            <w:tcW w:w="77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30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liabilities and members' capital</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201,810,903</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278,546,128</w:t>
            </w:r>
          </w:p>
        </w:tc>
      </w:tr>
      <w:tr>
        <w:trPr>
          <w:trHeight w:val="271"/>
        </w:trPr>
        <w:tc>
          <w:tcPr>
            <w:tcW w:w="77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7300" w:type="dxa"/>
        <w:tblCellMar>
          <w:top w:w="0" w:type="dxa"/>
          <w:left w:w="0" w:type="dxa"/>
          <w:bottom w:w="0" w:type="dxa"/>
          <w:right w:w="0" w:type="dxa"/>
        </w:tblCellMar>
      </w:tblPr>
      <w:tr>
        <w:trPr>
          <w:trHeight w:val="230"/>
        </w:trPr>
        <w:tc>
          <w:tcPr>
            <w:tcW w:w="2960" w:type="dxa"/>
            <w:vAlign w:val="bottom"/>
          </w:tcPr>
          <w:p>
            <w:pPr>
              <w:spacing w:after="0"/>
              <w:rPr>
                <w:sz w:val="20"/>
                <w:szCs w:val="20"/>
                <w:color w:val="auto"/>
              </w:rPr>
            </w:pPr>
            <w:r>
              <w:rPr>
                <w:rFonts w:ascii="Arial" w:cs="Arial" w:eastAsia="Arial" w:hAnsi="Arial"/>
                <w:sz w:val="18"/>
                <w:szCs w:val="18"/>
                <w:b w:val="1"/>
                <w:bCs w:val="1"/>
                <w:i w:val="1"/>
                <w:iCs w:val="1"/>
                <w:color w:val="auto"/>
              </w:rPr>
              <w:t>See accompanying notes.</w:t>
            </w: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420"/>
          </w:cols>
          <w:pgMar w:left="240" w:top="742" w:right="239" w:bottom="1440" w:gutter="0" w:footer="0" w:header="0"/>
        </w:sectPr>
      </w:pPr>
    </w:p>
    <w:bookmarkStart w:id="150" w:name="page151"/>
    <w:bookmarkEnd w:id="150"/>
    <w:p>
      <w:pPr>
        <w:jc w:val="center"/>
        <w:ind w:right="1200"/>
        <w:spacing w:after="0"/>
        <w:rPr>
          <w:sz w:val="20"/>
          <w:szCs w:val="20"/>
          <w:color w:val="auto"/>
        </w:rPr>
      </w:pPr>
      <w:r>
        <w:rPr>
          <w:rFonts w:ascii="Arial" w:cs="Arial" w:eastAsia="Arial" w:hAnsi="Arial"/>
          <w:sz w:val="18"/>
          <w:szCs w:val="18"/>
          <w:b w:val="1"/>
          <w:bCs w:val="1"/>
          <w:color w:val="auto"/>
        </w:rPr>
        <w:t>Marina Palms, LLC and Subsidiaries</w:t>
      </w:r>
    </w:p>
    <w:p>
      <w:pPr>
        <w:spacing w:after="0" w:line="6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Years Ended December 31, 2016 and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100" w:type="dxa"/>
        <w:tblCellMar>
          <w:top w:w="0" w:type="dxa"/>
          <w:left w:w="0" w:type="dxa"/>
          <w:bottom w:w="0" w:type="dxa"/>
          <w:right w:w="0" w:type="dxa"/>
        </w:tblCellMar>
      </w:tblPr>
      <w:tr>
        <w:trPr>
          <w:trHeight w:val="275"/>
        </w:trPr>
        <w:tc>
          <w:tcPr>
            <w:tcW w:w="55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2015</w:t>
            </w:r>
          </w:p>
        </w:tc>
        <w:tc>
          <w:tcPr>
            <w:tcW w:w="1280" w:type="dxa"/>
            <w:vAlign w:val="bottom"/>
          </w:tcPr>
          <w:p>
            <w:pPr>
              <w:spacing w:after="0"/>
              <w:rPr>
                <w:sz w:val="23"/>
                <w:szCs w:val="23"/>
                <w:color w:val="auto"/>
              </w:rPr>
            </w:pPr>
          </w:p>
        </w:tc>
      </w:tr>
      <w:tr>
        <w:trPr>
          <w:trHeight w:val="561"/>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of condominiums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145,040,092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176,032,989</w:t>
            </w:r>
          </w:p>
        </w:tc>
        <w:tc>
          <w:tcPr>
            <w:tcW w:w="1280" w:type="dxa"/>
            <w:vAlign w:val="bottom"/>
          </w:tcPr>
          <w:p>
            <w:pPr>
              <w:spacing w:after="0"/>
              <w:rPr>
                <w:sz w:val="21"/>
                <w:szCs w:val="21"/>
                <w:color w:val="auto"/>
              </w:rPr>
            </w:pP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Closing cost reimbursements, interest and other</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2,931,952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3,300,216</w:t>
            </w:r>
          </w:p>
        </w:tc>
        <w:tc>
          <w:tcPr>
            <w:tcW w:w="1280" w:type="dxa"/>
            <w:vAlign w:val="bottom"/>
          </w:tcPr>
          <w:p>
            <w:pPr>
              <w:spacing w:after="0"/>
              <w:rPr>
                <w:sz w:val="21"/>
                <w:szCs w:val="2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80" w:type="dxa"/>
            <w:vAlign w:val="bottom"/>
          </w:tcPr>
          <w:p>
            <w:pPr>
              <w:spacing w:after="0"/>
              <w:rPr>
                <w:sz w:val="2"/>
                <w:szCs w:val="2"/>
                <w:color w:val="auto"/>
              </w:rPr>
            </w:pPr>
          </w:p>
        </w:tc>
      </w:tr>
      <w:tr>
        <w:trPr>
          <w:trHeight w:val="277"/>
        </w:trPr>
        <w:tc>
          <w:tcPr>
            <w:tcW w:w="55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80" w:type="dxa"/>
            <w:vAlign w:val="bottom"/>
          </w:tcPr>
          <w:p>
            <w:pPr>
              <w:spacing w:after="0"/>
              <w:rPr>
                <w:sz w:val="24"/>
                <w:szCs w:val="24"/>
                <w:color w:val="auto"/>
              </w:rPr>
            </w:pP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147,972,044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179,333,205</w:t>
            </w:r>
          </w:p>
        </w:tc>
        <w:tc>
          <w:tcPr>
            <w:tcW w:w="1280" w:type="dxa"/>
            <w:vAlign w:val="bottom"/>
          </w:tcPr>
          <w:p>
            <w:pPr>
              <w:spacing w:after="0"/>
              <w:rPr>
                <w:sz w:val="21"/>
                <w:szCs w:val="2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80" w:type="dxa"/>
            <w:vAlign w:val="bottom"/>
          </w:tcPr>
          <w:p>
            <w:pPr>
              <w:spacing w:after="0"/>
              <w:rPr>
                <w:sz w:val="2"/>
                <w:szCs w:val="2"/>
                <w:color w:val="auto"/>
              </w:rPr>
            </w:pPr>
          </w:p>
        </w:tc>
      </w:tr>
      <w:tr>
        <w:trPr>
          <w:trHeight w:val="277"/>
        </w:trPr>
        <w:tc>
          <w:tcPr>
            <w:tcW w:w="55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80" w:type="dxa"/>
            <w:vAlign w:val="bottom"/>
          </w:tcPr>
          <w:p>
            <w:pPr>
              <w:spacing w:after="0"/>
              <w:rPr>
                <w:sz w:val="24"/>
                <w:szCs w:val="24"/>
                <w:color w:val="auto"/>
              </w:rPr>
            </w:pP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Condominium cost of sales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65,268,089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95,565,411</w:t>
            </w:r>
          </w:p>
        </w:tc>
        <w:tc>
          <w:tcPr>
            <w:tcW w:w="1280" w:type="dxa"/>
            <w:vAlign w:val="bottom"/>
          </w:tcPr>
          <w:p>
            <w:pPr>
              <w:spacing w:after="0"/>
              <w:rPr>
                <w:sz w:val="21"/>
                <w:szCs w:val="21"/>
                <w:color w:val="auto"/>
              </w:rPr>
            </w:pP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Operating, sales and marketing expenses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18,710,824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20,018,716</w:t>
            </w:r>
          </w:p>
        </w:tc>
        <w:tc>
          <w:tcPr>
            <w:tcW w:w="1280" w:type="dxa"/>
            <w:vAlign w:val="bottom"/>
          </w:tcPr>
          <w:p>
            <w:pPr>
              <w:spacing w:after="0"/>
              <w:rPr>
                <w:sz w:val="21"/>
                <w:szCs w:val="2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80" w:type="dxa"/>
            <w:vAlign w:val="bottom"/>
          </w:tcPr>
          <w:p>
            <w:pPr>
              <w:spacing w:after="0"/>
              <w:rPr>
                <w:sz w:val="2"/>
                <w:szCs w:val="2"/>
                <w:color w:val="auto"/>
              </w:rPr>
            </w:pPr>
          </w:p>
        </w:tc>
      </w:tr>
      <w:tr>
        <w:trPr>
          <w:trHeight w:val="223"/>
        </w:trPr>
        <w:tc>
          <w:tcPr>
            <w:tcW w:w="5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80" w:type="dxa"/>
            <w:vAlign w:val="bottom"/>
          </w:tcPr>
          <w:p>
            <w:pPr>
              <w:spacing w:after="0"/>
              <w:rPr>
                <w:sz w:val="19"/>
                <w:szCs w:val="19"/>
                <w:color w:val="auto"/>
              </w:rPr>
            </w:pP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83,978,913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115,584,127</w:t>
            </w:r>
          </w:p>
        </w:tc>
        <w:tc>
          <w:tcPr>
            <w:tcW w:w="1280" w:type="dxa"/>
            <w:vAlign w:val="bottom"/>
          </w:tcPr>
          <w:p>
            <w:pPr>
              <w:spacing w:after="0"/>
              <w:rPr>
                <w:sz w:val="21"/>
                <w:szCs w:val="2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80" w:type="dxa"/>
            <w:vAlign w:val="bottom"/>
          </w:tcPr>
          <w:p>
            <w:pPr>
              <w:spacing w:after="0"/>
              <w:rPr>
                <w:sz w:val="2"/>
                <w:szCs w:val="2"/>
                <w:color w:val="auto"/>
              </w:rPr>
            </w:pPr>
          </w:p>
        </w:tc>
      </w:tr>
      <w:tr>
        <w:trPr>
          <w:trHeight w:val="277"/>
        </w:trPr>
        <w:tc>
          <w:tcPr>
            <w:tcW w:w="55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80" w:type="dxa"/>
            <w:vAlign w:val="bottom"/>
          </w:tcPr>
          <w:p>
            <w:pPr>
              <w:spacing w:after="0"/>
              <w:rPr>
                <w:sz w:val="24"/>
                <w:szCs w:val="24"/>
                <w:color w:val="auto"/>
              </w:rPr>
            </w:pPr>
          </w:p>
        </w:tc>
      </w:tr>
      <w:tr>
        <w:trPr>
          <w:trHeight w:val="284"/>
        </w:trPr>
        <w:tc>
          <w:tcPr>
            <w:tcW w:w="5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4"/>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63,993,131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63,749,078</w:t>
            </w:r>
          </w:p>
        </w:tc>
        <w:tc>
          <w:tcPr>
            <w:tcW w:w="1280" w:type="dxa"/>
            <w:vAlign w:val="bottom"/>
          </w:tcPr>
          <w:p>
            <w:pPr>
              <w:spacing w:after="0"/>
              <w:rPr>
                <w:sz w:val="22"/>
                <w:szCs w:val="22"/>
                <w:color w:val="auto"/>
              </w:rPr>
            </w:pPr>
          </w:p>
        </w:tc>
      </w:tr>
      <w:tr>
        <w:trPr>
          <w:trHeight w:val="20"/>
        </w:trPr>
        <w:tc>
          <w:tcPr>
            <w:tcW w:w="5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730"/>
        </w:trPr>
        <w:tc>
          <w:tcPr>
            <w:tcW w:w="5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20" w:type="dxa"/>
            <w:vAlign w:val="bottom"/>
            <w:gridSpan w:val="4"/>
          </w:tcPr>
          <w:p>
            <w:pPr>
              <w:jc w:val="right"/>
              <w:ind w:right="870"/>
              <w:spacing w:after="0"/>
              <w:rPr>
                <w:sz w:val="20"/>
                <w:szCs w:val="20"/>
                <w:color w:val="auto"/>
              </w:rPr>
            </w:pPr>
            <w:r>
              <w:rPr>
                <w:rFonts w:ascii="Arial" w:cs="Arial" w:eastAsia="Arial" w:hAnsi="Arial"/>
                <w:sz w:val="18"/>
                <w:szCs w:val="18"/>
                <w:b w:val="1"/>
                <w:bCs w:val="1"/>
                <w:i w:val="1"/>
                <w:iCs w:val="1"/>
                <w:color w:val="auto"/>
                <w:w w:val="92"/>
              </w:rPr>
              <w:t>See accompanying notes.</w:t>
            </w: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0220"/>
          </w:cols>
          <w:pgMar w:left="1440" w:top="742" w:right="239" w:bottom="1440" w:gutter="0" w:footer="0" w:header="0"/>
        </w:sectPr>
      </w:pPr>
    </w:p>
    <w:bookmarkStart w:id="151" w:name="page152"/>
    <w:bookmarkEnd w:id="151"/>
    <w:p>
      <w:pPr>
        <w:jc w:val="center"/>
        <w:ind w:right="400"/>
        <w:spacing w:after="0"/>
        <w:rPr>
          <w:sz w:val="20"/>
          <w:szCs w:val="20"/>
          <w:color w:val="auto"/>
        </w:rPr>
      </w:pPr>
      <w:r>
        <w:rPr>
          <w:rFonts w:ascii="Arial" w:cs="Arial" w:eastAsia="Arial" w:hAnsi="Arial"/>
          <w:sz w:val="18"/>
          <w:szCs w:val="18"/>
          <w:b w:val="1"/>
          <w:bCs w:val="1"/>
          <w:color w:val="auto"/>
        </w:rPr>
        <w:t>Marina Palms, LLC and Subsidiaries</w:t>
      </w:r>
    </w:p>
    <w:p>
      <w:pPr>
        <w:spacing w:after="0" w:line="63"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Consolidated Statements of Members' Capital</w:t>
      </w:r>
    </w:p>
    <w:p>
      <w:pPr>
        <w:spacing w:after="0" w:line="63"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For the Years Ended December 31, 2016 and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Retained Earnings/</w:t>
            </w:r>
          </w:p>
        </w:tc>
        <w:tc>
          <w:tcPr>
            <w:tcW w:w="400" w:type="dxa"/>
            <w:vAlign w:val="bottom"/>
          </w:tcPr>
          <w:p>
            <w:pPr>
              <w:spacing w:after="0"/>
              <w:rPr>
                <w:sz w:val="20"/>
                <w:szCs w:val="20"/>
                <w:color w:val="auto"/>
              </w:rPr>
            </w:pPr>
          </w:p>
        </w:tc>
        <w:tc>
          <w:tcPr>
            <w:tcW w:w="2000" w:type="dxa"/>
            <w:vAlign w:val="bottom"/>
            <w:gridSpan w:val="2"/>
          </w:tcPr>
          <w:p>
            <w:pPr>
              <w:jc w:val="center"/>
              <w:ind w:right="760"/>
              <w:spacing w:after="0"/>
              <w:rPr>
                <w:sz w:val="20"/>
                <w:szCs w:val="20"/>
                <w:color w:val="auto"/>
              </w:rPr>
            </w:pPr>
            <w:r>
              <w:rPr>
                <w:rFonts w:ascii="Arial" w:cs="Arial" w:eastAsia="Arial" w:hAnsi="Arial"/>
                <w:sz w:val="18"/>
                <w:szCs w:val="18"/>
                <w:color w:val="auto"/>
                <w:w w:val="89"/>
              </w:rPr>
              <w:t>Total</w:t>
            </w:r>
          </w:p>
        </w:tc>
      </w:tr>
      <w:tr>
        <w:trPr>
          <w:trHeight w:val="270"/>
        </w:trPr>
        <w:tc>
          <w:tcPr>
            <w:tcW w:w="4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Capital</w:t>
            </w:r>
          </w:p>
        </w:tc>
        <w:tc>
          <w:tcPr>
            <w:tcW w:w="260" w:type="dxa"/>
            <w:vAlign w:val="bottom"/>
          </w:tcPr>
          <w:p>
            <w:pPr>
              <w:spacing w:after="0"/>
              <w:rPr>
                <w:sz w:val="23"/>
                <w:szCs w:val="23"/>
                <w:color w:val="auto"/>
              </w:rPr>
            </w:pPr>
          </w:p>
        </w:tc>
        <w:tc>
          <w:tcPr>
            <w:tcW w:w="1980" w:type="dxa"/>
            <w:vAlign w:val="bottom"/>
            <w:gridSpan w:val="2"/>
          </w:tcPr>
          <w:p>
            <w:pPr>
              <w:ind w:left="320"/>
              <w:spacing w:after="0"/>
              <w:rPr>
                <w:sz w:val="20"/>
                <w:szCs w:val="20"/>
                <w:color w:val="auto"/>
              </w:rPr>
            </w:pPr>
            <w:r>
              <w:rPr>
                <w:rFonts w:ascii="Arial" w:cs="Arial" w:eastAsia="Arial" w:hAnsi="Arial"/>
                <w:sz w:val="18"/>
                <w:szCs w:val="18"/>
                <w:color w:val="auto"/>
              </w:rPr>
              <w:t>(Accumulated</w:t>
            </w:r>
          </w:p>
        </w:tc>
        <w:tc>
          <w:tcPr>
            <w:tcW w:w="400" w:type="dxa"/>
            <w:vAlign w:val="bottom"/>
          </w:tcPr>
          <w:p>
            <w:pPr>
              <w:spacing w:after="0"/>
              <w:rPr>
                <w:sz w:val="23"/>
                <w:szCs w:val="23"/>
                <w:color w:val="auto"/>
              </w:rPr>
            </w:pPr>
          </w:p>
        </w:tc>
        <w:tc>
          <w:tcPr>
            <w:tcW w:w="2000" w:type="dxa"/>
            <w:vAlign w:val="bottom"/>
            <w:gridSpan w:val="2"/>
          </w:tcPr>
          <w:p>
            <w:pPr>
              <w:jc w:val="center"/>
              <w:ind w:right="800"/>
              <w:spacing w:after="0"/>
              <w:rPr>
                <w:sz w:val="20"/>
                <w:szCs w:val="20"/>
                <w:color w:val="auto"/>
              </w:rPr>
            </w:pPr>
            <w:r>
              <w:rPr>
                <w:rFonts w:ascii="Arial" w:cs="Arial" w:eastAsia="Arial" w:hAnsi="Arial"/>
                <w:sz w:val="18"/>
                <w:szCs w:val="18"/>
                <w:color w:val="auto"/>
                <w:w w:val="91"/>
              </w:rPr>
              <w:t>Members'</w:t>
            </w:r>
          </w:p>
        </w:tc>
      </w:tr>
      <w:tr>
        <w:trPr>
          <w:trHeight w:val="270"/>
        </w:trPr>
        <w:tc>
          <w:tcPr>
            <w:tcW w:w="4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Contributions</w:t>
            </w:r>
          </w:p>
        </w:tc>
        <w:tc>
          <w:tcPr>
            <w:tcW w:w="260" w:type="dxa"/>
            <w:vAlign w:val="bottom"/>
          </w:tcPr>
          <w:p>
            <w:pPr>
              <w:spacing w:after="0"/>
              <w:rPr>
                <w:sz w:val="23"/>
                <w:szCs w:val="23"/>
                <w:color w:val="auto"/>
              </w:rPr>
            </w:pPr>
          </w:p>
        </w:tc>
        <w:tc>
          <w:tcPr>
            <w:tcW w:w="198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Deficit)</w:t>
            </w:r>
          </w:p>
        </w:tc>
        <w:tc>
          <w:tcPr>
            <w:tcW w:w="400" w:type="dxa"/>
            <w:vAlign w:val="bottom"/>
          </w:tcPr>
          <w:p>
            <w:pPr>
              <w:spacing w:after="0"/>
              <w:rPr>
                <w:sz w:val="23"/>
                <w:szCs w:val="23"/>
                <w:color w:val="auto"/>
              </w:rPr>
            </w:pPr>
          </w:p>
        </w:tc>
        <w:tc>
          <w:tcPr>
            <w:tcW w:w="2000" w:type="dxa"/>
            <w:vAlign w:val="bottom"/>
            <w:gridSpan w:val="2"/>
          </w:tcPr>
          <w:p>
            <w:pPr>
              <w:jc w:val="center"/>
              <w:ind w:right="800"/>
              <w:spacing w:after="0"/>
              <w:rPr>
                <w:sz w:val="20"/>
                <w:szCs w:val="20"/>
                <w:color w:val="auto"/>
              </w:rPr>
            </w:pPr>
            <w:r>
              <w:rPr>
                <w:rFonts w:ascii="Arial" w:cs="Arial" w:eastAsia="Arial" w:hAnsi="Arial"/>
                <w:sz w:val="18"/>
                <w:szCs w:val="18"/>
                <w:color w:val="auto"/>
                <w:w w:val="92"/>
              </w:rPr>
              <w:t>Capital</w:t>
            </w:r>
          </w:p>
        </w:tc>
      </w:tr>
      <w:tr>
        <w:trPr>
          <w:trHeight w:val="27"/>
        </w:trPr>
        <w:tc>
          <w:tcPr>
            <w:tcW w:w="4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r>
      <w:tr>
        <w:trPr>
          <w:trHeight w:val="277"/>
        </w:trPr>
        <w:tc>
          <w:tcPr>
            <w:tcW w:w="4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January 1, 2015</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30,526,980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33,553,758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64,080,738</w:t>
            </w:r>
          </w:p>
        </w:tc>
        <w:tc>
          <w:tcPr>
            <w:tcW w:w="400" w:type="dxa"/>
            <w:vAlign w:val="bottom"/>
          </w:tcPr>
          <w:p>
            <w:pPr>
              <w:spacing w:after="0"/>
              <w:rPr>
                <w:sz w:val="21"/>
                <w:szCs w:val="21"/>
                <w:color w:val="auto"/>
              </w:rPr>
            </w:pPr>
          </w:p>
        </w:tc>
      </w:tr>
      <w:tr>
        <w:trPr>
          <w:trHeight w:val="284"/>
        </w:trPr>
        <w:tc>
          <w:tcPr>
            <w:tcW w:w="4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Members' distributions</w:t>
            </w:r>
          </w:p>
        </w:tc>
        <w:tc>
          <w:tcPr>
            <w:tcW w:w="3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(36,018,441)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(36,018,441)</w:t>
            </w:r>
          </w:p>
        </w:tc>
        <w:tc>
          <w:tcPr>
            <w:tcW w:w="400" w:type="dxa"/>
            <w:vAlign w:val="bottom"/>
          </w:tcPr>
          <w:p>
            <w:pPr>
              <w:spacing w:after="0"/>
              <w:rPr>
                <w:sz w:val="21"/>
                <w:szCs w:val="21"/>
                <w:color w:val="auto"/>
              </w:rPr>
            </w:pPr>
          </w:p>
        </w:tc>
      </w:tr>
      <w:tr>
        <w:trPr>
          <w:trHeight w:val="284"/>
        </w:trPr>
        <w:tc>
          <w:tcPr>
            <w:tcW w:w="4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70"/>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63,749,078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63,749,078</w:t>
            </w:r>
          </w:p>
        </w:tc>
        <w:tc>
          <w:tcPr>
            <w:tcW w:w="400" w:type="dxa"/>
            <w:vAlign w:val="bottom"/>
          </w:tcPr>
          <w:p>
            <w:pPr>
              <w:spacing w:after="0"/>
              <w:rPr>
                <w:sz w:val="23"/>
                <w:szCs w:val="23"/>
                <w:color w:val="auto"/>
              </w:rPr>
            </w:pPr>
          </w:p>
        </w:tc>
      </w:tr>
      <w:tr>
        <w:trPr>
          <w:trHeight w:val="277"/>
        </w:trPr>
        <w:tc>
          <w:tcPr>
            <w:tcW w:w="42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2015</w:t>
            </w:r>
          </w:p>
        </w:tc>
        <w:tc>
          <w:tcPr>
            <w:tcW w:w="3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30,526,980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61,284,395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91,811,375</w:t>
            </w:r>
          </w:p>
        </w:tc>
        <w:tc>
          <w:tcPr>
            <w:tcW w:w="400" w:type="dxa"/>
            <w:vAlign w:val="bottom"/>
          </w:tcPr>
          <w:p>
            <w:pPr>
              <w:spacing w:after="0"/>
              <w:rPr>
                <w:sz w:val="21"/>
                <w:szCs w:val="21"/>
                <w:color w:val="auto"/>
              </w:rPr>
            </w:pPr>
          </w:p>
        </w:tc>
      </w:tr>
      <w:tr>
        <w:trPr>
          <w:trHeight w:val="284"/>
        </w:trPr>
        <w:tc>
          <w:tcPr>
            <w:tcW w:w="4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Members' distributions</w:t>
            </w:r>
          </w:p>
        </w:tc>
        <w:tc>
          <w:tcPr>
            <w:tcW w:w="3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(48,239,172)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(48,239,172)</w:t>
            </w:r>
          </w:p>
        </w:tc>
        <w:tc>
          <w:tcPr>
            <w:tcW w:w="400" w:type="dxa"/>
            <w:vAlign w:val="bottom"/>
          </w:tcPr>
          <w:p>
            <w:pPr>
              <w:spacing w:after="0"/>
              <w:rPr>
                <w:sz w:val="21"/>
                <w:szCs w:val="21"/>
                <w:color w:val="auto"/>
              </w:rPr>
            </w:pPr>
          </w:p>
        </w:tc>
      </w:tr>
      <w:tr>
        <w:trPr>
          <w:trHeight w:val="284"/>
        </w:trPr>
        <w:tc>
          <w:tcPr>
            <w:tcW w:w="4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70"/>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63,993,131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63,993,131</w:t>
            </w:r>
          </w:p>
        </w:tc>
        <w:tc>
          <w:tcPr>
            <w:tcW w:w="400" w:type="dxa"/>
            <w:vAlign w:val="bottom"/>
          </w:tcPr>
          <w:p>
            <w:pPr>
              <w:spacing w:after="0"/>
              <w:rPr>
                <w:sz w:val="23"/>
                <w:szCs w:val="23"/>
                <w:color w:val="auto"/>
              </w:rPr>
            </w:pPr>
          </w:p>
        </w:tc>
      </w:tr>
      <w:tr>
        <w:trPr>
          <w:trHeight w:val="277"/>
        </w:trPr>
        <w:tc>
          <w:tcPr>
            <w:tcW w:w="42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r>
      <w:tr>
        <w:trPr>
          <w:trHeight w:val="264"/>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2016</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30,526,980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77,038,354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107,565,334</w:t>
            </w:r>
          </w:p>
        </w:tc>
        <w:tc>
          <w:tcPr>
            <w:tcW w:w="400" w:type="dxa"/>
            <w:vAlign w:val="bottom"/>
          </w:tcPr>
          <w:p>
            <w:pPr>
              <w:spacing w:after="0"/>
              <w:rPr>
                <w:sz w:val="22"/>
                <w:szCs w:val="22"/>
                <w:color w:val="auto"/>
              </w:rPr>
            </w:pPr>
          </w:p>
        </w:tc>
      </w:tr>
      <w:tr>
        <w:trPr>
          <w:trHeight w:val="20"/>
        </w:trPr>
        <w:tc>
          <w:tcPr>
            <w:tcW w:w="4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46"/>
        </w:trPr>
        <w:tc>
          <w:tcPr>
            <w:tcW w:w="4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80" w:type="dxa"/>
            <w:vAlign w:val="bottom"/>
            <w:gridSpan w:val="3"/>
          </w:tcPr>
          <w:p>
            <w:pPr>
              <w:jc w:val="right"/>
              <w:ind w:right="150"/>
              <w:spacing w:after="0"/>
              <w:rPr>
                <w:sz w:val="20"/>
                <w:szCs w:val="20"/>
                <w:color w:val="auto"/>
              </w:rPr>
            </w:pPr>
            <w:r>
              <w:rPr>
                <w:rFonts w:ascii="Arial" w:cs="Arial" w:eastAsia="Arial" w:hAnsi="Arial"/>
                <w:sz w:val="18"/>
                <w:szCs w:val="18"/>
                <w:b w:val="1"/>
                <w:bCs w:val="1"/>
                <w:i w:val="1"/>
                <w:iCs w:val="1"/>
                <w:color w:val="auto"/>
                <w:w w:val="95"/>
              </w:rPr>
              <w:t>See accompanying notes.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020"/>
          </w:cols>
          <w:pgMar w:left="640" w:top="742" w:right="239" w:bottom="1440" w:gutter="0" w:footer="0" w:header="0"/>
        </w:sectPr>
      </w:pPr>
    </w:p>
    <w:bookmarkStart w:id="152" w:name="page153"/>
    <w:bookmarkEnd w:id="152"/>
    <w:p>
      <w:pPr>
        <w:jc w:val="center"/>
        <w:ind w:right="1040"/>
        <w:spacing w:after="0"/>
        <w:rPr>
          <w:sz w:val="20"/>
          <w:szCs w:val="20"/>
          <w:color w:val="auto"/>
        </w:rPr>
      </w:pPr>
      <w:r>
        <w:rPr>
          <w:rFonts w:ascii="Arial" w:cs="Arial" w:eastAsia="Arial" w:hAnsi="Arial"/>
          <w:sz w:val="18"/>
          <w:szCs w:val="18"/>
          <w:b w:val="1"/>
          <w:bCs w:val="1"/>
          <w:color w:val="auto"/>
        </w:rPr>
        <w:t>Marina Palms, LLC and Subsidiaries</w:t>
      </w:r>
    </w:p>
    <w:p>
      <w:pPr>
        <w:spacing w:after="0" w:line="63"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3"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For the Years Ended December 31, 2016 and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4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color w:val="auto"/>
              </w:rPr>
              <w:t>2015</w:t>
            </w:r>
          </w:p>
        </w:tc>
      </w:tr>
      <w:tr>
        <w:trPr>
          <w:trHeight w:val="561"/>
        </w:trPr>
        <w:tc>
          <w:tcPr>
            <w:tcW w:w="6400" w:type="dxa"/>
            <w:vAlign w:val="bottom"/>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63,993,131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63,749,078</w:t>
            </w: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Adjustments to reconcile net income to net cash provided by</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Net change in percentage of completion revenue and related costs</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w w:val="99"/>
              </w:rPr>
              <w:t>(101,055,163)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(4,059,476)</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Decrease in restricted cash</w:t>
            </w:r>
          </w:p>
        </w:tc>
        <w:tc>
          <w:tcPr>
            <w:tcW w:w="24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40,526,154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18,957,341</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 decrease in prepaid expenses and 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(342,387)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34,277</w:t>
            </w: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(Decrease) increase in accounts payable and accrued expenses</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(565,543)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3,479,163</w:t>
            </w:r>
          </w:p>
        </w:tc>
      </w:tr>
      <w:tr>
        <w:trPr>
          <w:trHeight w:val="27"/>
        </w:trPr>
        <w:tc>
          <w:tcPr>
            <w:tcW w:w="6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7"/>
        </w:trPr>
        <w:tc>
          <w:tcPr>
            <w:tcW w:w="64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24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2,556,192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82,160,383</w:t>
            </w:r>
          </w:p>
        </w:tc>
      </w:tr>
      <w:tr>
        <w:trPr>
          <w:trHeight w:val="27"/>
        </w:trPr>
        <w:tc>
          <w:tcPr>
            <w:tcW w:w="6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7"/>
        </w:trPr>
        <w:tc>
          <w:tcPr>
            <w:tcW w:w="64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 payable, net</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33,664,146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(36,447,278)</w:t>
            </w: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Members' distributions</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(48,239,172)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(36,018,441)</w:t>
            </w:r>
          </w:p>
        </w:tc>
      </w:tr>
      <w:tr>
        <w:trPr>
          <w:trHeight w:val="27"/>
        </w:trPr>
        <w:tc>
          <w:tcPr>
            <w:tcW w:w="6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7"/>
        </w:trPr>
        <w:tc>
          <w:tcPr>
            <w:tcW w:w="64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b w:val="1"/>
                <w:bCs w:val="1"/>
                <w:color w:val="auto"/>
              </w:rPr>
              <w:t>Net cash (used in) financing activities</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(14,575,026)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(72,465,719)</w:t>
            </w:r>
          </w:p>
        </w:tc>
      </w:tr>
      <w:tr>
        <w:trPr>
          <w:trHeight w:val="27"/>
        </w:trPr>
        <w:tc>
          <w:tcPr>
            <w:tcW w:w="6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7"/>
        </w:trPr>
        <w:tc>
          <w:tcPr>
            <w:tcW w:w="64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b w:val="1"/>
                <w:bCs w:val="1"/>
                <w:color w:val="auto"/>
              </w:rPr>
              <w:t>Net (decrease) increase in cash</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(12,018,834)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9,694,664</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4"/>
        </w:trPr>
        <w:tc>
          <w:tcPr>
            <w:tcW w:w="64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Cash and cash equivalents, beginning of year</w:t>
            </w:r>
          </w:p>
        </w:tc>
        <w:tc>
          <w:tcPr>
            <w:tcW w:w="24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15,178,200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5,483,536</w:t>
            </w:r>
          </w:p>
        </w:tc>
      </w:tr>
      <w:tr>
        <w:trPr>
          <w:trHeight w:val="27"/>
        </w:trPr>
        <w:tc>
          <w:tcPr>
            <w:tcW w:w="6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7"/>
        </w:trPr>
        <w:tc>
          <w:tcPr>
            <w:tcW w:w="64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304"/>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Cash and cash equivalents, end of year</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3,159,366</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15,178,200</w:t>
            </w:r>
          </w:p>
        </w:tc>
      </w:tr>
      <w:tr>
        <w:trPr>
          <w:trHeight w:val="271"/>
        </w:trPr>
        <w:tc>
          <w:tcPr>
            <w:tcW w:w="64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84"/>
        </w:trPr>
        <w:tc>
          <w:tcPr>
            <w:tcW w:w="6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84"/>
        </w:trPr>
        <w:tc>
          <w:tcPr>
            <w:tcW w:w="64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Interest paid during the year</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906,611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2,123,292</w:t>
            </w:r>
          </w:p>
        </w:tc>
      </w:tr>
      <w:tr>
        <w:trPr>
          <w:trHeight w:val="20"/>
        </w:trPr>
        <w:tc>
          <w:tcPr>
            <w:tcW w:w="6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71"/>
        </w:trPr>
        <w:tc>
          <w:tcPr>
            <w:tcW w:w="6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64"/>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Interest capitalized to investment in real estate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906,611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2,123,292</w:t>
            </w:r>
          </w:p>
        </w:tc>
      </w:tr>
      <w:tr>
        <w:trPr>
          <w:trHeight w:val="20"/>
        </w:trPr>
        <w:tc>
          <w:tcPr>
            <w:tcW w:w="6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71"/>
        </w:trPr>
        <w:tc>
          <w:tcPr>
            <w:tcW w:w="6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 of noncash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In connection with percentage of completion revenue recognition and the</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related costs recognized:</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i w:val="1"/>
                <w:iCs w:val="1"/>
                <w:color w:val="auto"/>
              </w:rPr>
              <w:t>Increase (decrease) in investment in real estate</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8,768,478</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(2,389,103)</w:t>
            </w: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(Decrease) increase in sales contracts receivables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(27,349,030)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24,992,125</w:t>
            </w: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i w:val="1"/>
                <w:iCs w:val="1"/>
                <w:color w:val="auto"/>
              </w:rPr>
              <w:t>(Decrease) in deferred selling costs</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(5,952,072)</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(474,358)</w:t>
            </w: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Decrease in customer deposits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323,144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23,595,099</w:t>
            </w: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i w:val="1"/>
                <w:iCs w:val="1"/>
                <w:color w:val="auto"/>
              </w:rPr>
              <w:t>Decrease (increase) in deferred revenue</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122,839,197</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(33,444,180)</w:t>
            </w: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Decrease (increase) in accounts payable and accrued expenses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2,425,446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(8,220,107)</w:t>
            </w:r>
          </w:p>
        </w:tc>
      </w:tr>
      <w:tr>
        <w:trPr>
          <w:trHeight w:val="27"/>
        </w:trPr>
        <w:tc>
          <w:tcPr>
            <w:tcW w:w="64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0380"/>
          </w:cols>
          <w:pgMar w:left="1280" w:top="742" w:right="239" w:bottom="1440" w:gutter="0" w:footer="0" w:header="0"/>
        </w:sectPr>
      </w:pPr>
    </w:p>
    <w:p>
      <w:pPr>
        <w:spacing w:after="0" w:line="29" w:lineRule="exact"/>
        <w:rPr>
          <w:sz w:val="20"/>
          <w:szCs w:val="20"/>
          <w:color w:val="auto"/>
        </w:rPr>
      </w:pPr>
    </w:p>
    <w:p>
      <w:pPr>
        <w:ind w:left="6260"/>
        <w:spacing w:after="0"/>
        <w:tabs>
          <w:tab w:leader="none" w:pos="10280" w:val="left"/>
        </w:tabs>
        <w:rPr>
          <w:sz w:val="20"/>
          <w:szCs w:val="20"/>
          <w:color w:val="auto"/>
        </w:rPr>
      </w:pPr>
      <w:r>
        <w:rPr>
          <w:rFonts w:ascii="Arial" w:cs="Arial" w:eastAsia="Arial" w:hAnsi="Arial"/>
          <w:sz w:val="18"/>
          <w:szCs w:val="18"/>
          <w:b w:val="1"/>
          <w:bCs w:val="1"/>
          <w:i w:val="1"/>
          <w:iCs w:val="1"/>
          <w:color w:val="auto"/>
        </w:rPr>
        <w:t>See accompanying notes.</w:t>
      </w:r>
      <w:r>
        <w:rPr>
          <w:sz w:val="20"/>
          <w:szCs w:val="20"/>
          <w:color w:val="auto"/>
        </w:rPr>
        <w:tab/>
      </w:r>
      <w:r>
        <w:rPr>
          <w:rFonts w:ascii="Arial" w:cs="Arial" w:eastAsia="Arial" w:hAnsi="Arial"/>
          <w:sz w:val="14"/>
          <w:szCs w:val="14"/>
          <w:color w:val="auto"/>
        </w:rPr>
        <w:t>4</w:t>
      </w:r>
    </w:p>
    <w:p>
      <w:pPr>
        <w:sectPr>
          <w:pgSz w:w="11900" w:h="16838" w:orient="portrait"/>
          <w:cols w:equalWidth="0" w:num="1">
            <w:col w:w="10380"/>
          </w:cols>
          <w:pgMar w:left="1280" w:top="742" w:right="239" w:bottom="1440" w:gutter="0" w:footer="0" w:header="0"/>
          <w:type w:val="continuous"/>
        </w:sectPr>
      </w:pPr>
    </w:p>
    <w:bookmarkStart w:id="153" w:name="page154"/>
    <w:bookmarkEnd w:id="153"/>
    <w:p>
      <w:pPr>
        <w:jc w:val="center"/>
        <w:spacing w:after="0"/>
        <w:rPr>
          <w:sz w:val="20"/>
          <w:szCs w:val="20"/>
          <w:color w:val="auto"/>
        </w:rPr>
      </w:pPr>
      <w:r>
        <w:rPr>
          <w:rFonts w:ascii="Arial" w:cs="Arial" w:eastAsia="Arial" w:hAnsi="Arial"/>
          <w:sz w:val="19"/>
          <w:szCs w:val="19"/>
          <w:b w:val="1"/>
          <w:bCs w:val="1"/>
          <w:color w:val="auto"/>
        </w:rPr>
        <w:t>Marina Palms, LLC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0" w:hanging="652"/>
        <w:spacing w:after="0"/>
        <w:tabs>
          <w:tab w:leader="none" w:pos="660" w:val="left"/>
        </w:tabs>
        <w:numPr>
          <w:ilvl w:val="0"/>
          <w:numId w:val="71"/>
        </w:numPr>
        <w:rPr>
          <w:rFonts w:ascii="Arial" w:cs="Arial" w:eastAsia="Arial" w:hAnsi="Arial"/>
          <w:sz w:val="19"/>
          <w:szCs w:val="19"/>
          <w:b w:val="1"/>
          <w:bCs w:val="1"/>
          <w:color w:val="auto"/>
        </w:rPr>
      </w:pPr>
      <w:r>
        <w:rPr>
          <w:rFonts w:ascii="Arial" w:cs="Arial" w:eastAsia="Arial" w:hAnsi="Arial"/>
          <w:sz w:val="19"/>
          <w:szCs w:val="19"/>
          <w:b w:val="1"/>
          <w:bCs w:val="1"/>
          <w:color w:val="auto"/>
        </w:rPr>
        <w:t>Formation and Description of Business</w:t>
      </w:r>
    </w:p>
    <w:p>
      <w:pPr>
        <w:spacing w:after="0" w:line="108" w:lineRule="exact"/>
        <w:rPr>
          <w:rFonts w:ascii="Arial" w:cs="Arial" w:eastAsia="Arial" w:hAnsi="Arial"/>
          <w:sz w:val="19"/>
          <w:szCs w:val="19"/>
          <w:b w:val="1"/>
          <w:bCs w:val="1"/>
          <w:color w:val="auto"/>
        </w:rPr>
      </w:pPr>
    </w:p>
    <w:p>
      <w:pPr>
        <w:jc w:val="both"/>
        <w:ind w:left="660"/>
        <w:spacing w:after="0" w:line="246" w:lineRule="auto"/>
        <w:rPr>
          <w:rFonts w:ascii="Arial" w:cs="Arial" w:eastAsia="Arial" w:hAnsi="Arial"/>
          <w:sz w:val="19"/>
          <w:szCs w:val="19"/>
          <w:b w:val="1"/>
          <w:bCs w:val="1"/>
          <w:color w:val="auto"/>
        </w:rPr>
      </w:pPr>
      <w:r>
        <w:rPr>
          <w:rFonts w:ascii="Arial" w:cs="Arial" w:eastAsia="Arial" w:hAnsi="Arial"/>
          <w:sz w:val="20"/>
          <w:szCs w:val="20"/>
          <w:color w:val="auto"/>
        </w:rPr>
        <w:t>Marina Palms, LLC (“the Company”), a Delaware Limited Liability Company, was formed effective December 20, 2012. The Company is in the business of residential real estate development, specializing in the High Rise multi-family product through its wholly-owned subsidiaries. The real estate is located in North Miami Beach, Florida. The purchase of the property closed on April 17, 2013.</w:t>
      </w:r>
    </w:p>
    <w:p>
      <w:pPr>
        <w:spacing w:after="0" w:line="83" w:lineRule="exact"/>
        <w:rPr>
          <w:rFonts w:ascii="Arial" w:cs="Arial" w:eastAsia="Arial" w:hAnsi="Arial"/>
          <w:sz w:val="19"/>
          <w:szCs w:val="19"/>
          <w:b w:val="1"/>
          <w:bCs w:val="1"/>
          <w:color w:val="auto"/>
        </w:rPr>
      </w:pPr>
    </w:p>
    <w:p>
      <w:pPr>
        <w:jc w:val="both"/>
        <w:ind w:left="660"/>
        <w:spacing w:after="0" w:line="250" w:lineRule="auto"/>
        <w:rPr>
          <w:rFonts w:ascii="Arial" w:cs="Arial" w:eastAsia="Arial" w:hAnsi="Arial"/>
          <w:sz w:val="19"/>
          <w:szCs w:val="19"/>
          <w:b w:val="1"/>
          <w:bCs w:val="1"/>
          <w:color w:val="auto"/>
        </w:rPr>
      </w:pPr>
      <w:r>
        <w:rPr>
          <w:rFonts w:ascii="Arial" w:cs="Arial" w:eastAsia="Arial" w:hAnsi="Arial"/>
          <w:sz w:val="20"/>
          <w:szCs w:val="20"/>
          <w:color w:val="auto"/>
        </w:rPr>
        <w:t>The current site plan is approved for 468 residential condominium units and two commercial units located in two identical, 25-story towers and a 112-slip marina (the “Project”). Construction commenced on the north tower and the yacht club in September 2013 and the south tower in February 2015. As of December 31, 2016, the project is substantially complete.</w:t>
      </w:r>
    </w:p>
    <w:p>
      <w:pPr>
        <w:spacing w:after="0" w:line="75" w:lineRule="exact"/>
        <w:rPr>
          <w:rFonts w:ascii="Arial" w:cs="Arial" w:eastAsia="Arial" w:hAnsi="Arial"/>
          <w:sz w:val="19"/>
          <w:szCs w:val="19"/>
          <w:b w:val="1"/>
          <w:bCs w:val="1"/>
          <w:color w:val="auto"/>
        </w:rPr>
      </w:pPr>
    </w:p>
    <w:p>
      <w:pPr>
        <w:ind w:left="660" w:hanging="652"/>
        <w:spacing w:after="0"/>
        <w:tabs>
          <w:tab w:leader="none" w:pos="660" w:val="left"/>
        </w:tabs>
        <w:numPr>
          <w:ilvl w:val="0"/>
          <w:numId w:val="71"/>
        </w:numPr>
        <w:rPr>
          <w:rFonts w:ascii="Arial" w:cs="Arial" w:eastAsia="Arial" w:hAnsi="Arial"/>
          <w:sz w:val="19"/>
          <w:szCs w:val="19"/>
          <w:b w:val="1"/>
          <w:bCs w:val="1"/>
          <w:color w:val="auto"/>
        </w:rPr>
      </w:pPr>
      <w:r>
        <w:rPr>
          <w:rFonts w:ascii="Arial" w:cs="Arial" w:eastAsia="Arial" w:hAnsi="Arial"/>
          <w:sz w:val="19"/>
          <w:szCs w:val="19"/>
          <w:b w:val="1"/>
          <w:bCs w:val="1"/>
          <w:color w:val="auto"/>
        </w:rPr>
        <w:t>Summary of Significant Accounting Policies</w:t>
      </w:r>
    </w:p>
    <w:p>
      <w:pPr>
        <w:spacing w:after="0" w:line="108" w:lineRule="exact"/>
        <w:rPr>
          <w:rFonts w:ascii="Arial" w:cs="Arial" w:eastAsia="Arial" w:hAnsi="Arial"/>
          <w:sz w:val="19"/>
          <w:szCs w:val="19"/>
          <w:b w:val="1"/>
          <w:bCs w:val="1"/>
          <w:color w:val="auto"/>
        </w:rPr>
      </w:pPr>
    </w:p>
    <w:p>
      <w:pPr>
        <w:jc w:val="both"/>
        <w:ind w:left="660"/>
        <w:spacing w:after="0" w:line="263" w:lineRule="auto"/>
        <w:rPr>
          <w:rFonts w:ascii="Arial" w:cs="Arial" w:eastAsia="Arial" w:hAnsi="Arial"/>
          <w:sz w:val="19"/>
          <w:szCs w:val="19"/>
          <w:b w:val="1"/>
          <w:bCs w:val="1"/>
          <w:color w:val="auto"/>
        </w:rPr>
      </w:pPr>
      <w:r>
        <w:rPr>
          <w:rFonts w:ascii="Arial" w:cs="Arial" w:eastAsia="Arial" w:hAnsi="Arial"/>
          <w:sz w:val="19"/>
          <w:szCs w:val="19"/>
          <w:color w:val="auto"/>
        </w:rPr>
        <w:t>This summary of significant accounting policies for the Company is presented to assist in understanding the Company’s consolidated financial statements. The consolidated financial statements and notes are representations of the Company’s management who is responsible for their integrity and objectivity. These accounting policies conform to U.S. generally accepted accounting principles and have been consistently applied in the preparation of the consolidated financial statements.</w:t>
      </w:r>
    </w:p>
    <w:p>
      <w:pPr>
        <w:spacing w:after="0" w:line="68" w:lineRule="exact"/>
        <w:rPr>
          <w:rFonts w:ascii="Arial" w:cs="Arial" w:eastAsia="Arial" w:hAnsi="Arial"/>
          <w:sz w:val="19"/>
          <w:szCs w:val="19"/>
          <w:b w:val="1"/>
          <w:bCs w:val="1"/>
          <w:color w:val="auto"/>
        </w:rPr>
      </w:pPr>
    </w:p>
    <w:p>
      <w:pPr>
        <w:jc w:val="both"/>
        <w:ind w:left="660"/>
        <w:spacing w:after="0" w:line="246" w:lineRule="auto"/>
        <w:rPr>
          <w:rFonts w:ascii="Arial" w:cs="Arial" w:eastAsia="Arial" w:hAnsi="Arial"/>
          <w:sz w:val="19"/>
          <w:szCs w:val="19"/>
          <w:b w:val="1"/>
          <w:bCs w:val="1"/>
          <w:color w:val="auto"/>
        </w:rPr>
      </w:pPr>
      <w:r>
        <w:rPr>
          <w:rFonts w:ascii="Arial" w:cs="Arial" w:eastAsia="Arial" w:hAnsi="Arial"/>
          <w:sz w:val="20"/>
          <w:szCs w:val="20"/>
          <w:b w:val="1"/>
          <w:bCs w:val="1"/>
          <w:i w:val="1"/>
          <w:iCs w:val="1"/>
          <w:color w:val="auto"/>
        </w:rPr>
        <w:t xml:space="preserve">Principles of Consolidation. </w:t>
      </w:r>
      <w:r>
        <w:rPr>
          <w:rFonts w:ascii="Arial" w:cs="Arial" w:eastAsia="Arial" w:hAnsi="Arial"/>
          <w:sz w:val="20"/>
          <w:szCs w:val="20"/>
          <w:color w:val="auto"/>
        </w:rPr>
        <w:t>The consolidated financial statements include the financial position of the Company and its wholly-owned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subsidiary, 17093 Biscayne Boulevard - North Miami, LLC, and its wholly-owned subsidiaries, Marina Palms Residences North, LLC (“North”), Marina Palms Yacht Club, LLC (“Yacht”), and Marina Palms Residences South, LLC (“South”). All significant intercompany balances and transactions have been eliminated in consolidation.</w:t>
      </w:r>
    </w:p>
    <w:p>
      <w:pPr>
        <w:spacing w:after="0" w:line="83" w:lineRule="exact"/>
        <w:rPr>
          <w:rFonts w:ascii="Arial" w:cs="Arial" w:eastAsia="Arial" w:hAnsi="Arial"/>
          <w:sz w:val="19"/>
          <w:szCs w:val="19"/>
          <w:b w:val="1"/>
          <w:bCs w:val="1"/>
          <w:color w:val="auto"/>
        </w:rPr>
      </w:pPr>
    </w:p>
    <w:p>
      <w:pPr>
        <w:jc w:val="both"/>
        <w:ind w:left="660"/>
        <w:spacing w:after="0" w:line="243" w:lineRule="auto"/>
        <w:rPr>
          <w:rFonts w:ascii="Arial" w:cs="Arial" w:eastAsia="Arial" w:hAnsi="Arial"/>
          <w:sz w:val="19"/>
          <w:szCs w:val="19"/>
          <w:b w:val="1"/>
          <w:bCs w:val="1"/>
          <w:color w:val="auto"/>
        </w:rPr>
      </w:pPr>
      <w:r>
        <w:rPr>
          <w:rFonts w:ascii="Arial" w:cs="Arial" w:eastAsia="Arial" w:hAnsi="Arial"/>
          <w:sz w:val="20"/>
          <w:szCs w:val="20"/>
          <w:b w:val="1"/>
          <w:bCs w:val="1"/>
          <w:i w:val="1"/>
          <w:iCs w:val="1"/>
          <w:color w:val="auto"/>
        </w:rPr>
        <w:t xml:space="preserve">Revenue Recognition. </w:t>
      </w:r>
      <w:r>
        <w:rPr>
          <w:rFonts w:ascii="Arial" w:cs="Arial" w:eastAsia="Arial" w:hAnsi="Arial"/>
          <w:sz w:val="20"/>
          <w:szCs w:val="20"/>
          <w:color w:val="auto"/>
        </w:rPr>
        <w:t>Revenue from sales of condominiums is recognized under the percentage-of-completion method when certain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criteria have been met in accordance with Accounting Standards Codification (ASC) Subtopic 360-20, </w:t>
      </w:r>
      <w:r>
        <w:rPr>
          <w:rFonts w:ascii="Arial" w:cs="Arial" w:eastAsia="Arial" w:hAnsi="Arial"/>
          <w:sz w:val="20"/>
          <w:szCs w:val="20"/>
          <w:i w:val="1"/>
          <w:iCs w:val="1"/>
          <w:color w:val="auto"/>
        </w:rPr>
        <w:t>Real Estate Sales</w:t>
      </w:r>
      <w:r>
        <w:rPr>
          <w:rFonts w:ascii="Arial" w:cs="Arial" w:eastAsia="Arial" w:hAnsi="Arial"/>
          <w:sz w:val="20"/>
          <w:szCs w:val="20"/>
          <w:color w:val="auto"/>
        </w:rPr>
        <w:t xml:space="preserve"> (ASC Subtopic 360-20). These criteria require that construction is beyond a preliminary stage, sufficient units have been sold to assure that the entire property will not revert to rental property, the buyer is committed through its initial and continuing investment, sales price is collectible, and the aggregate sales proceeds and costs can be reasonably estimated. Provisions for estimated losses are made in the year that such losses (if any) become apparent.</w:t>
      </w:r>
    </w:p>
    <w:p>
      <w:pPr>
        <w:spacing w:after="0" w:line="88" w:lineRule="exact"/>
        <w:rPr>
          <w:rFonts w:ascii="Arial" w:cs="Arial" w:eastAsia="Arial" w:hAnsi="Arial"/>
          <w:sz w:val="19"/>
          <w:szCs w:val="19"/>
          <w:b w:val="1"/>
          <w:bCs w:val="1"/>
          <w:color w:val="auto"/>
        </w:rPr>
      </w:pPr>
    </w:p>
    <w:p>
      <w:pPr>
        <w:ind w:left="660" w:right="20"/>
        <w:spacing w:after="0" w:line="260" w:lineRule="auto"/>
        <w:rPr>
          <w:rFonts w:ascii="Arial" w:cs="Arial" w:eastAsia="Arial" w:hAnsi="Arial"/>
          <w:sz w:val="19"/>
          <w:szCs w:val="19"/>
          <w:b w:val="1"/>
          <w:bCs w:val="1"/>
          <w:color w:val="auto"/>
        </w:rPr>
      </w:pPr>
      <w:r>
        <w:rPr>
          <w:rFonts w:ascii="Arial" w:cs="Arial" w:eastAsia="Arial" w:hAnsi="Arial"/>
          <w:sz w:val="20"/>
          <w:szCs w:val="20"/>
          <w:b w:val="1"/>
          <w:bCs w:val="1"/>
          <w:i w:val="1"/>
          <w:iCs w:val="1"/>
          <w:color w:val="auto"/>
        </w:rPr>
        <w:t xml:space="preserve">Cash and Cash Equivalents. </w:t>
      </w:r>
      <w:r>
        <w:rPr>
          <w:rFonts w:ascii="Arial" w:cs="Arial" w:eastAsia="Arial" w:hAnsi="Arial"/>
          <w:sz w:val="20"/>
          <w:szCs w:val="20"/>
          <w:color w:val="auto"/>
        </w:rPr>
        <w:t>The Company considers certificates of deposit that do not contain material early withdrawal penalties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be cash equivalents for purposes of balance sheet classification and the statement of cash flows.</w:t>
      </w:r>
    </w:p>
    <w:p>
      <w:pPr>
        <w:spacing w:after="0" w:line="68" w:lineRule="exact"/>
        <w:rPr>
          <w:rFonts w:ascii="Arial" w:cs="Arial" w:eastAsia="Arial" w:hAnsi="Arial"/>
          <w:sz w:val="19"/>
          <w:szCs w:val="19"/>
          <w:b w:val="1"/>
          <w:bCs w:val="1"/>
          <w:color w:val="auto"/>
        </w:rPr>
      </w:pPr>
    </w:p>
    <w:p>
      <w:pPr>
        <w:ind w:left="660"/>
        <w:spacing w:after="0" w:line="260" w:lineRule="auto"/>
        <w:rPr>
          <w:rFonts w:ascii="Arial" w:cs="Arial" w:eastAsia="Arial" w:hAnsi="Arial"/>
          <w:sz w:val="19"/>
          <w:szCs w:val="19"/>
          <w:b w:val="1"/>
          <w:bCs w:val="1"/>
          <w:color w:val="auto"/>
        </w:rPr>
      </w:pPr>
      <w:r>
        <w:rPr>
          <w:rFonts w:ascii="Arial" w:cs="Arial" w:eastAsia="Arial" w:hAnsi="Arial"/>
          <w:sz w:val="20"/>
          <w:szCs w:val="20"/>
          <w:b w:val="1"/>
          <w:bCs w:val="1"/>
          <w:i w:val="1"/>
          <w:iCs w:val="1"/>
          <w:color w:val="auto"/>
        </w:rPr>
        <w:t xml:space="preserve">Restricted Cash. </w:t>
      </w:r>
      <w:r>
        <w:rPr>
          <w:rFonts w:ascii="Arial" w:cs="Arial" w:eastAsia="Arial" w:hAnsi="Arial"/>
          <w:sz w:val="20"/>
          <w:szCs w:val="20"/>
          <w:color w:val="auto"/>
        </w:rPr>
        <w:t>Restricted cash includes deposits received from customers for condominium purchases, closing proceeds and forfeited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deposit income which have not been applied to the related loan by the lender.</w:t>
      </w:r>
    </w:p>
    <w:p>
      <w:pPr>
        <w:spacing w:after="0" w:line="68" w:lineRule="exact"/>
        <w:rPr>
          <w:rFonts w:ascii="Arial" w:cs="Arial" w:eastAsia="Arial" w:hAnsi="Arial"/>
          <w:sz w:val="19"/>
          <w:szCs w:val="19"/>
          <w:b w:val="1"/>
          <w:bCs w:val="1"/>
          <w:color w:val="auto"/>
        </w:rPr>
      </w:pPr>
    </w:p>
    <w:p>
      <w:pPr>
        <w:jc w:val="both"/>
        <w:ind w:left="660"/>
        <w:spacing w:after="0" w:line="276" w:lineRule="auto"/>
        <w:rPr>
          <w:rFonts w:ascii="Arial" w:cs="Arial" w:eastAsia="Arial" w:hAnsi="Arial"/>
          <w:sz w:val="19"/>
          <w:szCs w:val="19"/>
          <w:b w:val="1"/>
          <w:bCs w:val="1"/>
          <w:color w:val="auto"/>
        </w:rPr>
      </w:pPr>
      <w:r>
        <w:rPr>
          <w:rFonts w:ascii="Arial" w:cs="Arial" w:eastAsia="Arial" w:hAnsi="Arial"/>
          <w:sz w:val="18"/>
          <w:szCs w:val="18"/>
          <w:b w:val="1"/>
          <w:bCs w:val="1"/>
          <w:i w:val="1"/>
          <w:iCs w:val="1"/>
          <w:color w:val="auto"/>
        </w:rPr>
        <w:t xml:space="preserve">Investment in Real Estate. </w:t>
      </w:r>
      <w:r>
        <w:rPr>
          <w:rFonts w:ascii="Arial" w:cs="Arial" w:eastAsia="Arial" w:hAnsi="Arial"/>
          <w:sz w:val="18"/>
          <w:szCs w:val="18"/>
          <w:color w:val="auto"/>
        </w:rPr>
        <w:t>All qualifying direct and indirect costs relating to the Company’s investment in real estate are capitalized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accordance with ASC Subtopic 970-340, </w:t>
      </w:r>
      <w:r>
        <w:rPr>
          <w:rFonts w:ascii="Arial" w:cs="Arial" w:eastAsia="Arial" w:hAnsi="Arial"/>
          <w:sz w:val="18"/>
          <w:szCs w:val="18"/>
          <w:i w:val="1"/>
          <w:iCs w:val="1"/>
          <w:color w:val="auto"/>
        </w:rPr>
        <w:t>Other Assets and Deferred Costs</w:t>
      </w:r>
      <w:r>
        <w:rPr>
          <w:rFonts w:ascii="Arial" w:cs="Arial" w:eastAsia="Arial" w:hAnsi="Arial"/>
          <w:sz w:val="18"/>
          <w:szCs w:val="18"/>
          <w:color w:val="auto"/>
        </w:rPr>
        <w:t>, and include costs related to planning and development of land or construction. Planning costs include legal costs, professional fees, market feasibility studies, engineering and architectural design, impact, and permitting fees. Construction costs include all subcontractor, direct material and labor costs and indirect costs related to overhead and supervision fees. Interest and real estate taxes are capitalized to real estate during the active development period. Indirect costs that do not clearly relate to development or construction are charged to expenses as incurred.</w:t>
      </w:r>
    </w:p>
    <w:p>
      <w:pPr>
        <w:spacing w:after="0" w:line="57" w:lineRule="exact"/>
        <w:rPr>
          <w:rFonts w:ascii="Arial" w:cs="Arial" w:eastAsia="Arial" w:hAnsi="Arial"/>
          <w:sz w:val="19"/>
          <w:szCs w:val="19"/>
          <w:b w:val="1"/>
          <w:bCs w:val="1"/>
          <w:color w:val="auto"/>
        </w:rPr>
      </w:pPr>
    </w:p>
    <w:p>
      <w:pPr>
        <w:jc w:val="both"/>
        <w:ind w:left="660"/>
        <w:spacing w:after="0" w:line="246" w:lineRule="auto"/>
        <w:rPr>
          <w:rFonts w:ascii="Arial" w:cs="Arial" w:eastAsia="Arial" w:hAnsi="Arial"/>
          <w:sz w:val="19"/>
          <w:szCs w:val="19"/>
          <w:b w:val="1"/>
          <w:bCs w:val="1"/>
          <w:color w:val="auto"/>
        </w:rPr>
      </w:pPr>
      <w:r>
        <w:rPr>
          <w:rFonts w:ascii="Arial" w:cs="Arial" w:eastAsia="Arial" w:hAnsi="Arial"/>
          <w:sz w:val="20"/>
          <w:szCs w:val="20"/>
          <w:color w:val="auto"/>
        </w:rPr>
        <w:t>Investment in real estate is stated at cost, unless the property is determined to be impaired. Impairment of the property is measured by a comparison of the carrying amount of the property to future estimated cash flows expected to be generated by the property or an independent appraisal. If the property is considered impaired, the property is written down to fair value. Write-downs of impaired property to fair value are recorded as adjustments to the cost basis.</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36" w:right="2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9"/>
          <w:szCs w:val="19"/>
          <w:b w:val="1"/>
          <w:bCs w:val="1"/>
          <w:color w:val="auto"/>
        </w:rPr>
        <w:t>Marina Palms, LLC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2.</w:t>
      </w:r>
      <w:r>
        <w:rPr>
          <w:sz w:val="20"/>
          <w:szCs w:val="20"/>
          <w:color w:val="auto"/>
        </w:rPr>
        <w:tab/>
      </w:r>
      <w:r>
        <w:rPr>
          <w:rFonts w:ascii="Arial" w:cs="Arial" w:eastAsia="Arial" w:hAnsi="Arial"/>
          <w:sz w:val="19"/>
          <w:szCs w:val="19"/>
          <w:b w:val="1"/>
          <w:bCs w:val="1"/>
          <w:color w:val="auto"/>
        </w:rPr>
        <w:t>Summary of Significant Accounting Policies (Cont’d.)</w:t>
      </w:r>
    </w:p>
    <w:p>
      <w:pPr>
        <w:spacing w:after="0" w:line="118" w:lineRule="exact"/>
        <w:rPr>
          <w:sz w:val="20"/>
          <w:szCs w:val="20"/>
          <w:color w:val="auto"/>
        </w:rPr>
      </w:pPr>
    </w:p>
    <w:p>
      <w:pPr>
        <w:jc w:val="both"/>
        <w:ind w:left="660"/>
        <w:spacing w:after="0" w:line="287" w:lineRule="auto"/>
        <w:rPr>
          <w:sz w:val="20"/>
          <w:szCs w:val="20"/>
          <w:color w:val="auto"/>
        </w:rPr>
      </w:pPr>
      <w:r>
        <w:rPr>
          <w:rFonts w:ascii="Arial" w:cs="Arial" w:eastAsia="Arial" w:hAnsi="Arial"/>
          <w:sz w:val="19"/>
          <w:szCs w:val="19"/>
          <w:b w:val="1"/>
          <w:bCs w:val="1"/>
          <w:i w:val="1"/>
          <w:iCs w:val="1"/>
          <w:color w:val="auto"/>
        </w:rPr>
        <w:t xml:space="preserve">Income Taxes. </w:t>
      </w:r>
      <w:r>
        <w:rPr>
          <w:rFonts w:ascii="Arial" w:cs="Arial" w:eastAsia="Arial" w:hAnsi="Arial"/>
          <w:sz w:val="19"/>
          <w:szCs w:val="19"/>
          <w:color w:val="auto"/>
        </w:rPr>
        <w:t>No provision has been made for income taxes in the accompanying consolidated financial statements since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Company is not directly subject to income taxes and the results of operations are included in the tax returns of the members.</w:t>
      </w:r>
    </w:p>
    <w:p>
      <w:pPr>
        <w:spacing w:after="0" w:line="45" w:lineRule="exact"/>
        <w:rPr>
          <w:sz w:val="20"/>
          <w:szCs w:val="20"/>
          <w:color w:val="auto"/>
        </w:rPr>
      </w:pPr>
    </w:p>
    <w:p>
      <w:pPr>
        <w:jc w:val="both"/>
        <w:ind w:left="660"/>
        <w:spacing w:after="0" w:line="259" w:lineRule="auto"/>
        <w:rPr>
          <w:sz w:val="20"/>
          <w:szCs w:val="20"/>
          <w:color w:val="auto"/>
        </w:rPr>
      </w:pPr>
      <w:r>
        <w:rPr>
          <w:rFonts w:ascii="Arial" w:cs="Arial" w:eastAsia="Arial" w:hAnsi="Arial"/>
          <w:sz w:val="19"/>
          <w:szCs w:val="19"/>
          <w:color w:val="auto"/>
        </w:rPr>
        <w:t>Accounting principles generally accepted in the United States require management to evaluate tax positions taken by the Company and recognize a tax liability (or asset) if the Company has taken an uncertain tax position that more likely than not would not be sustained upon examination by the Internal Revenue Service. Management has analyzed the tax positions taken by the Company, and has concluded that as of December 31, 2016, there are no uncertain positions taken or expected to be taken that would require recognition of a liability (or asset) or disclosure in the consolidated financial statements. The Company is subject to routine audits by taxing jurisdictions; however, there are currently no audits for any tax periods in progress.</w:t>
      </w:r>
    </w:p>
    <w:p>
      <w:pPr>
        <w:spacing w:after="0" w:line="71"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b w:val="1"/>
          <w:bCs w:val="1"/>
          <w:i w:val="1"/>
          <w:iCs w:val="1"/>
          <w:color w:val="auto"/>
        </w:rPr>
        <w:t xml:space="preserve">Financing Costs. </w:t>
      </w:r>
      <w:r>
        <w:rPr>
          <w:rFonts w:ascii="Arial" w:cs="Arial" w:eastAsia="Arial" w:hAnsi="Arial"/>
          <w:sz w:val="20"/>
          <w:szCs w:val="20"/>
          <w:color w:val="auto"/>
        </w:rPr>
        <w:t>Financing costs are deferred and are amortized over the estimated useful life of the related debt, using a method that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approximates the level-yield method. Amortization of deferred financing costs during the construction period is capitalized as property costs.</w:t>
      </w:r>
    </w:p>
    <w:p>
      <w:pPr>
        <w:spacing w:after="0" w:line="78"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b w:val="1"/>
          <w:bCs w:val="1"/>
          <w:i w:val="1"/>
          <w:iCs w:val="1"/>
          <w:color w:val="auto"/>
        </w:rPr>
        <w:t xml:space="preserve">Deferred Selling Costs. </w:t>
      </w:r>
      <w:r>
        <w:rPr>
          <w:rFonts w:ascii="Arial" w:cs="Arial" w:eastAsia="Arial" w:hAnsi="Arial"/>
          <w:sz w:val="20"/>
          <w:szCs w:val="20"/>
          <w:color w:val="auto"/>
        </w:rPr>
        <w:t>The Company capitalizes commissions paid to real estate brokers for the sale of its condominium units.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Commissions vary by broker and are due after the buyers have fulfilled their requirement of depositing with the Company’s escrow agent the amount required by the sales contract.</w:t>
      </w:r>
    </w:p>
    <w:p>
      <w:pPr>
        <w:spacing w:after="0" w:line="78" w:lineRule="exact"/>
        <w:rPr>
          <w:sz w:val="20"/>
          <w:szCs w:val="20"/>
          <w:color w:val="auto"/>
        </w:rPr>
      </w:pPr>
    </w:p>
    <w:p>
      <w:pPr>
        <w:jc w:val="both"/>
        <w:ind w:left="660"/>
        <w:spacing w:after="0" w:line="260" w:lineRule="auto"/>
        <w:rPr>
          <w:sz w:val="20"/>
          <w:szCs w:val="20"/>
          <w:color w:val="auto"/>
        </w:rPr>
      </w:pPr>
      <w:r>
        <w:rPr>
          <w:rFonts w:ascii="Arial" w:cs="Arial" w:eastAsia="Arial" w:hAnsi="Arial"/>
          <w:sz w:val="20"/>
          <w:szCs w:val="20"/>
          <w:color w:val="auto"/>
        </w:rPr>
        <w:t>The Company expenses these deferred selling costs based on the percentage-of-completion method determined by the ratio of cost incurred to date to management’s estimate of total anticipated construction cost.</w:t>
      </w:r>
    </w:p>
    <w:p>
      <w:pPr>
        <w:spacing w:after="0" w:line="69" w:lineRule="exact"/>
        <w:rPr>
          <w:sz w:val="20"/>
          <w:szCs w:val="20"/>
          <w:color w:val="auto"/>
        </w:rPr>
      </w:pPr>
    </w:p>
    <w:p>
      <w:pPr>
        <w:jc w:val="both"/>
        <w:ind w:left="660"/>
        <w:spacing w:after="0" w:line="278" w:lineRule="auto"/>
        <w:rPr>
          <w:sz w:val="20"/>
          <w:szCs w:val="20"/>
          <w:color w:val="auto"/>
        </w:rPr>
      </w:pPr>
      <w:r>
        <w:rPr>
          <w:rFonts w:ascii="Arial" w:cs="Arial" w:eastAsia="Arial" w:hAnsi="Arial"/>
          <w:sz w:val="18"/>
          <w:szCs w:val="18"/>
          <w:b w:val="1"/>
          <w:bCs w:val="1"/>
          <w:i w:val="1"/>
          <w:iCs w:val="1"/>
          <w:color w:val="auto"/>
        </w:rPr>
        <w:t xml:space="preserve">Forfeited Customer Deposits. </w:t>
      </w:r>
      <w:r>
        <w:rPr>
          <w:rFonts w:ascii="Arial" w:cs="Arial" w:eastAsia="Arial" w:hAnsi="Arial"/>
          <w:sz w:val="18"/>
          <w:szCs w:val="18"/>
          <w:color w:val="auto"/>
        </w:rPr>
        <w:t>Forfeited customer deposits are recognized as income when (i) the Company has exhausted all efforts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encourage the buyer to close on the unit and (ii) the buyer has defaulted in accordance with the contract terms and all cure periods, if any, have expired or the buyer has been offered and accepted a cancellation and release agreement releasing the buyer from the terms of the contract in exchange for forfeiting all or a portion of their deposit. The Company provides an allowance when litigation by the buyer(s) to seek recovery of all or a portion of their deposits, including the Company’s cost to defend such suits, is probable.</w:t>
      </w:r>
    </w:p>
    <w:p>
      <w:pPr>
        <w:spacing w:after="0" w:line="57"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b w:val="1"/>
          <w:bCs w:val="1"/>
          <w:i w:val="1"/>
          <w:iCs w:val="1"/>
          <w:color w:val="auto"/>
        </w:rPr>
        <w:t xml:space="preserve">Use of Estimates. </w:t>
      </w:r>
      <w:r>
        <w:rPr>
          <w:rFonts w:ascii="Arial" w:cs="Arial" w:eastAsia="Arial" w:hAnsi="Arial"/>
          <w:sz w:val="20"/>
          <w:szCs w:val="20"/>
          <w:color w:val="auto"/>
        </w:rPr>
        <w:t>The preparation of financial statements in conformity with U.S. generally accepted accounting principles requires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management to make estimates and assumptions that affect the reported amounts of assets and liabilities and disclosure of contingent assets and liabilities at the date of the financial statements and the reported amounts to revenues and expenses during the reporting period. Actual results could differ from those estimates.</w:t>
      </w:r>
    </w:p>
    <w:p>
      <w:pPr>
        <w:spacing w:after="0" w:line="83"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b w:val="1"/>
          <w:bCs w:val="1"/>
          <w:i w:val="1"/>
          <w:iCs w:val="1"/>
          <w:color w:val="auto"/>
        </w:rPr>
        <w:t xml:space="preserve">Business Risk. </w:t>
      </w:r>
      <w:r>
        <w:rPr>
          <w:rFonts w:ascii="Arial" w:cs="Arial" w:eastAsia="Arial" w:hAnsi="Arial"/>
          <w:sz w:val="20"/>
          <w:szCs w:val="20"/>
          <w:color w:val="auto"/>
        </w:rPr>
        <w:t>A deterioration in national, regional, and local economic conditions could adversely impact the Company’s operations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and may have a material impact on the Company’s business. The Company’s revenues, financial condition, and results of operations could decline due to this deterioration of national, regional and local economies.</w:t>
      </w:r>
    </w:p>
    <w:p>
      <w:pPr>
        <w:spacing w:after="0" w:line="78" w:lineRule="exact"/>
        <w:rPr>
          <w:sz w:val="20"/>
          <w:szCs w:val="20"/>
          <w:color w:val="auto"/>
        </w:rPr>
      </w:pPr>
    </w:p>
    <w:p>
      <w:pPr>
        <w:jc w:val="both"/>
        <w:ind w:left="660"/>
        <w:spacing w:after="0" w:line="274" w:lineRule="auto"/>
        <w:rPr>
          <w:sz w:val="20"/>
          <w:szCs w:val="20"/>
          <w:color w:val="auto"/>
        </w:rPr>
      </w:pPr>
      <w:r>
        <w:rPr>
          <w:rFonts w:ascii="Arial" w:cs="Arial" w:eastAsia="Arial" w:hAnsi="Arial"/>
          <w:sz w:val="18"/>
          <w:szCs w:val="18"/>
          <w:b w:val="1"/>
          <w:bCs w:val="1"/>
          <w:i w:val="1"/>
          <w:iCs w:val="1"/>
          <w:color w:val="auto"/>
        </w:rPr>
        <w:t xml:space="preserve">Impairment of Long-lived Assets. </w:t>
      </w:r>
      <w:r>
        <w:rPr>
          <w:rFonts w:ascii="Arial" w:cs="Arial" w:eastAsia="Arial" w:hAnsi="Arial"/>
          <w:sz w:val="18"/>
          <w:szCs w:val="18"/>
          <w:color w:val="auto"/>
        </w:rPr>
        <w:t>In accordance with ASC 360-10 and 360-20,</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Accounting for the Impairment of Long-Lived Assets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long-lived assets are reviewed for impairment whenever events or changes in circumstances indicate that the carrying amount of an asset may not be recoverable. If circumstances require an asset to be tested for possible impairment, the Company first compares the undiscounted cash flows expected to be generated by that asset to its carrying value. If the carrying value of the asset is not recoverable on an undiscounted cash flow basis, an impairment is recognized to the extent that the carrying value exceeds its fair value. Fair value is determined through various valuation techniques including discounted cash flow models, quoted market values, and third party independent appraisals, as considered necessary. At December 31, 2016, no impairment losses were recorded.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36" w:right="23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9"/>
          <w:szCs w:val="19"/>
          <w:b w:val="1"/>
          <w:bCs w:val="1"/>
          <w:color w:val="auto"/>
        </w:rPr>
        <w:t>Marina Palms, LLC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2.</w:t>
      </w:r>
      <w:r>
        <w:rPr>
          <w:sz w:val="20"/>
          <w:szCs w:val="20"/>
          <w:color w:val="auto"/>
        </w:rPr>
        <w:tab/>
      </w:r>
      <w:r>
        <w:rPr>
          <w:rFonts w:ascii="Arial" w:cs="Arial" w:eastAsia="Arial" w:hAnsi="Arial"/>
          <w:sz w:val="19"/>
          <w:szCs w:val="19"/>
          <w:b w:val="1"/>
          <w:bCs w:val="1"/>
          <w:color w:val="auto"/>
        </w:rPr>
        <w:t>Summary of Significant Accounting Policies (Cont’d.)</w:t>
      </w:r>
    </w:p>
    <w:p>
      <w:pPr>
        <w:spacing w:after="0" w:line="118"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b w:val="1"/>
          <w:bCs w:val="1"/>
          <w:i w:val="1"/>
          <w:iCs w:val="1"/>
          <w:color w:val="auto"/>
        </w:rPr>
        <w:t xml:space="preserve">Subsequent Events. </w:t>
      </w:r>
      <w:r>
        <w:rPr>
          <w:rFonts w:ascii="Arial" w:cs="Arial" w:eastAsia="Arial" w:hAnsi="Arial"/>
          <w:sz w:val="20"/>
          <w:szCs w:val="20"/>
          <w:color w:val="auto"/>
        </w:rPr>
        <w:t>The Company has evaluated subsequent events through February 10, 2017, the date these consolidated financial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statements were available to be issued.</w:t>
      </w:r>
    </w:p>
    <w:p>
      <w:pPr>
        <w:spacing w:after="0" w:line="66" w:lineRule="exact"/>
        <w:rPr>
          <w:sz w:val="20"/>
          <w:szCs w:val="20"/>
          <w:color w:val="auto"/>
        </w:rPr>
      </w:pPr>
    </w:p>
    <w:p>
      <w:pPr>
        <w:ind w:left="660" w:hanging="652"/>
        <w:spacing w:after="0"/>
        <w:tabs>
          <w:tab w:leader="none" w:pos="660" w:val="left"/>
        </w:tabs>
        <w:numPr>
          <w:ilvl w:val="0"/>
          <w:numId w:val="72"/>
        </w:numPr>
        <w:rPr>
          <w:rFonts w:ascii="Arial" w:cs="Arial" w:eastAsia="Arial" w:hAnsi="Arial"/>
          <w:sz w:val="19"/>
          <w:szCs w:val="19"/>
          <w:b w:val="1"/>
          <w:bCs w:val="1"/>
          <w:color w:val="auto"/>
        </w:rPr>
      </w:pPr>
      <w:r>
        <w:rPr>
          <w:rFonts w:ascii="Arial" w:cs="Arial" w:eastAsia="Arial" w:hAnsi="Arial"/>
          <w:sz w:val="19"/>
          <w:szCs w:val="19"/>
          <w:b w:val="1"/>
          <w:bCs w:val="1"/>
          <w:color w:val="auto"/>
        </w:rPr>
        <w:t>Concentration of Credit Risk</w:t>
      </w:r>
    </w:p>
    <w:p>
      <w:pPr>
        <w:spacing w:after="0" w:line="108" w:lineRule="exact"/>
        <w:rPr>
          <w:rFonts w:ascii="Arial" w:cs="Arial" w:eastAsia="Arial" w:hAnsi="Arial"/>
          <w:sz w:val="19"/>
          <w:szCs w:val="19"/>
          <w:b w:val="1"/>
          <w:bCs w:val="1"/>
          <w:color w:val="auto"/>
        </w:rPr>
      </w:pPr>
    </w:p>
    <w:p>
      <w:pPr>
        <w:ind w:left="660" w:right="20"/>
        <w:spacing w:after="0" w:line="287" w:lineRule="auto"/>
        <w:rPr>
          <w:rFonts w:ascii="Arial" w:cs="Arial" w:eastAsia="Arial" w:hAnsi="Arial"/>
          <w:sz w:val="19"/>
          <w:szCs w:val="19"/>
          <w:b w:val="1"/>
          <w:bCs w:val="1"/>
          <w:color w:val="auto"/>
        </w:rPr>
      </w:pPr>
      <w:r>
        <w:rPr>
          <w:rFonts w:ascii="Arial" w:cs="Arial" w:eastAsia="Arial" w:hAnsi="Arial"/>
          <w:sz w:val="19"/>
          <w:szCs w:val="19"/>
          <w:color w:val="auto"/>
        </w:rPr>
        <w:t>The Company maintains its cash balances in a financial institution located in Florida. The balances are insured by the Federal Deposit Insurance Corporation. As of December 31, 2016, the Company had a balance in excess of the insured limit.</w:t>
      </w:r>
    </w:p>
    <w:p>
      <w:pPr>
        <w:spacing w:after="0" w:line="41" w:lineRule="exact"/>
        <w:rPr>
          <w:rFonts w:ascii="Arial" w:cs="Arial" w:eastAsia="Arial" w:hAnsi="Arial"/>
          <w:sz w:val="19"/>
          <w:szCs w:val="19"/>
          <w:b w:val="1"/>
          <w:bCs w:val="1"/>
          <w:color w:val="auto"/>
        </w:rPr>
      </w:pPr>
    </w:p>
    <w:p>
      <w:pPr>
        <w:ind w:left="660" w:hanging="652"/>
        <w:spacing w:after="0"/>
        <w:tabs>
          <w:tab w:leader="none" w:pos="660" w:val="left"/>
        </w:tabs>
        <w:numPr>
          <w:ilvl w:val="0"/>
          <w:numId w:val="72"/>
        </w:numPr>
        <w:rPr>
          <w:rFonts w:ascii="Arial" w:cs="Arial" w:eastAsia="Arial" w:hAnsi="Arial"/>
          <w:sz w:val="19"/>
          <w:szCs w:val="19"/>
          <w:b w:val="1"/>
          <w:bCs w:val="1"/>
          <w:color w:val="auto"/>
        </w:rPr>
      </w:pPr>
      <w:r>
        <w:rPr>
          <w:rFonts w:ascii="Arial" w:cs="Arial" w:eastAsia="Arial" w:hAnsi="Arial"/>
          <w:sz w:val="19"/>
          <w:szCs w:val="19"/>
          <w:b w:val="1"/>
          <w:bCs w:val="1"/>
          <w:color w:val="auto"/>
        </w:rPr>
        <w:t>Notes Payable</w:t>
      </w:r>
    </w:p>
    <w:p>
      <w:pPr>
        <w:spacing w:after="0" w:line="108" w:lineRule="exact"/>
        <w:rPr>
          <w:rFonts w:ascii="Arial" w:cs="Arial" w:eastAsia="Arial" w:hAnsi="Arial"/>
          <w:sz w:val="19"/>
          <w:szCs w:val="19"/>
          <w:b w:val="1"/>
          <w:bCs w:val="1"/>
          <w:color w:val="auto"/>
        </w:rPr>
      </w:pPr>
    </w:p>
    <w:p>
      <w:pPr>
        <w:jc w:val="both"/>
        <w:ind w:left="660"/>
        <w:spacing w:after="0" w:line="250" w:lineRule="auto"/>
        <w:rPr>
          <w:rFonts w:ascii="Arial" w:cs="Arial" w:eastAsia="Arial" w:hAnsi="Arial"/>
          <w:sz w:val="19"/>
          <w:szCs w:val="19"/>
          <w:b w:val="1"/>
          <w:bCs w:val="1"/>
          <w:color w:val="auto"/>
        </w:rPr>
      </w:pPr>
      <w:r>
        <w:rPr>
          <w:rFonts w:ascii="Arial" w:cs="Arial" w:eastAsia="Arial" w:hAnsi="Arial"/>
          <w:sz w:val="20"/>
          <w:szCs w:val="20"/>
          <w:color w:val="auto"/>
        </w:rPr>
        <w:t>On November 13, 2013, North, Yacht and South, closed on a $98 million note payable with a bank. The loan matured on November 15, 2015 and bore interest at a variable rate. The loan was collateralized by the property. The loan was paid off in full prior to December 31, 2015.</w:t>
      </w:r>
    </w:p>
    <w:p>
      <w:pPr>
        <w:spacing w:after="0" w:line="78" w:lineRule="exact"/>
        <w:rPr>
          <w:rFonts w:ascii="Arial" w:cs="Arial" w:eastAsia="Arial" w:hAnsi="Arial"/>
          <w:sz w:val="19"/>
          <w:szCs w:val="19"/>
          <w:b w:val="1"/>
          <w:bCs w:val="1"/>
          <w:color w:val="auto"/>
        </w:rPr>
      </w:pPr>
    </w:p>
    <w:p>
      <w:pPr>
        <w:jc w:val="both"/>
        <w:ind w:left="660"/>
        <w:spacing w:after="0" w:line="246" w:lineRule="auto"/>
        <w:rPr>
          <w:rFonts w:ascii="Arial" w:cs="Arial" w:eastAsia="Arial" w:hAnsi="Arial"/>
          <w:sz w:val="19"/>
          <w:szCs w:val="19"/>
          <w:b w:val="1"/>
          <w:bCs w:val="1"/>
          <w:color w:val="auto"/>
        </w:rPr>
      </w:pPr>
      <w:r>
        <w:rPr>
          <w:rFonts w:ascii="Arial" w:cs="Arial" w:eastAsia="Arial" w:hAnsi="Arial"/>
          <w:sz w:val="20"/>
          <w:szCs w:val="20"/>
          <w:color w:val="auto"/>
        </w:rPr>
        <w:t>On February 25, 2015, Yacht and South, closed on an $87 million construction loan agreement with a bank. The loan has an initial maturity date of August 25, 2017; bears interest at a variable rate which was 4.37% at December 31, 2016 and is guaranteed by a shareholder of one of the owners of the Company. The loan is collateralized by the assets of Yacht and South. There was approximately $43 million available to be drawn on the loan as of December 31, 2016.</w:t>
      </w:r>
    </w:p>
    <w:p>
      <w:pPr>
        <w:spacing w:after="0" w:line="83" w:lineRule="exact"/>
        <w:rPr>
          <w:rFonts w:ascii="Arial" w:cs="Arial" w:eastAsia="Arial" w:hAnsi="Arial"/>
          <w:sz w:val="19"/>
          <w:szCs w:val="19"/>
          <w:b w:val="1"/>
          <w:bCs w:val="1"/>
          <w:color w:val="auto"/>
        </w:rPr>
      </w:pPr>
    </w:p>
    <w:p>
      <w:pPr>
        <w:ind w:left="660"/>
        <w:spacing w:after="0" w:line="260" w:lineRule="auto"/>
        <w:rPr>
          <w:rFonts w:ascii="Arial" w:cs="Arial" w:eastAsia="Arial" w:hAnsi="Arial"/>
          <w:sz w:val="19"/>
          <w:szCs w:val="19"/>
          <w:b w:val="1"/>
          <w:bCs w:val="1"/>
          <w:color w:val="auto"/>
        </w:rPr>
      </w:pPr>
      <w:r>
        <w:rPr>
          <w:rFonts w:ascii="Arial" w:cs="Arial" w:eastAsia="Arial" w:hAnsi="Arial"/>
          <w:sz w:val="20"/>
          <w:szCs w:val="20"/>
          <w:color w:val="auto"/>
        </w:rPr>
        <w:t>Interest expense on these notes were $906,611 and $2,123,292 for the years ended December 31, 2016 and 2015, respectively, and was capitalized to investment in real estate.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36" w:right="2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9"/>
          <w:szCs w:val="19"/>
          <w:b w:val="1"/>
          <w:bCs w:val="1"/>
          <w:color w:val="auto"/>
        </w:rPr>
        <w:t>Marina Palms, LLC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19"/>
          <w:szCs w:val="19"/>
          <w:b w:val="1"/>
          <w:bCs w:val="1"/>
          <w:color w:val="auto"/>
        </w:rPr>
      </w:pPr>
      <w:r>
        <w:rPr>
          <w:rFonts w:ascii="Arial" w:cs="Arial" w:eastAsia="Arial" w:hAnsi="Arial"/>
          <w:sz w:val="19"/>
          <w:szCs w:val="19"/>
          <w:b w:val="1"/>
          <w:bCs w:val="1"/>
          <w:color w:val="auto"/>
        </w:rPr>
        <w:t>Fair Value Measurements</w:t>
      </w:r>
    </w:p>
    <w:p>
      <w:pPr>
        <w:spacing w:after="0" w:line="108" w:lineRule="exact"/>
        <w:rPr>
          <w:rFonts w:ascii="Arial" w:cs="Arial" w:eastAsia="Arial" w:hAnsi="Arial"/>
          <w:sz w:val="19"/>
          <w:szCs w:val="19"/>
          <w:b w:val="1"/>
          <w:bCs w:val="1"/>
          <w:color w:val="auto"/>
        </w:rPr>
      </w:pPr>
    </w:p>
    <w:p>
      <w:pPr>
        <w:ind w:left="980" w:hanging="324"/>
        <w:spacing w:after="0"/>
        <w:tabs>
          <w:tab w:leader="none" w:pos="980" w:val="left"/>
        </w:tabs>
        <w:numPr>
          <w:ilvl w:val="1"/>
          <w:numId w:val="73"/>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Fair Value of Financial Instruments</w:t>
      </w:r>
    </w:p>
    <w:p>
      <w:pPr>
        <w:spacing w:after="0" w:line="108" w:lineRule="exact"/>
        <w:rPr>
          <w:sz w:val="20"/>
          <w:szCs w:val="20"/>
          <w:color w:val="auto"/>
        </w:rPr>
      </w:pPr>
    </w:p>
    <w:p>
      <w:pPr>
        <w:ind w:left="980"/>
        <w:spacing w:after="0" w:line="260" w:lineRule="auto"/>
        <w:rPr>
          <w:sz w:val="20"/>
          <w:szCs w:val="20"/>
          <w:color w:val="auto"/>
        </w:rPr>
      </w:pPr>
      <w:r>
        <w:rPr>
          <w:rFonts w:ascii="Arial" w:cs="Arial" w:eastAsia="Arial" w:hAnsi="Arial"/>
          <w:sz w:val="20"/>
          <w:szCs w:val="20"/>
          <w:color w:val="auto"/>
        </w:rPr>
        <w:t>The following methods and assumptions were used to estimate the fair value of the Company’s financial instruments at December 31, 2016 and 2015:</w:t>
      </w:r>
    </w:p>
    <w:p>
      <w:pPr>
        <w:spacing w:after="0" w:line="69" w:lineRule="exact"/>
        <w:rPr>
          <w:sz w:val="20"/>
          <w:szCs w:val="20"/>
          <w:color w:val="auto"/>
        </w:rPr>
      </w:pPr>
    </w:p>
    <w:p>
      <w:pPr>
        <w:jc w:val="both"/>
        <w:ind w:left="1300" w:firstLine="648"/>
        <w:spacing w:after="0" w:line="250" w:lineRule="auto"/>
        <w:rPr>
          <w:sz w:val="20"/>
          <w:szCs w:val="20"/>
          <w:color w:val="auto"/>
        </w:rPr>
      </w:pPr>
      <w:r>
        <w:rPr>
          <w:rFonts w:ascii="Arial" w:cs="Arial" w:eastAsia="Arial" w:hAnsi="Arial"/>
          <w:sz w:val="20"/>
          <w:szCs w:val="20"/>
          <w:color w:val="auto"/>
        </w:rPr>
        <w:t>The carrying value of cash and cash equivalents, restricted cash, sales contracts receivables, deferred selling costs, prepaid expenses and other assets, accounts payable and accrued expenses, deferred revenue and customer deposits approximate fair value due to the short maturity of these instruments.</w:t>
      </w:r>
    </w:p>
    <w:p>
      <w:pPr>
        <w:spacing w:after="0" w:line="78" w:lineRule="exact"/>
        <w:rPr>
          <w:sz w:val="20"/>
          <w:szCs w:val="20"/>
          <w:color w:val="auto"/>
        </w:rPr>
      </w:pPr>
    </w:p>
    <w:p>
      <w:pPr>
        <w:jc w:val="both"/>
        <w:ind w:left="1300" w:firstLine="648"/>
        <w:spacing w:after="0" w:line="260" w:lineRule="auto"/>
        <w:rPr>
          <w:sz w:val="20"/>
          <w:szCs w:val="20"/>
          <w:color w:val="auto"/>
        </w:rPr>
      </w:pPr>
      <w:r>
        <w:rPr>
          <w:rFonts w:ascii="Arial" w:cs="Arial" w:eastAsia="Arial" w:hAnsi="Arial"/>
          <w:sz w:val="20"/>
          <w:szCs w:val="20"/>
          <w:color w:val="auto"/>
        </w:rPr>
        <w:t>The carrying value of the note payable approximates its fair value due to the interest rate being reset to the market rate on a periodic basis.</w:t>
      </w:r>
    </w:p>
    <w:p>
      <w:pPr>
        <w:spacing w:after="0" w:line="69" w:lineRule="exact"/>
        <w:rPr>
          <w:sz w:val="20"/>
          <w:szCs w:val="20"/>
          <w:color w:val="auto"/>
        </w:rPr>
      </w:pPr>
    </w:p>
    <w:p>
      <w:pPr>
        <w:jc w:val="both"/>
        <w:ind w:left="980"/>
        <w:spacing w:after="0" w:line="291" w:lineRule="auto"/>
        <w:rPr>
          <w:sz w:val="20"/>
          <w:szCs w:val="20"/>
          <w:color w:val="auto"/>
        </w:rPr>
      </w:pPr>
      <w:r>
        <w:rPr>
          <w:rFonts w:ascii="Arial" w:cs="Arial" w:eastAsia="Arial" w:hAnsi="Arial"/>
          <w:sz w:val="18"/>
          <w:szCs w:val="18"/>
          <w:color w:val="auto"/>
        </w:rPr>
        <w:t>The fair value estimates are made at a specific point in time, based on relevant market information and information about the financial instruments. These estimates are subjective in nature and involve uncertainties and matters of significant judgment and, therefore, cannot be determined with precision. Changes in assumptions could significantly affect the estimates.</w:t>
      </w:r>
    </w:p>
    <w:p>
      <w:pPr>
        <w:spacing w:after="0" w:line="44" w:lineRule="exact"/>
        <w:rPr>
          <w:sz w:val="20"/>
          <w:szCs w:val="20"/>
          <w:color w:val="auto"/>
        </w:rPr>
      </w:pPr>
    </w:p>
    <w:p>
      <w:pPr>
        <w:ind w:left="980" w:hanging="324"/>
        <w:spacing w:after="0"/>
        <w:tabs>
          <w:tab w:leader="none" w:pos="980" w:val="left"/>
        </w:tabs>
        <w:numPr>
          <w:ilvl w:val="0"/>
          <w:numId w:val="74"/>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Fair Value Hierarchy</w:t>
      </w:r>
    </w:p>
    <w:p>
      <w:pPr>
        <w:spacing w:after="0" w:line="107" w:lineRule="exact"/>
        <w:rPr>
          <w:rFonts w:ascii="Arial" w:cs="Arial" w:eastAsia="Arial" w:hAnsi="Arial"/>
          <w:sz w:val="20"/>
          <w:szCs w:val="20"/>
          <w:b w:val="1"/>
          <w:bCs w:val="1"/>
          <w:i w:val="1"/>
          <w:iCs w:val="1"/>
          <w:color w:val="auto"/>
        </w:rPr>
      </w:pPr>
    </w:p>
    <w:p>
      <w:pPr>
        <w:jc w:val="both"/>
        <w:ind w:left="980"/>
        <w:spacing w:after="0" w:line="243" w:lineRule="auto"/>
        <w:rPr>
          <w:rFonts w:ascii="Arial" w:cs="Arial" w:eastAsia="Arial" w:hAnsi="Arial"/>
          <w:sz w:val="20"/>
          <w:szCs w:val="20"/>
          <w:b w:val="1"/>
          <w:bCs w:val="1"/>
          <w:i w:val="1"/>
          <w:iCs w:val="1"/>
          <w:color w:val="auto"/>
        </w:rPr>
      </w:pPr>
      <w:r>
        <w:rPr>
          <w:rFonts w:ascii="Arial" w:cs="Arial" w:eastAsia="Arial" w:hAnsi="Arial"/>
          <w:sz w:val="20"/>
          <w:szCs w:val="20"/>
          <w:color w:val="auto"/>
        </w:rPr>
        <w:t xml:space="preserve">The Company applies the provisions of </w:t>
      </w:r>
      <w:r>
        <w:rPr>
          <w:rFonts w:ascii="Arial" w:cs="Arial" w:eastAsia="Arial" w:hAnsi="Arial"/>
          <w:sz w:val="20"/>
          <w:szCs w:val="20"/>
          <w:i w:val="1"/>
          <w:iCs w:val="1"/>
          <w:color w:val="auto"/>
        </w:rPr>
        <w:t>Accounting Standards Codification</w:t>
      </w:r>
      <w:r>
        <w:rPr>
          <w:rFonts w:ascii="Arial" w:cs="Arial" w:eastAsia="Arial" w:hAnsi="Arial"/>
          <w:sz w:val="20"/>
          <w:szCs w:val="20"/>
          <w:color w:val="auto"/>
        </w:rPr>
        <w:t xml:space="preserve"> (“ASC”) 820, </w:t>
      </w:r>
      <w:r>
        <w:rPr>
          <w:rFonts w:ascii="Arial" w:cs="Arial" w:eastAsia="Arial" w:hAnsi="Arial"/>
          <w:sz w:val="20"/>
          <w:szCs w:val="20"/>
          <w:i w:val="1"/>
          <w:iCs w:val="1"/>
          <w:color w:val="auto"/>
        </w:rPr>
        <w:t>Fair Value Measurements and</w:t>
      </w:r>
      <w:r>
        <w:rPr>
          <w:rFonts w:ascii="Arial" w:cs="Arial" w:eastAsia="Arial" w:hAnsi="Arial"/>
          <w:sz w:val="20"/>
          <w:szCs w:val="20"/>
          <w:color w:val="auto"/>
        </w:rPr>
        <w:t xml:space="preserve"> </w:t>
      </w:r>
      <w:r>
        <w:rPr>
          <w:rFonts w:ascii="Arial" w:cs="Arial" w:eastAsia="Arial" w:hAnsi="Arial"/>
          <w:sz w:val="20"/>
          <w:szCs w:val="20"/>
          <w:i w:val="1"/>
          <w:iCs w:val="1"/>
          <w:color w:val="auto"/>
        </w:rPr>
        <w:t>Disclosures</w:t>
      </w:r>
      <w:r>
        <w:rPr>
          <w:rFonts w:ascii="Arial" w:cs="Arial" w:eastAsia="Arial" w:hAnsi="Arial"/>
          <w:sz w:val="20"/>
          <w:szCs w:val="20"/>
          <w:color w:val="auto"/>
        </w:rPr>
        <w:t>, for fair value measurements of financial assets and financial liabilities and for fair value measurements of nonfinancial</w:t>
      </w:r>
      <w:r>
        <w:rPr>
          <w:rFonts w:ascii="Arial" w:cs="Arial" w:eastAsia="Arial" w:hAnsi="Arial"/>
          <w:sz w:val="20"/>
          <w:szCs w:val="20"/>
          <w:i w:val="1"/>
          <w:iCs w:val="1"/>
          <w:color w:val="auto"/>
        </w:rPr>
        <w:t xml:space="preserve"> </w:t>
      </w:r>
      <w:r>
        <w:rPr>
          <w:rFonts w:ascii="Arial" w:cs="Arial" w:eastAsia="Arial" w:hAnsi="Arial"/>
          <w:sz w:val="20"/>
          <w:szCs w:val="20"/>
          <w:color w:val="auto"/>
        </w:rPr>
        <w:t>items that are recognized or disclosed at fair value in the statements of financial position on a recurring basis. ASC Topic 820 defines fair value as the price that would be received to sell an asset or paid to transfer a liability in an orderly transaction between market participants at the measurement date. ASC Topic 820 also establishes a framework for measuring fair value and expands disclosures about fair value measurements.</w:t>
      </w:r>
    </w:p>
    <w:p>
      <w:pPr>
        <w:spacing w:after="0" w:line="88" w:lineRule="exact"/>
        <w:rPr>
          <w:rFonts w:ascii="Arial" w:cs="Arial" w:eastAsia="Arial" w:hAnsi="Arial"/>
          <w:sz w:val="20"/>
          <w:szCs w:val="20"/>
          <w:b w:val="1"/>
          <w:bCs w:val="1"/>
          <w:i w:val="1"/>
          <w:iCs w:val="1"/>
          <w:color w:val="auto"/>
        </w:rPr>
      </w:pPr>
    </w:p>
    <w:p>
      <w:pPr>
        <w:jc w:val="both"/>
        <w:ind w:left="980"/>
        <w:spacing w:after="0" w:line="291" w:lineRule="auto"/>
        <w:rPr>
          <w:rFonts w:ascii="Arial" w:cs="Arial" w:eastAsia="Arial" w:hAnsi="Arial"/>
          <w:sz w:val="20"/>
          <w:szCs w:val="20"/>
          <w:b w:val="1"/>
          <w:bCs w:val="1"/>
          <w:i w:val="1"/>
          <w:iCs w:val="1"/>
          <w:color w:val="auto"/>
        </w:rPr>
      </w:pPr>
      <w:r>
        <w:rPr>
          <w:rFonts w:ascii="Arial" w:cs="Arial" w:eastAsia="Arial" w:hAnsi="Arial"/>
          <w:sz w:val="18"/>
          <w:szCs w:val="18"/>
          <w:color w:val="auto"/>
        </w:rPr>
        <w:t>ASC Topic 820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three levels of the fair value hierarchy under ASC 820 are described below:</w:t>
      </w:r>
    </w:p>
    <w:p>
      <w:pPr>
        <w:spacing w:after="0" w:line="108" w:lineRule="exact"/>
        <w:rPr>
          <w:sz w:val="20"/>
          <w:szCs w:val="20"/>
          <w:color w:val="auto"/>
        </w:rPr>
      </w:pPr>
    </w:p>
    <w:p>
      <w:pPr>
        <w:ind w:left="1620" w:right="20" w:hanging="971"/>
        <w:spacing w:after="0" w:line="260" w:lineRule="auto"/>
        <w:tabs>
          <w:tab w:leader="none" w:pos="1600" w:val="left"/>
        </w:tabs>
        <w:rPr>
          <w:sz w:val="20"/>
          <w:szCs w:val="20"/>
          <w:color w:val="auto"/>
        </w:rPr>
      </w:pPr>
      <w:r>
        <w:rPr>
          <w:rFonts w:ascii="Arial" w:cs="Arial" w:eastAsia="Arial" w:hAnsi="Arial"/>
          <w:sz w:val="20"/>
          <w:szCs w:val="20"/>
          <w:b w:val="1"/>
          <w:bCs w:val="1"/>
          <w:i w:val="1"/>
          <w:iCs w:val="1"/>
          <w:color w:val="auto"/>
        </w:rPr>
        <w:t>Level 1</w:t>
      </w:r>
      <w:r>
        <w:rPr>
          <w:sz w:val="20"/>
          <w:szCs w:val="20"/>
          <w:color w:val="auto"/>
        </w:rPr>
        <w:tab/>
      </w:r>
      <w:r>
        <w:rPr>
          <w:rFonts w:ascii="Arial" w:cs="Arial" w:eastAsia="Arial" w:hAnsi="Arial"/>
          <w:sz w:val="20"/>
          <w:szCs w:val="20"/>
          <w:color w:val="auto"/>
        </w:rPr>
        <w:t>Inputs to the valuation methodology are unadjusted quoted prices for identical assets or liabilities in active markets that the Company has the ability to access at the measurement date.</w:t>
      </w:r>
    </w:p>
    <w:p>
      <w:pPr>
        <w:spacing w:after="0" w:line="69"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20"/>
          <w:szCs w:val="20"/>
          <w:b w:val="1"/>
          <w:bCs w:val="1"/>
          <w:i w:val="1"/>
          <w:iCs w:val="1"/>
          <w:color w:val="auto"/>
        </w:rPr>
        <w:t>Level 2</w:t>
      </w:r>
      <w:r>
        <w:rPr>
          <w:sz w:val="20"/>
          <w:szCs w:val="20"/>
          <w:color w:val="auto"/>
        </w:rPr>
        <w:tab/>
      </w:r>
      <w:r>
        <w:rPr>
          <w:rFonts w:ascii="Arial" w:cs="Arial" w:eastAsia="Arial" w:hAnsi="Arial"/>
          <w:sz w:val="18"/>
          <w:szCs w:val="18"/>
          <w:color w:val="auto"/>
        </w:rPr>
        <w:t>Inputs to the valuation methodology include:</w:t>
      </w:r>
    </w:p>
    <w:p>
      <w:pPr>
        <w:spacing w:after="0" w:line="108" w:lineRule="exact"/>
        <w:rPr>
          <w:sz w:val="20"/>
          <w:szCs w:val="20"/>
          <w:color w:val="auto"/>
        </w:rPr>
      </w:pPr>
    </w:p>
    <w:p>
      <w:pPr>
        <w:ind w:left="1960" w:hanging="331"/>
        <w:spacing w:after="0"/>
        <w:tabs>
          <w:tab w:leader="none" w:pos="1960" w:val="left"/>
        </w:tabs>
        <w:numPr>
          <w:ilvl w:val="0"/>
          <w:numId w:val="75"/>
        </w:numPr>
        <w:rPr>
          <w:rFonts w:ascii="Arial" w:cs="Arial" w:eastAsia="Arial" w:hAnsi="Arial"/>
          <w:sz w:val="20"/>
          <w:szCs w:val="20"/>
          <w:color w:val="auto"/>
        </w:rPr>
      </w:pPr>
      <w:r>
        <w:rPr>
          <w:rFonts w:ascii="Arial" w:cs="Arial" w:eastAsia="Arial" w:hAnsi="Arial"/>
          <w:sz w:val="20"/>
          <w:szCs w:val="20"/>
          <w:color w:val="auto"/>
        </w:rPr>
        <w:t>Quoted prices for similar assets or liabilities in active markets;</w:t>
      </w:r>
    </w:p>
    <w:p>
      <w:pPr>
        <w:spacing w:after="0" w:line="15" w:lineRule="exact"/>
        <w:rPr>
          <w:rFonts w:ascii="Arial" w:cs="Arial" w:eastAsia="Arial" w:hAnsi="Arial"/>
          <w:sz w:val="20"/>
          <w:szCs w:val="20"/>
          <w:color w:val="auto"/>
        </w:rPr>
      </w:pPr>
    </w:p>
    <w:p>
      <w:pPr>
        <w:ind w:left="1980" w:hanging="351"/>
        <w:spacing w:after="0"/>
        <w:tabs>
          <w:tab w:leader="none" w:pos="1980" w:val="left"/>
        </w:tabs>
        <w:numPr>
          <w:ilvl w:val="0"/>
          <w:numId w:val="75"/>
        </w:numPr>
        <w:rPr>
          <w:rFonts w:ascii="Arial" w:cs="Arial" w:eastAsia="Arial" w:hAnsi="Arial"/>
          <w:sz w:val="20"/>
          <w:szCs w:val="20"/>
          <w:color w:val="auto"/>
        </w:rPr>
      </w:pPr>
      <w:r>
        <w:rPr>
          <w:rFonts w:ascii="Arial" w:cs="Arial" w:eastAsia="Arial" w:hAnsi="Arial"/>
          <w:sz w:val="20"/>
          <w:szCs w:val="20"/>
          <w:color w:val="auto"/>
        </w:rPr>
        <w:t>Quoted prices for identical or similar assets or liabilities in inactive markets;</w:t>
      </w:r>
    </w:p>
    <w:p>
      <w:pPr>
        <w:ind w:left="1960" w:hanging="331"/>
        <w:spacing w:after="0"/>
        <w:tabs>
          <w:tab w:leader="none" w:pos="1960" w:val="left"/>
        </w:tabs>
        <w:numPr>
          <w:ilvl w:val="0"/>
          <w:numId w:val="75"/>
        </w:numPr>
        <w:rPr>
          <w:rFonts w:ascii="Arial" w:cs="Arial" w:eastAsia="Arial" w:hAnsi="Arial"/>
          <w:sz w:val="20"/>
          <w:szCs w:val="20"/>
          <w:color w:val="auto"/>
        </w:rPr>
      </w:pPr>
      <w:r>
        <w:rPr>
          <w:rFonts w:ascii="Arial" w:cs="Arial" w:eastAsia="Arial" w:hAnsi="Arial"/>
          <w:sz w:val="20"/>
          <w:szCs w:val="20"/>
          <w:color w:val="auto"/>
        </w:rPr>
        <w:t>Inputs other than quoted prices that are observable for the asset or liability;</w:t>
      </w:r>
    </w:p>
    <w:p>
      <w:pPr>
        <w:ind w:left="1960" w:hanging="331"/>
        <w:spacing w:after="0"/>
        <w:tabs>
          <w:tab w:leader="none" w:pos="1960" w:val="left"/>
        </w:tabs>
        <w:numPr>
          <w:ilvl w:val="0"/>
          <w:numId w:val="75"/>
        </w:numPr>
        <w:rPr>
          <w:rFonts w:ascii="Arial" w:cs="Arial" w:eastAsia="Arial" w:hAnsi="Arial"/>
          <w:sz w:val="19"/>
          <w:szCs w:val="19"/>
          <w:color w:val="auto"/>
        </w:rPr>
      </w:pPr>
      <w:r>
        <w:rPr>
          <w:rFonts w:ascii="Arial" w:cs="Arial" w:eastAsia="Arial" w:hAnsi="Arial"/>
          <w:sz w:val="19"/>
          <w:szCs w:val="19"/>
          <w:color w:val="auto"/>
        </w:rPr>
        <w:t>Inputs that are derived principally from or corroborated by observable market data by correlation or other means.</w:t>
      </w:r>
    </w:p>
    <w:p>
      <w:pPr>
        <w:spacing w:after="0" w:line="103"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If the asset or liability has a specified (contractual) term, the level 2 input must be observable for substantially the full term of the asset or liability.</w:t>
      </w:r>
    </w:p>
    <w:p>
      <w:pPr>
        <w:spacing w:after="0" w:line="69"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20"/>
          <w:szCs w:val="20"/>
          <w:b w:val="1"/>
          <w:bCs w:val="1"/>
          <w:i w:val="1"/>
          <w:iCs w:val="1"/>
          <w:color w:val="auto"/>
        </w:rPr>
        <w:t>Level 3</w:t>
      </w:r>
      <w:r>
        <w:rPr>
          <w:sz w:val="20"/>
          <w:szCs w:val="20"/>
          <w:color w:val="auto"/>
        </w:rPr>
        <w:tab/>
      </w:r>
      <w:r>
        <w:rPr>
          <w:rFonts w:ascii="Arial" w:cs="Arial" w:eastAsia="Arial" w:hAnsi="Arial"/>
          <w:sz w:val="16"/>
          <w:szCs w:val="16"/>
          <w:color w:val="auto"/>
        </w:rPr>
        <w:t>Inputs to the valuation methodology are unobservable and significant to the fair value measurement.</w:t>
      </w:r>
    </w:p>
    <w:p>
      <w:pPr>
        <w:spacing w:after="0" w:line="108"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The level in the fair value hierarchy within which a fair value measurement in its entirety falls is based on the lowest level of input that is significant to the fair value measurement in its entirety.</w:t>
      </w:r>
    </w:p>
    <w:p>
      <w:pPr>
        <w:spacing w:after="0" w:line="69"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The Company does not have any financial assets and financial liabilities that are measured at fair value on a recurring basis as of December 31, 2016 and 2015. The consolidated financial statements as of December</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36" w:right="2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9"/>
          <w:szCs w:val="19"/>
          <w:b w:val="1"/>
          <w:bCs w:val="1"/>
          <w:color w:val="auto"/>
        </w:rPr>
        <w:t>Marina Palms, LLC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left="660"/>
        <w:spacing w:after="0" w:line="260" w:lineRule="auto"/>
        <w:rPr>
          <w:sz w:val="20"/>
          <w:szCs w:val="20"/>
          <w:color w:val="auto"/>
        </w:rPr>
      </w:pPr>
      <w:r>
        <w:rPr>
          <w:rFonts w:ascii="Arial" w:cs="Arial" w:eastAsia="Arial" w:hAnsi="Arial"/>
          <w:sz w:val="20"/>
          <w:szCs w:val="20"/>
          <w:color w:val="auto"/>
        </w:rPr>
        <w:t>31, 2016 and 2015 do not include any significant nonrecurring fair value measurements relating to assets or liabilities for which the Company had adopted the provisions of ASC Topic 820.</w:t>
      </w:r>
    </w:p>
    <w:p>
      <w:pPr>
        <w:spacing w:after="0" w:line="69" w:lineRule="exact"/>
        <w:rPr>
          <w:sz w:val="20"/>
          <w:szCs w:val="20"/>
          <w:color w:val="auto"/>
        </w:rPr>
      </w:pPr>
    </w:p>
    <w:p>
      <w:pPr>
        <w:jc w:val="both"/>
        <w:ind w:left="660"/>
        <w:spacing w:after="0" w:line="269" w:lineRule="auto"/>
        <w:rPr>
          <w:sz w:val="20"/>
          <w:szCs w:val="20"/>
          <w:color w:val="auto"/>
        </w:rPr>
      </w:pPr>
      <w:r>
        <w:rPr>
          <w:rFonts w:ascii="Arial" w:cs="Arial" w:eastAsia="Arial" w:hAnsi="Arial"/>
          <w:sz w:val="19"/>
          <w:szCs w:val="19"/>
          <w:color w:val="auto"/>
        </w:rPr>
        <w:t>The Company values its investment in real estate at fair value on a nonrecurring basis if it is determined that an impairment has occurred. Such fair value measurements use significant other observable inputs and significant unobservable inputs and are classified as Level 2 or Level 3 as determined appropriate. No impairments have been recorded on this property.</w:t>
      </w:r>
    </w:p>
    <w:p>
      <w:pPr>
        <w:spacing w:after="0" w:line="51" w:lineRule="exact"/>
        <w:rPr>
          <w:sz w:val="20"/>
          <w:szCs w:val="20"/>
          <w:color w:val="auto"/>
        </w:rPr>
      </w:pPr>
    </w:p>
    <w:p>
      <w:pPr>
        <w:ind w:left="660" w:hanging="652"/>
        <w:spacing w:after="0"/>
        <w:tabs>
          <w:tab w:leader="none" w:pos="660" w:val="left"/>
        </w:tabs>
        <w:numPr>
          <w:ilvl w:val="0"/>
          <w:numId w:val="76"/>
        </w:numPr>
        <w:rPr>
          <w:rFonts w:ascii="Arial" w:cs="Arial" w:eastAsia="Arial" w:hAnsi="Arial"/>
          <w:sz w:val="20"/>
          <w:szCs w:val="20"/>
          <w:b w:val="1"/>
          <w:bCs w:val="1"/>
          <w:color w:val="auto"/>
        </w:rPr>
      </w:pPr>
      <w:r>
        <w:rPr>
          <w:rFonts w:ascii="Arial" w:cs="Arial" w:eastAsia="Arial" w:hAnsi="Arial"/>
          <w:sz w:val="20"/>
          <w:szCs w:val="20"/>
          <w:b w:val="1"/>
          <w:bCs w:val="1"/>
          <w:color w:val="auto"/>
        </w:rPr>
        <w:t>Preferred Membership Interest</w:t>
      </w:r>
    </w:p>
    <w:p>
      <w:pPr>
        <w:spacing w:after="0" w:line="118" w:lineRule="exact"/>
        <w:rPr>
          <w:rFonts w:ascii="Arial" w:cs="Arial" w:eastAsia="Arial" w:hAnsi="Arial"/>
          <w:sz w:val="20"/>
          <w:szCs w:val="20"/>
          <w:b w:val="1"/>
          <w:bCs w:val="1"/>
          <w:color w:val="auto"/>
        </w:rPr>
      </w:pPr>
    </w:p>
    <w:p>
      <w:pPr>
        <w:jc w:val="both"/>
        <w:ind w:left="660"/>
        <w:spacing w:after="0" w:line="269" w:lineRule="auto"/>
        <w:rPr>
          <w:rFonts w:ascii="Arial" w:cs="Arial" w:eastAsia="Arial" w:hAnsi="Arial"/>
          <w:sz w:val="20"/>
          <w:szCs w:val="20"/>
          <w:b w:val="1"/>
          <w:bCs w:val="1"/>
          <w:color w:val="auto"/>
        </w:rPr>
      </w:pPr>
      <w:r>
        <w:rPr>
          <w:rFonts w:ascii="Arial" w:cs="Arial" w:eastAsia="Arial" w:hAnsi="Arial"/>
          <w:sz w:val="19"/>
          <w:szCs w:val="19"/>
          <w:color w:val="auto"/>
        </w:rPr>
        <w:t>The Company had a preferred membership interest of $10,000,000 which was contributed on September 15, 2014. The preferred return rate was 15%. The preferred membership interest and preferred return was paid in full as of December 18, 2015. The preferred return was $- and $1,610,542 during the years ended December 31, 2016 and 2015,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sectPr>
      <w:pgSz w:w="11900" w:h="16838" w:orient="portrait"/>
      <w:cols w:equalWidth="0" w:num="1">
        <w:col w:w="11420"/>
      </w:cols>
      <w:pgMar w:left="240" w:top="3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o"/>
      <w:numFmt w:val="bullet"/>
      <w:start w:val="1"/>
    </w:lvl>
  </w:abstractNum>
  <w:abstractNum w:abstractNumId="2">
    <w:nsid w:val="51EAD36B"/>
    <w:multiLevelType w:val="hybridMultilevel"/>
    <w:lvl w:ilvl="0">
      <w:lvlJc w:val="left"/>
      <w:lvlText w:val="(%1)"/>
      <w:numFmt w:val="decimal"/>
      <w:start w:val="1"/>
    </w:lvl>
  </w:abstractNum>
  <w:abstractNum w:abstractNumId="3">
    <w:nsid w:val="2D517796"/>
    <w:multiLevelType w:val="hybridMultilevel"/>
    <w:lvl w:ilvl="0">
      <w:lvlJc w:val="left"/>
      <w:lvlText w:val="%1."/>
      <w:numFmt w:val="decimal"/>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1)"/>
      <w:numFmt w:val="decimal"/>
      <w:start w:val="6"/>
    </w:lvl>
  </w:abstractNum>
  <w:abstractNum w:abstractNumId="6">
    <w:nsid w:val="3855585C"/>
    <w:multiLevelType w:val="hybridMultilevel"/>
    <w:lvl w:ilvl="0">
      <w:lvlJc w:val="left"/>
      <w:lvlText w:val="(%1)"/>
      <w:numFmt w:val="decimal"/>
      <w:start w:val="1"/>
    </w:lvl>
  </w:abstractNum>
  <w:abstractNum w:abstractNumId="7">
    <w:nsid w:val="70A64E2A"/>
    <w:multiLevelType w:val="hybridMultilevel"/>
    <w:lvl w:ilvl="0">
      <w:lvlJc w:val="left"/>
      <w:lvlText w:val="(%1)"/>
      <w:numFmt w:val="decimal"/>
      <w:start w:val="1"/>
    </w:lvl>
  </w:abstractNum>
  <w:abstractNum w:abstractNumId="8">
    <w:nsid w:val="6A2342EC"/>
    <w:multiLevelType w:val="hybridMultilevel"/>
    <w:lvl w:ilvl="0">
      <w:lvlJc w:val="left"/>
      <w:lvlText w:val="(%1)"/>
      <w:numFmt w:val="decimal"/>
      <w:start w:val="1"/>
    </w:lvl>
  </w:abstractNum>
  <w:abstractNum w:abstractNumId="9">
    <w:nsid w:val="2A487CB0"/>
    <w:multiLevelType w:val="hybridMultilevel"/>
    <w:lvl w:ilvl="0">
      <w:lvlJc w:val="left"/>
      <w:lvlText w:val="(%1)"/>
      <w:numFmt w:val="decimal"/>
      <w:start w:val="1"/>
    </w:lvl>
  </w:abstractNum>
  <w:abstractNum w:abstractNumId="10">
    <w:nsid w:val="1D4ED43B"/>
    <w:multiLevelType w:val="hybridMultilevel"/>
    <w:lvl w:ilvl="0">
      <w:lvlJc w:val="left"/>
      <w:lvlText w:val="(%1)"/>
      <w:numFmt w:val="decimal"/>
      <w:start w:val="1"/>
    </w:lvl>
  </w:abstractNum>
  <w:abstractNum w:abstractNumId="11">
    <w:nsid w:val="725A06FB"/>
    <w:multiLevelType w:val="hybridMultilevel"/>
    <w:lvl w:ilvl="0">
      <w:lvlJc w:val="left"/>
      <w:lvlText w:val="(%1)"/>
      <w:numFmt w:val="decimal"/>
      <w:start w:val="1"/>
    </w:lvl>
  </w:abstractNum>
  <w:abstractNum w:abstractNumId="12">
    <w:nsid w:val="2CD89A32"/>
    <w:multiLevelType w:val="hybridMultilevel"/>
    <w:lvl w:ilvl="0">
      <w:lvlJc w:val="left"/>
      <w:lvlText w:val="(%1)"/>
      <w:numFmt w:val="decimal"/>
      <w:start w:val="1"/>
    </w:lvl>
  </w:abstractNum>
  <w:abstractNum w:abstractNumId="13">
    <w:nsid w:val="57E4CCAF"/>
    <w:multiLevelType w:val="hybridMultilevel"/>
    <w:lvl w:ilvl="0">
      <w:lvlJc w:val="left"/>
      <w:lvlText w:val="(%1)"/>
      <w:numFmt w:val="decimal"/>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1)"/>
      <w:numFmt w:val="lowerRoman"/>
      <w:start w:val="3"/>
    </w:lvl>
  </w:abstractNum>
  <w:abstractNum w:abstractNumId="17">
    <w:nsid w:val="6DE91B18"/>
    <w:multiLevelType w:val="hybridMultilevel"/>
    <w:lvl w:ilvl="0">
      <w:lvlJc w:val="left"/>
      <w:lvlText w:val="(%1)"/>
      <w:numFmt w:val="decimal"/>
      <w:start w:val="1"/>
    </w:lvl>
  </w:abstractNum>
  <w:abstractNum w:abstractNumId="18">
    <w:nsid w:val="38437FDB"/>
    <w:multiLevelType w:val="hybridMultilevel"/>
    <w:lvl w:ilvl="0">
      <w:lvlJc w:val="left"/>
      <w:lvlText w:val="(%1)"/>
      <w:numFmt w:val="decimal"/>
      <w:start w:val="1"/>
    </w:lvl>
  </w:abstractNum>
  <w:abstractNum w:abstractNumId="19">
    <w:nsid w:val="7644A45C"/>
    <w:multiLevelType w:val="hybridMultilevel"/>
    <w:lvl w:ilvl="0">
      <w:lvlJc w:val="left"/>
      <w:lvlText w:val="(%1)"/>
      <w:numFmt w:val="decimal"/>
      <w:start w:val="1"/>
    </w:lvl>
  </w:abstractNum>
  <w:abstractNum w:abstractNumId="20">
    <w:nsid w:val="32FFF902"/>
    <w:multiLevelType w:val="hybridMultilevel"/>
    <w:lvl w:ilvl="0">
      <w:lvlJc w:val="left"/>
      <w:lvlText w:val="(%1)"/>
      <w:numFmt w:val="decimal"/>
      <w:start w:val="1"/>
    </w:lvl>
  </w:abstractNum>
  <w:abstractNum w:abstractNumId="21">
    <w:nsid w:val="684A481A"/>
    <w:multiLevelType w:val="hybridMultilevel"/>
    <w:lvl w:ilvl="0">
      <w:lvlJc w:val="left"/>
      <w:lvlText w:val="(%1)"/>
      <w:numFmt w:val="decimal"/>
      <w:start w:val="1"/>
    </w:lvl>
  </w:abstractNum>
  <w:abstractNum w:abstractNumId="22">
    <w:nsid w:val="579478FE"/>
    <w:multiLevelType w:val="hybridMultilevel"/>
    <w:lvl w:ilvl="0">
      <w:lvlJc w:val="left"/>
      <w:lvlText w:val="(%1)"/>
      <w:numFmt w:val="decimal"/>
      <w:start w:val="1"/>
    </w:lvl>
  </w:abstractNum>
  <w:abstractNum w:abstractNumId="23">
    <w:nsid w:val="749ABB43"/>
    <w:multiLevelType w:val="hybridMultilevel"/>
    <w:lvl w:ilvl="0">
      <w:lvlJc w:val="left"/>
      <w:lvlText w:val="(%1)"/>
      <w:numFmt w:val="decimal"/>
      <w:start w:val="1"/>
    </w:lvl>
  </w:abstractNum>
  <w:abstractNum w:abstractNumId="24">
    <w:nsid w:val="3DC240FB"/>
    <w:multiLevelType w:val="hybridMultilevel"/>
    <w:lvl w:ilvl="0">
      <w:lvlJc w:val="left"/>
      <w:lvlText w:val="(%1)"/>
      <w:numFmt w:val="decimal"/>
      <w:start w:val="1"/>
    </w:lvl>
  </w:abstractNum>
  <w:abstractNum w:abstractNumId="25">
    <w:nsid w:val="1BA026FA"/>
    <w:multiLevelType w:val="hybridMultilevel"/>
    <w:lvl w:ilvl="0">
      <w:lvlJc w:val="left"/>
      <w:lvlText w:val="(%1)"/>
      <w:numFmt w:val="decimal"/>
      <w:start w:val="1"/>
    </w:lvl>
  </w:abstractNum>
  <w:abstractNum w:abstractNumId="26">
    <w:nsid w:val="79A1DEAA"/>
    <w:multiLevelType w:val="hybridMultilevel"/>
    <w:lvl w:ilvl="0">
      <w:lvlJc w:val="left"/>
      <w:lvlText w:val="(%1)"/>
      <w:numFmt w:val="decimal"/>
      <w:start w:val="1"/>
    </w:lvl>
  </w:abstractNum>
  <w:abstractNum w:abstractNumId="27">
    <w:nsid w:val="75C6C33A"/>
    <w:multiLevelType w:val="hybridMultilevel"/>
    <w:lvl w:ilvl="0">
      <w:lvlJc w:val="left"/>
      <w:lvlText w:val="(%1)"/>
      <w:numFmt w:val="decimal"/>
      <w:start w:val="1"/>
    </w:lvl>
  </w:abstractNum>
  <w:abstractNum w:abstractNumId="28">
    <w:nsid w:val="12E685FB"/>
    <w:multiLevelType w:val="hybridMultilevel"/>
    <w:lvl w:ilvl="0">
      <w:lvlJc w:val="left"/>
      <w:lvlText w:val="(%1)"/>
      <w:numFmt w:val="decimal"/>
      <w:start w:val="1"/>
    </w:lvl>
  </w:abstractNum>
  <w:abstractNum w:abstractNumId="29">
    <w:nsid w:val="70C6A529"/>
    <w:multiLevelType w:val="hybridMultilevel"/>
    <w:lvl w:ilvl="0">
      <w:lvlJc w:val="left"/>
      <w:lvlText w:val="(%1)"/>
      <w:numFmt w:val="decimal"/>
      <w:start w:val="1"/>
    </w:lvl>
  </w:abstractNum>
  <w:abstractNum w:abstractNumId="30">
    <w:nsid w:val="520EEDD1"/>
    <w:multiLevelType w:val="hybridMultilevel"/>
    <w:lvl w:ilvl="0">
      <w:lvlJc w:val="left"/>
      <w:lvlText w:val="(%1)"/>
      <w:numFmt w:val="decimal"/>
      <w:start w:val="1"/>
    </w:lvl>
  </w:abstractNum>
  <w:abstractNum w:abstractNumId="31">
    <w:nsid w:val="374A3FE6"/>
    <w:multiLevelType w:val="hybridMultilevel"/>
    <w:lvl w:ilvl="0">
      <w:lvlJc w:val="left"/>
      <w:lvlText w:val="(%1)"/>
      <w:numFmt w:val="decimal"/>
      <w:start w:val="1"/>
    </w:lvl>
  </w:abstractNum>
  <w:abstractNum w:abstractNumId="32">
    <w:nsid w:val="4F4EF005"/>
    <w:multiLevelType w:val="hybridMultilevel"/>
    <w:lvl w:ilvl="0">
      <w:lvlJc w:val="left"/>
      <w:lvlText w:val="(%1)"/>
      <w:numFmt w:val="decimal"/>
      <w:start w:val="1"/>
    </w:lvl>
  </w:abstractNum>
  <w:abstractNum w:abstractNumId="33">
    <w:nsid w:val="23F9C13C"/>
    <w:multiLevelType w:val="hybridMultilevel"/>
    <w:lvl w:ilvl="0">
      <w:lvlJc w:val="left"/>
      <w:lvlText w:val="(%1)"/>
      <w:numFmt w:val="decimal"/>
      <w:start w:val="2"/>
    </w:lvl>
  </w:abstractNum>
  <w:abstractNum w:abstractNumId="34">
    <w:nsid w:val="649BB77C"/>
    <w:multiLevelType w:val="hybridMultilevel"/>
    <w:lvl w:ilvl="0">
      <w:lvlJc w:val="left"/>
      <w:lvlText w:val="(%1)"/>
      <w:numFmt w:val="decimal"/>
      <w:start w:val="1"/>
    </w:lvl>
  </w:abstractNum>
  <w:abstractNum w:abstractNumId="35">
    <w:nsid w:val="275AC794"/>
    <w:multiLevelType w:val="hybridMultilevel"/>
    <w:lvl w:ilvl="0">
      <w:lvlJc w:val="left"/>
      <w:lvlText w:val="(%1)"/>
      <w:numFmt w:val="decimal"/>
      <w:start w:val="1"/>
    </w:lvl>
  </w:abstractNum>
  <w:abstractNum w:abstractNumId="36">
    <w:nsid w:val="39386575"/>
    <w:multiLevelType w:val="hybridMultilevel"/>
    <w:lvl w:ilvl="0">
      <w:lvlJc w:val="left"/>
      <w:lvlText w:val="(%1)"/>
      <w:numFmt w:val="decimal"/>
      <w:start w:val="1"/>
    </w:lvl>
  </w:abstractNum>
  <w:abstractNum w:abstractNumId="37">
    <w:nsid w:val="1CF10FD8"/>
    <w:multiLevelType w:val="hybridMultilevel"/>
    <w:lvl w:ilvl="0">
      <w:lvlJc w:val="left"/>
      <w:lvlText w:val="(%1)"/>
      <w:numFmt w:val="decimal"/>
      <w:start w:val="1"/>
    </w:lvl>
  </w:abstractNum>
  <w:abstractNum w:abstractNumId="38">
    <w:nsid w:val="180115BE"/>
    <w:multiLevelType w:val="hybridMultilevel"/>
    <w:lvl w:ilvl="0">
      <w:lvlJc w:val="left"/>
      <w:lvlText w:val="(%1)"/>
      <w:numFmt w:val="decimal"/>
      <w:start w:val="1"/>
    </w:lvl>
  </w:abstractNum>
  <w:abstractNum w:abstractNumId="39">
    <w:nsid w:val="235BA861"/>
    <w:multiLevelType w:val="hybridMultilevel"/>
    <w:lvl w:ilvl="0">
      <w:lvlJc w:val="left"/>
      <w:lvlText w:val="(%1)"/>
      <w:numFmt w:val="decimal"/>
      <w:start w:val="1"/>
    </w:lvl>
  </w:abstractNum>
  <w:abstractNum w:abstractNumId="40">
    <w:nsid w:val="47398C89"/>
    <w:multiLevelType w:val="hybridMultilevel"/>
    <w:lvl w:ilvl="0">
      <w:lvlJc w:val="left"/>
      <w:lvlText w:val="(%1)"/>
      <w:numFmt w:val="decimal"/>
      <w:start w:val="1"/>
    </w:lvl>
  </w:abstractNum>
  <w:abstractNum w:abstractNumId="41">
    <w:nsid w:val="354FE9F9"/>
    <w:multiLevelType w:val="hybridMultilevel"/>
    <w:lvl w:ilvl="0">
      <w:lvlJc w:val="left"/>
      <w:lvlText w:val="(%1)"/>
      <w:numFmt w:val="decimal"/>
      <w:start w:val="1"/>
    </w:lvl>
  </w:abstractNum>
  <w:abstractNum w:abstractNumId="42">
    <w:nsid w:val="15B5AF5C"/>
    <w:multiLevelType w:val="hybridMultilevel"/>
    <w:lvl w:ilvl="0">
      <w:lvlJc w:val="left"/>
      <w:lvlText w:val="(%1)"/>
      <w:numFmt w:val="decimal"/>
      <w:start w:val="1"/>
    </w:lvl>
  </w:abstractNum>
  <w:abstractNum w:abstractNumId="43">
    <w:nsid w:val="741226BB"/>
    <w:multiLevelType w:val="hybridMultilevel"/>
    <w:lvl w:ilvl="0">
      <w:lvlJc w:val="left"/>
      <w:lvlText w:val="(%1)"/>
      <w:numFmt w:val="decimal"/>
      <w:start w:val="1"/>
    </w:lvl>
  </w:abstractNum>
  <w:abstractNum w:abstractNumId="44">
    <w:nsid w:val="D34B6A8"/>
    <w:multiLevelType w:val="hybridMultilevel"/>
    <w:lvl w:ilvl="0">
      <w:lvlJc w:val="left"/>
      <w:lvlText w:val="(%1)"/>
      <w:numFmt w:val="decimal"/>
      <w:start w:val="1"/>
    </w:lvl>
  </w:abstractNum>
  <w:abstractNum w:abstractNumId="45">
    <w:nsid w:val="10233C99"/>
    <w:multiLevelType w:val="hybridMultilevel"/>
    <w:lvl w:ilvl="0">
      <w:lvlJc w:val="left"/>
      <w:lvlText w:val="(%1)"/>
      <w:numFmt w:val="decimal"/>
      <w:start w:val="1"/>
    </w:lvl>
  </w:abstractNum>
  <w:abstractNum w:abstractNumId="46">
    <w:nsid w:val="3F6AB60F"/>
    <w:multiLevelType w:val="hybridMultilevel"/>
    <w:lvl w:ilvl="0">
      <w:lvlJc w:val="left"/>
      <w:lvlText w:val="(%1)"/>
      <w:numFmt w:val="decimal"/>
      <w:start w:val="1"/>
    </w:lvl>
  </w:abstractNum>
  <w:abstractNum w:abstractNumId="47">
    <w:nsid w:val="61574095"/>
    <w:multiLevelType w:val="hybridMultilevel"/>
    <w:lvl w:ilvl="0">
      <w:lvlJc w:val="left"/>
      <w:lvlText w:val="(%1)"/>
      <w:numFmt w:val="decimal"/>
      <w:start w:val="1"/>
    </w:lvl>
  </w:abstractNum>
  <w:abstractNum w:abstractNumId="48">
    <w:nsid w:val="7E0C57B1"/>
    <w:multiLevelType w:val="hybridMultilevel"/>
    <w:lvl w:ilvl="0">
      <w:lvlJc w:val="left"/>
      <w:lvlText w:val="(%1)"/>
      <w:numFmt w:val="decimal"/>
      <w:start w:val="1"/>
    </w:lvl>
  </w:abstractNum>
  <w:abstractNum w:abstractNumId="49">
    <w:nsid w:val="77AE35EB"/>
    <w:multiLevelType w:val="hybridMultilevel"/>
    <w:lvl w:ilvl="0">
      <w:lvlJc w:val="left"/>
      <w:lvlText w:val="(%1)"/>
      <w:numFmt w:val="decimal"/>
      <w:start w:val="1"/>
    </w:lvl>
  </w:abstractNum>
  <w:abstractNum w:abstractNumId="50">
    <w:nsid w:val="579BE4F1"/>
    <w:multiLevelType w:val="hybridMultilevel"/>
    <w:lvl w:ilvl="0">
      <w:lvlJc w:val="left"/>
      <w:lvlText w:val="•"/>
      <w:numFmt w:val="bullet"/>
      <w:start w:val="1"/>
    </w:lvl>
    <w:lvl w:ilvl="1">
      <w:lvlJc w:val="left"/>
      <w:lvlText w:val="•"/>
      <w:numFmt w:val="bullet"/>
      <w:start w:val="1"/>
    </w:lvl>
  </w:abstractNum>
  <w:abstractNum w:abstractNumId="51">
    <w:nsid w:val="310C50B3"/>
    <w:multiLevelType w:val="hybridMultilevel"/>
    <w:lvl w:ilvl="0">
      <w:lvlJc w:val="left"/>
      <w:lvlText w:val="•"/>
      <w:numFmt w:val="bullet"/>
      <w:start w:val="1"/>
    </w:lvl>
  </w:abstractNum>
  <w:abstractNum w:abstractNumId="52">
    <w:nsid w:val="5FF87E05"/>
    <w:multiLevelType w:val="hybridMultilevel"/>
    <w:lvl w:ilvl="0">
      <w:lvlJc w:val="left"/>
      <w:lvlText w:val="•"/>
      <w:numFmt w:val="bullet"/>
      <w:start w:val="1"/>
    </w:lvl>
  </w:abstractNum>
  <w:abstractNum w:abstractNumId="53">
    <w:nsid w:val="2F305DEF"/>
    <w:multiLevelType w:val="hybridMultilevel"/>
    <w:lvl w:ilvl="0">
      <w:lvlJc w:val="left"/>
      <w:lvlText w:val="•"/>
      <w:numFmt w:val="bullet"/>
      <w:start w:val="1"/>
    </w:lvl>
  </w:abstractNum>
  <w:abstractNum w:abstractNumId="54">
    <w:nsid w:val="25A70BF7"/>
    <w:multiLevelType w:val="hybridMultilevel"/>
    <w:lvl w:ilvl="0">
      <w:lvlJc w:val="left"/>
      <w:lvlText w:val="(%1)"/>
      <w:numFmt w:val="decimal"/>
      <w:start w:val="1"/>
    </w:lvl>
  </w:abstractNum>
  <w:abstractNum w:abstractNumId="55">
    <w:nsid w:val="1DBABF00"/>
    <w:multiLevelType w:val="hybridMultilevel"/>
    <w:lvl w:ilvl="0">
      <w:lvlJc w:val="left"/>
      <w:lvlText w:val="(%1)"/>
      <w:numFmt w:val="decimal"/>
      <w:start w:val="1"/>
    </w:lvl>
  </w:abstractNum>
  <w:abstractNum w:abstractNumId="56">
    <w:nsid w:val="4AD084E9"/>
    <w:multiLevelType w:val="hybridMultilevel"/>
    <w:lvl w:ilvl="0">
      <w:lvlJc w:val="left"/>
      <w:lvlText w:val="(%1)"/>
      <w:numFmt w:val="decimal"/>
      <w:start w:val="1"/>
    </w:lvl>
  </w:abstractNum>
  <w:abstractNum w:abstractNumId="57">
    <w:nsid w:val="1F48EAA1"/>
    <w:multiLevelType w:val="hybridMultilevel"/>
    <w:lvl w:ilvl="0">
      <w:lvlJc w:val="left"/>
      <w:lvlText w:val="(%1)"/>
      <w:numFmt w:val="decimal"/>
      <w:start w:val="1"/>
    </w:lvl>
  </w:abstractNum>
  <w:abstractNum w:abstractNumId="58">
    <w:nsid w:val="1381823A"/>
    <w:multiLevelType w:val="hybridMultilevel"/>
    <w:lvl w:ilvl="0">
      <w:lvlJc w:val="left"/>
      <w:lvlText w:val="(%1)"/>
      <w:numFmt w:val="decimal"/>
      <w:start w:val="1"/>
    </w:lvl>
  </w:abstractNum>
  <w:abstractNum w:abstractNumId="59">
    <w:nsid w:val="5DB70AE5"/>
    <w:multiLevelType w:val="hybridMultilevel"/>
    <w:lvl w:ilvl="0">
      <w:lvlJc w:val="left"/>
      <w:lvlText w:val="(%1)"/>
      <w:numFmt w:val="decimal"/>
      <w:start w:val="1"/>
    </w:lvl>
  </w:abstractNum>
  <w:abstractNum w:abstractNumId="60">
    <w:nsid w:val="100F8FCA"/>
    <w:multiLevelType w:val="hybridMultilevel"/>
    <w:lvl w:ilvl="0">
      <w:lvlJc w:val="left"/>
      <w:lvlText w:val="(%1)"/>
      <w:numFmt w:val="decimal"/>
      <w:start w:val="1"/>
    </w:lvl>
  </w:abstractNum>
  <w:abstractNum w:abstractNumId="61">
    <w:nsid w:val="6590700B"/>
    <w:multiLevelType w:val="hybridMultilevel"/>
    <w:lvl w:ilvl="0">
      <w:lvlJc w:val="left"/>
      <w:lvlText w:val="(%1)"/>
      <w:numFmt w:val="decimal"/>
      <w:start w:val="1"/>
    </w:lvl>
  </w:abstractNum>
  <w:abstractNum w:abstractNumId="62">
    <w:nsid w:val="15014ACB"/>
    <w:multiLevelType w:val="hybridMultilevel"/>
    <w:lvl w:ilvl="0">
      <w:lvlJc w:val="left"/>
      <w:lvlText w:val="(%1)"/>
      <w:numFmt w:val="decimal"/>
      <w:start w:val="1"/>
    </w:lvl>
  </w:abstractNum>
  <w:abstractNum w:abstractNumId="63">
    <w:nsid w:val="5F5E7FD0"/>
    <w:multiLevelType w:val="hybridMultilevel"/>
    <w:lvl w:ilvl="0">
      <w:lvlJc w:val="left"/>
      <w:lvlText w:val="(%1)"/>
      <w:numFmt w:val="lowerLetter"/>
      <w:start w:val="1"/>
    </w:lvl>
  </w:abstractNum>
  <w:abstractNum w:abstractNumId="64">
    <w:nsid w:val="98A3148"/>
    <w:multiLevelType w:val="hybridMultilevel"/>
    <w:lvl w:ilvl="0">
      <w:lvlJc w:val="left"/>
      <w:lvlText w:val="%1"/>
      <w:numFmt w:val="decimal"/>
      <w:start w:val="100"/>
    </w:lvl>
  </w:abstractNum>
  <w:abstractNum w:abstractNumId="65">
    <w:nsid w:val="799D0247"/>
    <w:multiLevelType w:val="hybridMultilevel"/>
    <w:lvl w:ilvl="0">
      <w:lvlJc w:val="left"/>
      <w:lvlText w:val="(%1)"/>
      <w:numFmt w:val="decimal"/>
      <w:start w:val="1"/>
    </w:lvl>
  </w:abstractNum>
  <w:abstractNum w:abstractNumId="66">
    <w:nsid w:val="6B94764"/>
    <w:multiLevelType w:val="hybridMultilevel"/>
    <w:lvl w:ilvl="0">
      <w:lvlJc w:val="left"/>
      <w:lvlText w:val="*"/>
      <w:numFmt w:val="bullet"/>
      <w:start w:val="1"/>
    </w:lvl>
    <w:lvl w:ilvl="1">
      <w:lvlJc w:val="left"/>
      <w:lvlText w:val="(%2)"/>
      <w:numFmt w:val="decimal"/>
      <w:start w:val="16"/>
    </w:lvl>
  </w:abstractNum>
  <w:abstractNum w:abstractNumId="67">
    <w:nsid w:val="42C296BD"/>
    <w:multiLevelType w:val="hybridMultilevel"/>
    <w:lvl w:ilvl="0">
      <w:lvlJc w:val="left"/>
      <w:lvlText w:val="(%1)"/>
      <w:numFmt w:val="decimal"/>
      <w:start w:val="1"/>
    </w:lvl>
  </w:abstractNum>
  <w:abstractNum w:abstractNumId="68">
    <w:nsid w:val="168E121F"/>
    <w:multiLevelType w:val="hybridMultilevel"/>
    <w:lvl w:ilvl="0">
      <w:lvlJc w:val="left"/>
      <w:lvlText w:val="%1."/>
      <w:numFmt w:val="decimal"/>
      <w:start w:val="1"/>
    </w:lvl>
    <w:lvl w:ilvl="1">
      <w:lvlJc w:val="left"/>
      <w:lvlText w:val="(%2)"/>
      <w:numFmt w:val="lowerLetter"/>
      <w:start w:val="1"/>
    </w:lvl>
  </w:abstractNum>
  <w:abstractNum w:abstractNumId="69">
    <w:nsid w:val="1EBA5D23"/>
    <w:multiLevelType w:val="hybridMultilevel"/>
    <w:lvl w:ilvl="0">
      <w:lvlJc w:val="left"/>
      <w:lvlText w:val="%1."/>
      <w:numFmt w:val="decimal"/>
      <w:start w:val="1"/>
    </w:lvl>
    <w:lvl w:ilvl="1">
      <w:lvlJc w:val="left"/>
      <w:lvlText w:val="(%2)"/>
      <w:numFmt w:val="lowerLetter"/>
      <w:start w:val="1"/>
    </w:lvl>
  </w:abstractNum>
  <w:abstractNum w:abstractNumId="70">
    <w:nsid w:val="661E3F1E"/>
    <w:multiLevelType w:val="hybridMultilevel"/>
    <w:lvl w:ilvl="0">
      <w:lvlJc w:val="left"/>
      <w:lvlText w:val="%1."/>
      <w:numFmt w:val="decimal"/>
      <w:start w:val="1"/>
    </w:lvl>
  </w:abstractNum>
  <w:abstractNum w:abstractNumId="71">
    <w:nsid w:val="5DC79EA8"/>
    <w:multiLevelType w:val="hybridMultilevel"/>
    <w:lvl w:ilvl="0">
      <w:lvlJc w:val="left"/>
      <w:lvlText w:val="%1."/>
      <w:numFmt w:val="decimal"/>
      <w:start w:val="3"/>
    </w:lvl>
  </w:abstractNum>
  <w:abstractNum w:abstractNumId="72">
    <w:nsid w:val="540A471C"/>
    <w:multiLevelType w:val="hybridMultilevel"/>
    <w:lvl w:ilvl="0">
      <w:lvlJc w:val="left"/>
      <w:lvlText w:val="%1."/>
      <w:numFmt w:val="decimal"/>
      <w:start w:val="5"/>
    </w:lvl>
    <w:lvl w:ilvl="1">
      <w:lvlJc w:val="left"/>
      <w:lvlText w:val="(%2)"/>
      <w:numFmt w:val="lowerLetter"/>
      <w:start w:val="1"/>
    </w:lvl>
  </w:abstractNum>
  <w:abstractNum w:abstractNumId="73">
    <w:nsid w:val="7BD3EE7B"/>
    <w:multiLevelType w:val="hybridMultilevel"/>
    <w:lvl w:ilvl="0">
      <w:lvlJc w:val="left"/>
      <w:lvlText w:val="(%1)"/>
      <w:numFmt w:val="lowerLetter"/>
      <w:start w:val="2"/>
    </w:lvl>
  </w:abstractNum>
  <w:abstractNum w:abstractNumId="74">
    <w:nsid w:val="51D9C564"/>
    <w:multiLevelType w:val="hybridMultilevel"/>
    <w:lvl w:ilvl="0">
      <w:lvlJc w:val="left"/>
      <w:lvlText w:val="%1)"/>
      <w:numFmt w:val="lowerLetter"/>
      <w:start w:val="1"/>
    </w:lvl>
  </w:abstractNum>
  <w:abstractNum w:abstractNumId="75">
    <w:nsid w:val="613EFDC5"/>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2019-12-29T08:50:26Z</dcterms:created>
  <dcterms:modified xsi:type="dcterms:W3CDTF">2019-12-29T08:50:26Z</dcterms:modified>
</cp:coreProperties>
</file>