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7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75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RIDINGS BARRY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1114 AVE OF THE AMERICAS 39TH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Safehold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SAFE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22</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w w:val="93"/>
              </w:rPr>
              <w:t>43,946</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4,665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15, 2024, the Reporting Person acquired 22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merger (the "Merger") of Safehold Inc. ("Old Safe") with and into iStar Inc. ("iStar") closed, with iStar Inc. surviving the Merger and changing its name to Safehold Inc. ("New SAFE"; NYSE: SAFE). Column 5 includes 890 CSEs received in connection with iStar's reverse split which were previously inadvertently omitted from Reporting Person's direct total ownership. Each CSE is convertible on a one-for-one basis into shares of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07/16/2024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Barry Ridings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44258" TargetMode="External"/><Relationship Id="rId13"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2024-07-16T20:37:01Z</dcterms:created>
  <dcterms:modified xsi:type="dcterms:W3CDTF">2024-07-16T20:37:01Z</dcterms:modified>
</cp:coreProperties>
</file>