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0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1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2600" w:right="1840" w:hanging="850"/>
        <w:spacing w:after="0" w:line="260" w:lineRule="auto"/>
        <w:tabs>
          <w:tab w:leader="none" w:pos="26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6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2600" w:right="1380" w:hanging="809"/>
        <w:spacing w:after="0" w:line="260" w:lineRule="auto"/>
        <w:tabs>
          <w:tab w:leader="none" w:pos="26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900"/>
        <w:spacing w:after="0"/>
        <w:tabs>
          <w:tab w:leader="none" w:pos="68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7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Commission File No. 1-15371</w:t>
      </w:r>
    </w:p>
    <w:p>
      <w:pPr>
        <w:spacing w:after="0" w:line="144"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5" w:lineRule="exact"/>
        <w:rPr>
          <w:sz w:val="24"/>
          <w:szCs w:val="24"/>
          <w:color w:val="auto"/>
        </w:rPr>
      </w:pPr>
    </w:p>
    <w:tbl>
      <w:tblPr>
        <w:tblLayout w:type="fixed"/>
        <w:tblInd w:w="1220" w:type="dxa"/>
        <w:tblCellMar>
          <w:top w:w="0" w:type="dxa"/>
          <w:left w:w="0" w:type="dxa"/>
          <w:bottom w:w="0" w:type="dxa"/>
          <w:right w:w="0" w:type="dxa"/>
        </w:tblCellMar>
      </w:tblPr>
      <w:tr>
        <w:trPr>
          <w:trHeight w:val="393"/>
        </w:trPr>
        <w:tc>
          <w:tcPr>
            <w:tcW w:w="6500" w:type="dxa"/>
            <w:vAlign w:val="bottom"/>
          </w:tcPr>
          <w:p>
            <w:pPr>
              <w:jc w:val="center"/>
              <w:ind w:left="2381"/>
              <w:spacing w:after="0"/>
              <w:rPr>
                <w:sz w:val="20"/>
                <w:szCs w:val="20"/>
                <w:color w:val="auto"/>
              </w:rPr>
            </w:pPr>
            <w:r>
              <w:rPr>
                <w:rFonts w:ascii="Times New Roman" w:cs="Times New Roman" w:eastAsia="Times New Roman" w:hAnsi="Times New Roman"/>
                <w:sz w:val="32"/>
                <w:szCs w:val="32"/>
                <w:b w:val="1"/>
                <w:bCs w:val="1"/>
                <w:color w:val="auto"/>
                <w:w w:val="99"/>
              </w:rPr>
              <w:t>iSTAR FINANCIAL INC.</w:t>
            </w:r>
          </w:p>
        </w:tc>
        <w:tc>
          <w:tcPr>
            <w:tcW w:w="1800" w:type="dxa"/>
            <w:vAlign w:val="bottom"/>
          </w:tcPr>
          <w:p>
            <w:pPr>
              <w:spacing w:after="0"/>
              <w:rPr>
                <w:sz w:val="24"/>
                <w:szCs w:val="24"/>
                <w:color w:val="auto"/>
              </w:rPr>
            </w:pPr>
          </w:p>
        </w:tc>
      </w:tr>
      <w:tr>
        <w:trPr>
          <w:trHeight w:val="234"/>
        </w:trPr>
        <w:tc>
          <w:tcPr>
            <w:tcW w:w="6500" w:type="dxa"/>
            <w:vAlign w:val="bottom"/>
          </w:tcPr>
          <w:p>
            <w:pPr>
              <w:jc w:val="center"/>
              <w:ind w:left="2401"/>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800" w:type="dxa"/>
            <w:vAlign w:val="bottom"/>
          </w:tcPr>
          <w:p>
            <w:pPr>
              <w:spacing w:after="0"/>
              <w:rPr>
                <w:sz w:val="20"/>
                <w:szCs w:val="20"/>
                <w:color w:val="auto"/>
              </w:rPr>
            </w:pPr>
          </w:p>
        </w:tc>
      </w:tr>
      <w:tr>
        <w:trPr>
          <w:trHeight w:val="495"/>
        </w:trPr>
        <w:tc>
          <w:tcPr>
            <w:tcW w:w="6500" w:type="dxa"/>
            <w:vAlign w:val="bottom"/>
          </w:tcPr>
          <w:p>
            <w:pPr>
              <w:jc w:val="center"/>
              <w:ind w:right="3341"/>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1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95-6881527</w:t>
            </w:r>
          </w:p>
        </w:tc>
      </w:tr>
      <w:tr>
        <w:trPr>
          <w:trHeight w:val="216"/>
        </w:trPr>
        <w:tc>
          <w:tcPr>
            <w:tcW w:w="6500" w:type="dxa"/>
            <w:vAlign w:val="bottom"/>
          </w:tcPr>
          <w:p>
            <w:pPr>
              <w:jc w:val="center"/>
              <w:ind w:right="3341"/>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500" w:type="dxa"/>
            <w:vAlign w:val="bottom"/>
          </w:tcPr>
          <w:p>
            <w:pPr>
              <w:jc w:val="center"/>
              <w:ind w:right="3341"/>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248"/>
        </w:trPr>
        <w:tc>
          <w:tcPr>
            <w:tcW w:w="6500" w:type="dxa"/>
            <w:vAlign w:val="bottom"/>
          </w:tcPr>
          <w:p>
            <w:pPr>
              <w:jc w:val="center"/>
              <w:ind w:right="3341"/>
              <w:spacing w:after="0"/>
              <w:rPr>
                <w:sz w:val="20"/>
                <w:szCs w:val="20"/>
                <w:color w:val="auto"/>
              </w:rPr>
            </w:pPr>
            <w:r>
              <w:rPr>
                <w:rFonts w:ascii="Times New Roman" w:cs="Times New Roman" w:eastAsia="Times New Roman" w:hAnsi="Times New Roman"/>
                <w:sz w:val="18"/>
                <w:szCs w:val="18"/>
                <w:b w:val="1"/>
                <w:bCs w:val="1"/>
                <w:color w:val="auto"/>
                <w:w w:val="98"/>
              </w:rPr>
              <w:t>1114 Avenue of the Americas, 39</w:t>
            </w:r>
            <w:r>
              <w:rPr>
                <w:rFonts w:ascii="Times New Roman" w:cs="Times New Roman" w:eastAsia="Times New Roman" w:hAnsi="Times New Roman"/>
                <w:sz w:val="14"/>
                <w:szCs w:val="14"/>
                <w:b w:val="1"/>
                <w:bCs w:val="1"/>
                <w:color w:val="auto"/>
                <w:w w:val="98"/>
              </w:rPr>
              <w:t>th</w:t>
            </w:r>
            <w:r>
              <w:rPr>
                <w:rFonts w:ascii="Times New Roman" w:cs="Times New Roman" w:eastAsia="Times New Roman" w:hAnsi="Times New Roman"/>
                <w:sz w:val="18"/>
                <w:szCs w:val="18"/>
                <w:b w:val="1"/>
                <w:bCs w:val="1"/>
                <w:color w:val="auto"/>
                <w:w w:val="98"/>
              </w:rPr>
              <w:t xml:space="preserve"> Floor</w:t>
            </w:r>
          </w:p>
        </w:tc>
        <w:tc>
          <w:tcPr>
            <w:tcW w:w="1800" w:type="dxa"/>
            <w:vAlign w:val="bottom"/>
          </w:tcPr>
          <w:p>
            <w:pPr>
              <w:spacing w:after="0"/>
              <w:rPr>
                <w:sz w:val="21"/>
                <w:szCs w:val="21"/>
                <w:color w:val="auto"/>
              </w:rPr>
            </w:pPr>
          </w:p>
        </w:tc>
      </w:tr>
      <w:tr>
        <w:trPr>
          <w:trHeight w:val="220"/>
        </w:trPr>
        <w:tc>
          <w:tcPr>
            <w:tcW w:w="6500" w:type="dxa"/>
            <w:vAlign w:val="bottom"/>
          </w:tcPr>
          <w:p>
            <w:pPr>
              <w:jc w:val="center"/>
              <w:ind w:right="334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18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4"/>
        </w:trPr>
        <w:tc>
          <w:tcPr>
            <w:tcW w:w="6500" w:type="dxa"/>
            <w:vAlign w:val="bottom"/>
          </w:tcPr>
          <w:p>
            <w:pPr>
              <w:jc w:val="center"/>
              <w:ind w:right="334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40"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36"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460" w:type="dxa"/>
        <w:tblCellMar>
          <w:top w:w="0" w:type="dxa"/>
          <w:left w:w="0" w:type="dxa"/>
          <w:bottom w:w="0" w:type="dxa"/>
          <w:right w:w="0" w:type="dxa"/>
        </w:tblCellMar>
      </w:tblPr>
      <w:tr>
        <w:trPr>
          <w:trHeight w:val="195"/>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191"/>
        </w:trPr>
        <w:tc>
          <w:tcPr>
            <w:tcW w:w="5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163"/>
        </w:trPr>
        <w:tc>
          <w:tcPr>
            <w:tcW w:w="5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8.000% Series D Cumulative Redeemable</w:t>
            </w: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188"/>
        </w:trPr>
        <w:tc>
          <w:tcPr>
            <w:tcW w:w="5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Preferred Stock, $0.001 par value</w:t>
            </w:r>
          </w:p>
        </w:tc>
        <w:tc>
          <w:tcPr>
            <w:tcW w:w="5040" w:type="dxa"/>
            <w:vAlign w:val="bottom"/>
          </w:tcPr>
          <w:p>
            <w:pPr>
              <w:spacing w:after="0"/>
              <w:rPr>
                <w:sz w:val="16"/>
                <w:szCs w:val="16"/>
                <w:color w:val="auto"/>
              </w:rPr>
            </w:pPr>
          </w:p>
        </w:tc>
      </w:tr>
      <w:tr>
        <w:trPr>
          <w:trHeight w:val="163"/>
        </w:trPr>
        <w:tc>
          <w:tcPr>
            <w:tcW w:w="5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7.875% Series E Cumulative Redeemable</w:t>
            </w: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188"/>
        </w:trPr>
        <w:tc>
          <w:tcPr>
            <w:tcW w:w="5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Preferred Stock, $0.001 par value</w:t>
            </w:r>
          </w:p>
        </w:tc>
        <w:tc>
          <w:tcPr>
            <w:tcW w:w="5040" w:type="dxa"/>
            <w:vAlign w:val="bottom"/>
          </w:tcPr>
          <w:p>
            <w:pPr>
              <w:spacing w:after="0"/>
              <w:rPr>
                <w:sz w:val="16"/>
                <w:szCs w:val="16"/>
                <w:color w:val="auto"/>
              </w:rPr>
            </w:pPr>
          </w:p>
        </w:tc>
      </w:tr>
      <w:tr>
        <w:trPr>
          <w:trHeight w:val="163"/>
        </w:trPr>
        <w:tc>
          <w:tcPr>
            <w:tcW w:w="5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7.8% Series F Cumulative Redeemable</w:t>
            </w: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188"/>
        </w:trPr>
        <w:tc>
          <w:tcPr>
            <w:tcW w:w="5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Preferred Stock, $0.001 par value</w:t>
            </w:r>
          </w:p>
        </w:tc>
        <w:tc>
          <w:tcPr>
            <w:tcW w:w="5040" w:type="dxa"/>
            <w:vAlign w:val="bottom"/>
          </w:tcPr>
          <w:p>
            <w:pPr>
              <w:spacing w:after="0"/>
              <w:rPr>
                <w:sz w:val="16"/>
                <w:szCs w:val="16"/>
                <w:color w:val="auto"/>
              </w:rPr>
            </w:pPr>
          </w:p>
        </w:tc>
      </w:tr>
      <w:tr>
        <w:trPr>
          <w:trHeight w:val="163"/>
        </w:trPr>
        <w:tc>
          <w:tcPr>
            <w:tcW w:w="5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7.65% Series G Cumulative Redeemable</w:t>
            </w: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188"/>
        </w:trPr>
        <w:tc>
          <w:tcPr>
            <w:tcW w:w="5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Preferred Stock, $0.001 par value</w:t>
            </w:r>
          </w:p>
        </w:tc>
        <w:tc>
          <w:tcPr>
            <w:tcW w:w="5040" w:type="dxa"/>
            <w:vAlign w:val="bottom"/>
          </w:tcPr>
          <w:p>
            <w:pPr>
              <w:spacing w:after="0"/>
              <w:rPr>
                <w:sz w:val="16"/>
                <w:szCs w:val="16"/>
                <w:color w:val="auto"/>
              </w:rPr>
            </w:pPr>
          </w:p>
        </w:tc>
      </w:tr>
      <w:tr>
        <w:trPr>
          <w:trHeight w:val="163"/>
        </w:trPr>
        <w:tc>
          <w:tcPr>
            <w:tcW w:w="5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7.50% Series I Cumulative Redeemable</w:t>
            </w: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188"/>
        </w:trPr>
        <w:tc>
          <w:tcPr>
            <w:tcW w:w="5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Preferred Stock, $0.001 par value</w:t>
            </w:r>
          </w:p>
        </w:tc>
        <w:tc>
          <w:tcPr>
            <w:tcW w:w="5040" w:type="dxa"/>
            <w:vAlign w:val="bottom"/>
          </w:tcPr>
          <w:p>
            <w:pPr>
              <w:spacing w:after="0"/>
              <w:rPr>
                <w:sz w:val="16"/>
                <w:szCs w:val="16"/>
                <w:color w:val="auto"/>
              </w:rPr>
            </w:pPr>
          </w:p>
        </w:tc>
      </w:tr>
    </w:tbl>
    <w:p>
      <w:pPr>
        <w:spacing w:after="0" w:line="14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p>
      <w:pPr>
        <w:sectPr>
          <w:pgSz w:w="11900" w:h="16838" w:orient="portrait"/>
          <w:cols w:equalWidth="0" w:num="1">
            <w:col w:w="10980"/>
          </w:cols>
          <w:pgMar w:left="240" w:top="225" w:right="67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jc w:val="center"/>
        <w:ind w:left="9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931545</wp:posOffset>
            </wp:positionH>
            <wp:positionV relativeFrom="paragraph">
              <wp:posOffset>24765</wp:posOffset>
            </wp:positionV>
            <wp:extent cx="2573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7"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4"/>
          <w:szCs w:val="14"/>
          <w:color w:val="auto"/>
        </w:rPr>
        <w:t>4.50% Series J Convertible Perpetual</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4"/>
          <w:szCs w:val="14"/>
          <w:color w:val="auto"/>
        </w:rPr>
        <w:t>Preferred Stock, $0.001 par value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wp:posOffset>
            </wp:positionH>
            <wp:positionV relativeFrom="paragraph">
              <wp:posOffset>24765</wp:posOffset>
            </wp:positionV>
            <wp:extent cx="25730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7"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4"/>
          <w:szCs w:val="14"/>
          <w:color w:val="auto"/>
        </w:rPr>
        <w:t>N/A</w:t>
      </w:r>
    </w:p>
    <w:p>
      <w:pPr>
        <w:sectPr>
          <w:pgSz w:w="11900" w:h="16838" w:orient="portrait"/>
          <w:cols w:equalWidth="0" w:num="2">
            <w:col w:w="6000" w:space="720"/>
            <w:col w:w="4260"/>
          </w:cols>
          <w:pgMar w:left="240" w:top="225" w:right="67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o</w:t>
      </w:r>
    </w:p>
    <w:p>
      <w:pPr>
        <w:spacing w:after="0" w:line="200" w:lineRule="exact"/>
        <w:rPr>
          <w:sz w:val="20"/>
          <w:szCs w:val="20"/>
          <w:color w:val="auto"/>
        </w:rPr>
      </w:pPr>
    </w:p>
    <w:p>
      <w:pPr>
        <w:sectPr>
          <w:pgSz w:w="11900" w:h="16838" w:orient="portrait"/>
          <w:cols w:equalWidth="0" w:num="2">
            <w:col w:w="7760" w:space="160"/>
            <w:col w:w="3500"/>
          </w:cols>
          <w:pgMar w:left="240" w:top="118" w:right="239" w:bottom="1440" w:gutter="0" w:footer="0" w:header="0"/>
          <w:type w:val="continuous"/>
        </w:sectPr>
      </w:pPr>
    </w:p>
    <w:p>
      <w:pPr>
        <w:spacing w:after="0" w:line="48" w:lineRule="exact"/>
        <w:rPr>
          <w:sz w:val="20"/>
          <w:szCs w:val="20"/>
          <w:color w:val="auto"/>
        </w:rPr>
      </w:pPr>
    </w:p>
    <w:p>
      <w:pPr>
        <w:ind w:left="60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o No </w:t>
      </w:r>
      <w:r>
        <w:rPr>
          <w:rFonts w:ascii="MS PGothic" w:cs="MS PGothic" w:eastAsia="MS PGothic" w:hAnsi="MS PGothic"/>
          <w:sz w:val="14"/>
          <w:szCs w:val="14"/>
          <w:color w:val="auto"/>
        </w:rPr>
        <w:t>☒</w:t>
      </w:r>
    </w:p>
    <w:p>
      <w:pPr>
        <w:spacing w:after="0" w:line="295" w:lineRule="exact"/>
        <w:rPr>
          <w:sz w:val="20"/>
          <w:szCs w:val="20"/>
          <w:color w:val="auto"/>
        </w:rPr>
      </w:pPr>
    </w:p>
    <w:p>
      <w:pPr>
        <w:ind w:right="20" w:firstLine="59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231" w:lineRule="exact"/>
        <w:rPr>
          <w:sz w:val="20"/>
          <w:szCs w:val="20"/>
          <w:color w:val="auto"/>
        </w:rPr>
      </w:pPr>
    </w:p>
    <w:p>
      <w:pPr>
        <w:ind w:firstLine="59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ectPr>
          <w:pgSz w:w="11900" w:h="16838" w:orient="portrait"/>
          <w:cols w:equalWidth="0" w:num="1">
            <w:col w:w="11420"/>
          </w:cols>
          <w:pgMar w:left="240" w:top="118" w:right="239" w:bottom="1440" w:gutter="0" w:footer="0" w:header="0"/>
          <w:type w:val="continuous"/>
        </w:sectPr>
      </w:pPr>
    </w:p>
    <w:p>
      <w:pPr>
        <w:spacing w:after="0" w:line="231" w:lineRule="exact"/>
        <w:rPr>
          <w:sz w:val="20"/>
          <w:szCs w:val="20"/>
          <w:color w:val="auto"/>
        </w:rPr>
      </w:pPr>
    </w:p>
    <w:p>
      <w:pPr>
        <w:ind w:firstLine="59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31" w:lineRule="exact"/>
        <w:rPr>
          <w:sz w:val="20"/>
          <w:szCs w:val="20"/>
          <w:color w:val="auto"/>
        </w:rPr>
      </w:pPr>
    </w:p>
    <w:p>
      <w:pPr>
        <w:ind w:firstLine="594"/>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0" w:lineRule="exact"/>
        <w:rPr>
          <w:sz w:val="20"/>
          <w:szCs w:val="20"/>
          <w:color w:val="auto"/>
        </w:rPr>
      </w:pPr>
    </w:p>
    <w:p>
      <w:pPr>
        <w:spacing w:after="0" w:line="367" w:lineRule="exact"/>
        <w:rPr>
          <w:sz w:val="20"/>
          <w:szCs w:val="20"/>
          <w:color w:val="auto"/>
        </w:rPr>
      </w:pPr>
    </w:p>
    <w:tbl>
      <w:tblPr>
        <w:tblLayout w:type="fixed"/>
        <w:tblInd w:w="200" w:type="dxa"/>
        <w:tblCellMar>
          <w:top w:w="0" w:type="dxa"/>
          <w:left w:w="0" w:type="dxa"/>
          <w:bottom w:w="0" w:type="dxa"/>
          <w:right w:w="0" w:type="dxa"/>
        </w:tblCellMar>
      </w:tblPr>
      <w:tr>
        <w:trPr>
          <w:trHeight w:val="188"/>
        </w:trPr>
        <w:tc>
          <w:tcPr>
            <w:tcW w:w="2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Non-accelerated filer o</w:t>
            </w: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0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2680" w:type="dxa"/>
            <w:vAlign w:val="bottom"/>
          </w:tcPr>
          <w:p>
            <w:pPr>
              <w:spacing w:after="0"/>
              <w:rPr>
                <w:sz w:val="15"/>
                <w:szCs w:val="15"/>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(Do not check if a</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26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Accelerated filer o</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Smaller reporting company o</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00"/>
        <w:spacing w:after="0" w:line="161" w:lineRule="exact"/>
        <w:tabs>
          <w:tab w:leader="none" w:pos="70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 Yes o</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95" w:lineRule="exact"/>
        <w:rPr>
          <w:sz w:val="20"/>
          <w:szCs w:val="20"/>
          <w:color w:val="auto"/>
        </w:rPr>
      </w:pPr>
    </w:p>
    <w:p>
      <w:pPr>
        <w:ind w:right="20" w:firstLine="594"/>
        <w:spacing w:after="0" w:line="282" w:lineRule="auto"/>
        <w:rPr>
          <w:sz w:val="20"/>
          <w:szCs w:val="20"/>
          <w:color w:val="auto"/>
        </w:rPr>
      </w:pPr>
      <w:r>
        <w:rPr>
          <w:rFonts w:ascii="Times New Roman" w:cs="Times New Roman" w:eastAsia="Times New Roman" w:hAnsi="Times New Roman"/>
          <w:sz w:val="14"/>
          <w:szCs w:val="14"/>
          <w:color w:val="auto"/>
        </w:rPr>
        <w:t>As of June 30, 2014 the aggregate market value of the common stock, $0.001 par value per share of iStar Financial Inc. ("Common Stock"), held by non-affiliates (1) of the registrant was approximately $1.2 billion, based upon the closing price of $14.98 on the New York Stock Exchange composite tape on such date.</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As of February 20, 2015, there were 85,374,846 shares of Common Stock outstanding.</w:t>
      </w:r>
    </w:p>
    <w:p>
      <w:pPr>
        <w:spacing w:after="0" w:line="13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Annual Report only, includes all outstanding Common Stock other than Common Stock held directly by the registrant's directors and executive officers.</w:t>
      </w:r>
    </w:p>
    <w:p>
      <w:pPr>
        <w:spacing w:after="0" w:line="134" w:lineRule="exact"/>
        <w:rPr>
          <w:rFonts w:ascii="Times New Roman" w:cs="Times New Roman" w:eastAsia="Times New Roman" w:hAnsi="Times New Roman"/>
          <w:sz w:val="14"/>
          <w:szCs w:val="14"/>
          <w:color w:val="auto"/>
        </w:rPr>
      </w:pPr>
    </w:p>
    <w:p>
      <w:pPr>
        <w:ind w:left="4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DOCUMENTS INCORPORATED BY REFERENCE</w:t>
      </w:r>
    </w:p>
    <w:p>
      <w:pPr>
        <w:spacing w:after="0" w:line="273" w:lineRule="exact"/>
        <w:rPr>
          <w:sz w:val="20"/>
          <w:szCs w:val="20"/>
          <w:color w:val="auto"/>
        </w:rPr>
      </w:pPr>
    </w:p>
    <w:p>
      <w:pPr>
        <w:ind w:left="660" w:right="40" w:hanging="328"/>
        <w:spacing w:after="0" w:line="282" w:lineRule="auto"/>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the registrant's definitive proxy statement for the registrant's 2015 Annual Meeting, to be filed within 120 days after the close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77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20" w:type="dxa"/>
            <w:vAlign w:val="bottom"/>
            <w:gridSpan w:val="10"/>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50"/>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1160" w:type="dxa"/>
            <w:vAlign w:val="bottom"/>
            <w:gridSpan w:val="5"/>
          </w:tcPr>
          <w:p>
            <w:pPr>
              <w:spacing w:after="0" w:line="170"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80" w:type="dxa"/>
            <w:vAlign w:val="bottom"/>
            <w:gridSpan w:val="5"/>
          </w:tcPr>
          <w:p>
            <w:pPr>
              <w:jc w:val="right"/>
              <w:ind w:right="20"/>
              <w:spacing w:after="0" w:line="170"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257"/>
        </w:trPr>
        <w:tc>
          <w:tcPr>
            <w:tcW w:w="500" w:type="dxa"/>
            <w:vAlign w:val="bottom"/>
            <w:tcBorders>
              <w:top w:val="single" w:sz="8" w:color="0000EE"/>
            </w:tcBorders>
          </w:tcPr>
          <w:p>
            <w:pPr>
              <w:spacing w:after="0"/>
              <w:rPr>
                <w:rFonts w:ascii="Times New Roman" w:cs="Times New Roman" w:eastAsia="Times New Roman" w:hAnsi="Times New Roman"/>
                <w:sz w:val="18"/>
                <w:szCs w:val="18"/>
                <w:color w:val="0000EE"/>
                <w:w w:val="90"/>
              </w:rPr>
            </w:pPr>
            <w:hyperlink w:anchor="page4">
              <w:r>
                <w:rPr>
                  <w:rFonts w:ascii="Times New Roman" w:cs="Times New Roman" w:eastAsia="Times New Roman" w:hAnsi="Times New Roman"/>
                  <w:sz w:val="18"/>
                  <w:szCs w:val="18"/>
                  <w:color w:val="0000EE"/>
                  <w:w w:val="90"/>
                </w:rPr>
                <w:t>Item 1.</w:t>
              </w:r>
            </w:hyperlink>
          </w:p>
        </w:tc>
        <w:tc>
          <w:tcPr>
            <w:tcW w:w="80" w:type="dxa"/>
            <w:vAlign w:val="bottom"/>
            <w:tcBorders>
              <w:top w:val="single" w:sz="8" w:color="0000EE"/>
            </w:tcBorders>
          </w:tcPr>
          <w:p>
            <w:pPr>
              <w:spacing w:after="0"/>
              <w:rPr>
                <w:sz w:val="22"/>
                <w:szCs w:val="22"/>
                <w:color w:val="auto"/>
              </w:rPr>
            </w:pPr>
          </w:p>
        </w:tc>
        <w:tc>
          <w:tcPr>
            <w:tcW w:w="580" w:type="dxa"/>
            <w:vAlign w:val="bottom"/>
            <w:gridSpan w:val="3"/>
          </w:tcPr>
          <w:p>
            <w:pPr>
              <w:spacing w:after="0"/>
              <w:rPr>
                <w:sz w:val="22"/>
                <w:szCs w:val="22"/>
                <w:color w:val="auto"/>
              </w:rPr>
            </w:pPr>
          </w:p>
        </w:tc>
        <w:tc>
          <w:tcPr>
            <w:tcW w:w="954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560" w:type="dxa"/>
            <w:vAlign w:val="bottom"/>
            <w:gridSpan w:val="3"/>
          </w:tcPr>
          <w:p>
            <w:pPr>
              <w:spacing w:after="0"/>
              <w:rPr>
                <w:sz w:val="22"/>
                <w:szCs w:val="22"/>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2"/>
                <w:szCs w:val="22"/>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5"/>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1a.</w:t>
              </w:r>
            </w:hyperlink>
          </w:p>
        </w:tc>
        <w:tc>
          <w:tcPr>
            <w:tcW w:w="9540" w:type="dxa"/>
            <w:vAlign w:val="bottom"/>
            <w:gridSpan w:val="18"/>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Risk Factors</w:t>
              </w:r>
            </w:hyperlink>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24">
              <w:r>
                <w:rPr>
                  <w:rFonts w:ascii="Times New Roman" w:cs="Times New Roman" w:eastAsia="Times New Roman" w:hAnsi="Times New Roman"/>
                  <w:sz w:val="18"/>
                  <w:szCs w:val="18"/>
                  <w:color w:val="0000EE"/>
                  <w:w w:val="89"/>
                </w:rPr>
                <w:t>Item 1b.</w:t>
              </w:r>
            </w:hyperlink>
          </w:p>
        </w:tc>
        <w:tc>
          <w:tcPr>
            <w:tcW w:w="580" w:type="dxa"/>
            <w:vAlign w:val="bottom"/>
            <w:gridSpan w:val="3"/>
          </w:tcPr>
          <w:p>
            <w:pPr>
              <w:spacing w:after="0"/>
              <w:rPr>
                <w:sz w:val="21"/>
                <w:szCs w:val="21"/>
                <w:color w:val="auto"/>
              </w:rPr>
            </w:pPr>
          </w:p>
        </w:tc>
        <w:tc>
          <w:tcPr>
            <w:tcW w:w="9540" w:type="dxa"/>
            <w:vAlign w:val="bottom"/>
            <w:gridSpan w:val="18"/>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Unresolved Staff Comments</w:t>
              </w:r>
            </w:hyperlink>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24">
              <w:r>
                <w:rPr>
                  <w:rFonts w:ascii="Times New Roman" w:cs="Times New Roman" w:eastAsia="Times New Roman" w:hAnsi="Times New Roman"/>
                  <w:sz w:val="18"/>
                  <w:szCs w:val="18"/>
                  <w:color w:val="0000EE"/>
                  <w:w w:val="90"/>
                </w:rPr>
                <w:t>Item 2.</w:t>
              </w:r>
            </w:hyperlink>
          </w:p>
        </w:tc>
        <w:tc>
          <w:tcPr>
            <w:tcW w:w="80" w:type="dxa"/>
            <w:vAlign w:val="bottom"/>
          </w:tcPr>
          <w:p>
            <w:pPr>
              <w:spacing w:after="0"/>
              <w:rPr>
                <w:sz w:val="21"/>
                <w:szCs w:val="21"/>
                <w:color w:val="auto"/>
              </w:rPr>
            </w:pPr>
          </w:p>
        </w:tc>
        <w:tc>
          <w:tcPr>
            <w:tcW w:w="580" w:type="dxa"/>
            <w:vAlign w:val="bottom"/>
            <w:gridSpan w:val="3"/>
          </w:tcPr>
          <w:p>
            <w:pPr>
              <w:spacing w:after="0"/>
              <w:rPr>
                <w:sz w:val="21"/>
                <w:szCs w:val="21"/>
                <w:color w:val="auto"/>
              </w:rPr>
            </w:pPr>
          </w:p>
        </w:tc>
        <w:tc>
          <w:tcPr>
            <w:tcW w:w="720" w:type="dxa"/>
            <w:vAlign w:val="bottom"/>
            <w:gridSpan w:val="2"/>
          </w:tcPr>
          <w:p>
            <w:pPr>
              <w:spacing w:after="0"/>
              <w:rPr>
                <w:rFonts w:ascii="Times New Roman" w:cs="Times New Roman" w:eastAsia="Times New Roman" w:hAnsi="Times New Roman"/>
                <w:sz w:val="18"/>
                <w:szCs w:val="18"/>
                <w:color w:val="0000EE"/>
                <w:w w:val="95"/>
              </w:rPr>
            </w:pPr>
            <w:hyperlink w:anchor="page24">
              <w:r>
                <w:rPr>
                  <w:rFonts w:ascii="Times New Roman" w:cs="Times New Roman" w:eastAsia="Times New Roman" w:hAnsi="Times New Roman"/>
                  <w:sz w:val="18"/>
                  <w:szCs w:val="18"/>
                  <w:color w:val="0000EE"/>
                  <w:w w:val="95"/>
                </w:rPr>
                <w:t>Properties</w:t>
              </w:r>
            </w:hyperlink>
          </w:p>
        </w:tc>
        <w:tc>
          <w:tcPr>
            <w:tcW w:w="1300" w:type="dxa"/>
            <w:vAlign w:val="bottom"/>
            <w:gridSpan w:val="5"/>
          </w:tcPr>
          <w:p>
            <w:pPr>
              <w:spacing w:after="0"/>
              <w:rPr>
                <w:sz w:val="21"/>
                <w:szCs w:val="21"/>
                <w:color w:val="auto"/>
              </w:rPr>
            </w:pPr>
          </w:p>
        </w:tc>
        <w:tc>
          <w:tcPr>
            <w:tcW w:w="7520" w:type="dxa"/>
            <w:vAlign w:val="bottom"/>
            <w:gridSpan w:val="11"/>
          </w:tcPr>
          <w:p>
            <w:pPr>
              <w:spacing w:after="0"/>
              <w:rPr>
                <w:sz w:val="21"/>
                <w:szCs w:val="21"/>
                <w:color w:val="auto"/>
              </w:rPr>
            </w:pPr>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24">
              <w:r>
                <w:rPr>
                  <w:rFonts w:ascii="Times New Roman" w:cs="Times New Roman" w:eastAsia="Times New Roman" w:hAnsi="Times New Roman"/>
                  <w:sz w:val="18"/>
                  <w:szCs w:val="18"/>
                  <w:color w:val="0000EE"/>
                  <w:w w:val="90"/>
                </w:rPr>
                <w:t>Item 3.</w:t>
              </w:r>
            </w:hyperlink>
          </w:p>
        </w:tc>
        <w:tc>
          <w:tcPr>
            <w:tcW w:w="660" w:type="dxa"/>
            <w:vAlign w:val="bottom"/>
            <w:gridSpan w:val="4"/>
          </w:tcPr>
          <w:p>
            <w:pPr>
              <w:spacing w:after="0"/>
              <w:rPr>
                <w:sz w:val="21"/>
                <w:szCs w:val="21"/>
                <w:color w:val="auto"/>
              </w:rPr>
            </w:pPr>
          </w:p>
        </w:tc>
        <w:tc>
          <w:tcPr>
            <w:tcW w:w="1320" w:type="dxa"/>
            <w:vAlign w:val="bottom"/>
            <w:gridSpan w:val="4"/>
          </w:tcPr>
          <w:p>
            <w:pPr>
              <w:spacing w:after="0"/>
              <w:rPr>
                <w:rFonts w:ascii="Times New Roman" w:cs="Times New Roman" w:eastAsia="Times New Roman" w:hAnsi="Times New Roman"/>
                <w:sz w:val="18"/>
                <w:szCs w:val="18"/>
                <w:color w:val="0000EE"/>
                <w:w w:val="95"/>
              </w:rPr>
            </w:pPr>
            <w:hyperlink w:anchor="page24">
              <w:r>
                <w:rPr>
                  <w:rFonts w:ascii="Times New Roman" w:cs="Times New Roman" w:eastAsia="Times New Roman" w:hAnsi="Times New Roman"/>
                  <w:sz w:val="18"/>
                  <w:szCs w:val="18"/>
                  <w:color w:val="0000EE"/>
                  <w:w w:val="95"/>
                </w:rPr>
                <w:t>Legal Proceedings</w:t>
              </w:r>
            </w:hyperlink>
          </w:p>
        </w:tc>
        <w:tc>
          <w:tcPr>
            <w:tcW w:w="8220" w:type="dxa"/>
            <w:vAlign w:val="bottom"/>
            <w:gridSpan w:val="14"/>
          </w:tcPr>
          <w:p>
            <w:pPr>
              <w:spacing w:after="0"/>
              <w:rPr>
                <w:sz w:val="21"/>
                <w:szCs w:val="21"/>
                <w:color w:val="auto"/>
              </w:rPr>
            </w:pPr>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25">
              <w:r>
                <w:rPr>
                  <w:rFonts w:ascii="Times New Roman" w:cs="Times New Roman" w:eastAsia="Times New Roman" w:hAnsi="Times New Roman"/>
                  <w:sz w:val="18"/>
                  <w:szCs w:val="18"/>
                  <w:color w:val="0000EE"/>
                  <w:w w:val="90"/>
                </w:rPr>
                <w:t>Item 4.</w:t>
              </w:r>
            </w:hyperlink>
          </w:p>
        </w:tc>
        <w:tc>
          <w:tcPr>
            <w:tcW w:w="660" w:type="dxa"/>
            <w:vAlign w:val="bottom"/>
            <w:gridSpan w:val="4"/>
          </w:tcPr>
          <w:p>
            <w:pPr>
              <w:spacing w:after="0"/>
              <w:rPr>
                <w:sz w:val="21"/>
                <w:szCs w:val="21"/>
                <w:color w:val="auto"/>
              </w:rPr>
            </w:pPr>
          </w:p>
        </w:tc>
        <w:tc>
          <w:tcPr>
            <w:tcW w:w="9540" w:type="dxa"/>
            <w:vAlign w:val="bottom"/>
            <w:gridSpan w:val="18"/>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Mine Safety Disclosures</w:t>
              </w:r>
            </w:hyperlink>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62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38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620" w:type="dxa"/>
            <w:vAlign w:val="bottom"/>
            <w:gridSpan w:val="3"/>
          </w:tcPr>
          <w:p>
            <w:pPr>
              <w:spacing w:after="0"/>
              <w:rPr>
                <w:rFonts w:ascii="Times New Roman" w:cs="Times New Roman" w:eastAsia="Times New Roman" w:hAnsi="Times New Roman"/>
                <w:sz w:val="18"/>
                <w:szCs w:val="18"/>
                <w:b w:val="1"/>
                <w:bCs w:val="1"/>
                <w:color w:val="0000EE"/>
                <w:w w:val="85"/>
              </w:rPr>
            </w:pPr>
            <w:hyperlink w:anchor="page25">
              <w:r>
                <w:rPr>
                  <w:rFonts w:ascii="Times New Roman" w:cs="Times New Roman" w:eastAsia="Times New Roman" w:hAnsi="Times New Roman"/>
                  <w:sz w:val="18"/>
                  <w:szCs w:val="18"/>
                  <w:b w:val="1"/>
                  <w:bCs w:val="1"/>
                  <w:color w:val="0000EE"/>
                  <w:w w:val="85"/>
                </w:rPr>
                <w:t>PART II</w:t>
              </w:r>
            </w:hyperlink>
          </w:p>
        </w:tc>
        <w:tc>
          <w:tcPr>
            <w:tcW w:w="54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22</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25">
              <w:r>
                <w:rPr>
                  <w:rFonts w:ascii="Times New Roman" w:cs="Times New Roman" w:eastAsia="Times New Roman" w:hAnsi="Times New Roman"/>
                  <w:sz w:val="18"/>
                  <w:szCs w:val="18"/>
                  <w:color w:val="0000EE"/>
                  <w:w w:val="90"/>
                </w:rPr>
                <w:t>Item 5.</w:t>
              </w:r>
            </w:hyperlink>
          </w:p>
        </w:tc>
        <w:tc>
          <w:tcPr>
            <w:tcW w:w="120" w:type="dxa"/>
            <w:vAlign w:val="bottom"/>
            <w:gridSpan w:val="2"/>
          </w:tcPr>
          <w:p>
            <w:pPr>
              <w:spacing w:after="0"/>
              <w:rPr>
                <w:sz w:val="21"/>
                <w:szCs w:val="21"/>
                <w:color w:val="auto"/>
              </w:rPr>
            </w:pPr>
          </w:p>
        </w:tc>
        <w:tc>
          <w:tcPr>
            <w:tcW w:w="540" w:type="dxa"/>
            <w:vAlign w:val="bottom"/>
            <w:gridSpan w:val="2"/>
          </w:tcPr>
          <w:p>
            <w:pPr>
              <w:spacing w:after="0"/>
              <w:rPr>
                <w:sz w:val="21"/>
                <w:szCs w:val="21"/>
                <w:color w:val="auto"/>
              </w:rPr>
            </w:pPr>
          </w:p>
        </w:tc>
        <w:tc>
          <w:tcPr>
            <w:tcW w:w="4120" w:type="dxa"/>
            <w:vAlign w:val="bottom"/>
            <w:gridSpan w:val="9"/>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Market for Registrant's Equity and Related Share Matters</w:t>
              </w:r>
            </w:hyperlink>
          </w:p>
        </w:tc>
        <w:tc>
          <w:tcPr>
            <w:tcW w:w="5420" w:type="dxa"/>
            <w:vAlign w:val="bottom"/>
            <w:gridSpan w:val="9"/>
          </w:tcPr>
          <w:p>
            <w:pPr>
              <w:spacing w:after="0"/>
              <w:rPr>
                <w:sz w:val="21"/>
                <w:szCs w:val="21"/>
                <w:color w:val="auto"/>
              </w:rPr>
            </w:pPr>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26">
              <w:r>
                <w:rPr>
                  <w:rFonts w:ascii="Times New Roman" w:cs="Times New Roman" w:eastAsia="Times New Roman" w:hAnsi="Times New Roman"/>
                  <w:sz w:val="18"/>
                  <w:szCs w:val="18"/>
                  <w:color w:val="0000EE"/>
                  <w:w w:val="90"/>
                </w:rPr>
                <w:t>Item 6.</w:t>
              </w:r>
            </w:hyperlink>
          </w:p>
        </w:tc>
        <w:tc>
          <w:tcPr>
            <w:tcW w:w="660" w:type="dxa"/>
            <w:vAlign w:val="bottom"/>
            <w:gridSpan w:val="4"/>
          </w:tcPr>
          <w:p>
            <w:pPr>
              <w:spacing w:after="0"/>
              <w:rPr>
                <w:sz w:val="21"/>
                <w:szCs w:val="21"/>
                <w:color w:val="auto"/>
              </w:rPr>
            </w:pPr>
          </w:p>
        </w:tc>
        <w:tc>
          <w:tcPr>
            <w:tcW w:w="1700" w:type="dxa"/>
            <w:vAlign w:val="bottom"/>
            <w:gridSpan w:val="5"/>
          </w:tcPr>
          <w:p>
            <w:pPr>
              <w:spacing w:after="0"/>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Selected Financial Data</w:t>
              </w:r>
            </w:hyperlink>
          </w:p>
        </w:tc>
        <w:tc>
          <w:tcPr>
            <w:tcW w:w="2420" w:type="dxa"/>
            <w:vAlign w:val="bottom"/>
            <w:gridSpan w:val="4"/>
          </w:tcPr>
          <w:p>
            <w:pPr>
              <w:spacing w:after="0"/>
              <w:rPr>
                <w:sz w:val="21"/>
                <w:szCs w:val="21"/>
                <w:color w:val="auto"/>
              </w:rPr>
            </w:pPr>
          </w:p>
        </w:tc>
        <w:tc>
          <w:tcPr>
            <w:tcW w:w="5420" w:type="dxa"/>
            <w:vAlign w:val="bottom"/>
            <w:gridSpan w:val="9"/>
          </w:tcPr>
          <w:p>
            <w:pPr>
              <w:spacing w:after="0"/>
              <w:rPr>
                <w:sz w:val="21"/>
                <w:szCs w:val="21"/>
                <w:color w:val="auto"/>
              </w:rPr>
            </w:pPr>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28">
              <w:r>
                <w:rPr>
                  <w:rFonts w:ascii="Times New Roman" w:cs="Times New Roman" w:eastAsia="Times New Roman" w:hAnsi="Times New Roman"/>
                  <w:sz w:val="18"/>
                  <w:szCs w:val="18"/>
                  <w:color w:val="0000EE"/>
                  <w:w w:val="90"/>
                </w:rPr>
                <w:t>Item 7.</w:t>
              </w:r>
            </w:hyperlink>
          </w:p>
        </w:tc>
        <w:tc>
          <w:tcPr>
            <w:tcW w:w="660" w:type="dxa"/>
            <w:vAlign w:val="bottom"/>
            <w:gridSpan w:val="4"/>
          </w:tcPr>
          <w:p>
            <w:pPr>
              <w:spacing w:after="0"/>
              <w:rPr>
                <w:sz w:val="21"/>
                <w:szCs w:val="21"/>
                <w:color w:val="auto"/>
              </w:rPr>
            </w:pPr>
          </w:p>
        </w:tc>
        <w:tc>
          <w:tcPr>
            <w:tcW w:w="9540" w:type="dxa"/>
            <w:vAlign w:val="bottom"/>
            <w:gridSpan w:val="18"/>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5"/>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7a.</w:t>
              </w:r>
            </w:hyperlink>
          </w:p>
        </w:tc>
        <w:tc>
          <w:tcPr>
            <w:tcW w:w="9540" w:type="dxa"/>
            <w:vAlign w:val="bottom"/>
            <w:gridSpan w:val="18"/>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Quantitative and Qualitative Disclosures about Market Risk</w:t>
              </w:r>
            </w:hyperlink>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43</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46">
              <w:r>
                <w:rPr>
                  <w:rFonts w:ascii="Times New Roman" w:cs="Times New Roman" w:eastAsia="Times New Roman" w:hAnsi="Times New Roman"/>
                  <w:sz w:val="18"/>
                  <w:szCs w:val="18"/>
                  <w:color w:val="0000EE"/>
                  <w:w w:val="90"/>
                </w:rPr>
                <w:t>Item 8.</w:t>
              </w:r>
            </w:hyperlink>
          </w:p>
        </w:tc>
        <w:tc>
          <w:tcPr>
            <w:tcW w:w="80" w:type="dxa"/>
            <w:vAlign w:val="bottom"/>
          </w:tcPr>
          <w:p>
            <w:pPr>
              <w:spacing w:after="0"/>
              <w:rPr>
                <w:sz w:val="21"/>
                <w:szCs w:val="21"/>
                <w:color w:val="auto"/>
              </w:rPr>
            </w:pPr>
          </w:p>
        </w:tc>
        <w:tc>
          <w:tcPr>
            <w:tcW w:w="580" w:type="dxa"/>
            <w:vAlign w:val="bottom"/>
            <w:gridSpan w:val="3"/>
          </w:tcPr>
          <w:p>
            <w:pPr>
              <w:spacing w:after="0"/>
              <w:rPr>
                <w:sz w:val="21"/>
                <w:szCs w:val="21"/>
                <w:color w:val="auto"/>
              </w:rPr>
            </w:pPr>
          </w:p>
        </w:tc>
        <w:tc>
          <w:tcPr>
            <w:tcW w:w="3220" w:type="dxa"/>
            <w:vAlign w:val="bottom"/>
            <w:gridSpan w:val="8"/>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Financial Statements and Supplemental Data</w:t>
              </w:r>
            </w:hyperlink>
          </w:p>
        </w:tc>
        <w:tc>
          <w:tcPr>
            <w:tcW w:w="1080" w:type="dxa"/>
            <w:vAlign w:val="bottom"/>
            <w:gridSpan w:val="2"/>
          </w:tcPr>
          <w:p>
            <w:pPr>
              <w:spacing w:after="0"/>
              <w:rPr>
                <w:sz w:val="21"/>
                <w:szCs w:val="21"/>
                <w:color w:val="auto"/>
              </w:rPr>
            </w:pPr>
          </w:p>
        </w:tc>
        <w:tc>
          <w:tcPr>
            <w:tcW w:w="5240" w:type="dxa"/>
            <w:vAlign w:val="bottom"/>
            <w:gridSpan w:val="8"/>
          </w:tcPr>
          <w:p>
            <w:pPr>
              <w:spacing w:after="0"/>
              <w:rPr>
                <w:sz w:val="21"/>
                <w:szCs w:val="21"/>
                <w:color w:val="auto"/>
              </w:rPr>
            </w:pPr>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Borders>
              <w:bottom w:val="single" w:sz="8" w:color="0000EE"/>
            </w:tcBorders>
          </w:tcPr>
          <w:p>
            <w:pPr>
              <w:spacing w:after="0"/>
              <w:rPr>
                <w:rFonts w:ascii="Times New Roman" w:cs="Times New Roman" w:eastAsia="Times New Roman" w:hAnsi="Times New Roman"/>
                <w:sz w:val="18"/>
                <w:szCs w:val="18"/>
                <w:color w:val="0000EE"/>
                <w:w w:val="90"/>
              </w:rPr>
            </w:pPr>
            <w:hyperlink w:anchor="page112">
              <w:r>
                <w:rPr>
                  <w:rFonts w:ascii="Times New Roman" w:cs="Times New Roman" w:eastAsia="Times New Roman" w:hAnsi="Times New Roman"/>
                  <w:sz w:val="18"/>
                  <w:szCs w:val="18"/>
                  <w:color w:val="0000EE"/>
                  <w:w w:val="90"/>
                </w:rPr>
                <w:t>Item 9.</w:t>
              </w:r>
            </w:hyperlink>
          </w:p>
        </w:tc>
        <w:tc>
          <w:tcPr>
            <w:tcW w:w="660" w:type="dxa"/>
            <w:vAlign w:val="bottom"/>
            <w:gridSpan w:val="4"/>
          </w:tcPr>
          <w:p>
            <w:pPr>
              <w:spacing w:after="0"/>
              <w:rPr>
                <w:sz w:val="21"/>
                <w:szCs w:val="21"/>
                <w:color w:val="auto"/>
              </w:rPr>
            </w:pPr>
          </w:p>
        </w:tc>
        <w:tc>
          <w:tcPr>
            <w:tcW w:w="79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112">
              <w:r>
                <w:rPr>
                  <w:rFonts w:ascii="Times New Roman" w:cs="Times New Roman" w:eastAsia="Times New Roman" w:hAnsi="Times New Roman"/>
                  <w:sz w:val="18"/>
                  <w:szCs w:val="18"/>
                  <w:color w:val="0000EE"/>
                  <w:w w:val="99"/>
                </w:rPr>
                <w:t>Changes and Disagreements with Registered Public Accounting Firm on Accounting and Financial Disclosure</w:t>
              </w:r>
            </w:hyperlink>
          </w:p>
        </w:tc>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88"/>
              </w:rPr>
            </w:pPr>
            <w:hyperlink w:anchor="page112">
              <w:r>
                <w:rPr>
                  <w:rFonts w:ascii="Times New Roman" w:cs="Times New Roman" w:eastAsia="Times New Roman" w:hAnsi="Times New Roman"/>
                  <w:sz w:val="18"/>
                  <w:szCs w:val="18"/>
                  <w:color w:val="0000EE"/>
                  <w:w w:val="88"/>
                </w:rPr>
                <w:t>109</w:t>
              </w:r>
            </w:hyperlink>
          </w:p>
        </w:tc>
        <w:tc>
          <w:tcPr>
            <w:tcW w:w="20" w:type="dxa"/>
            <w:vAlign w:val="bottom"/>
          </w:tcPr>
          <w:p>
            <w:pPr>
              <w:spacing w:after="0"/>
              <w:rPr>
                <w:sz w:val="21"/>
                <w:szCs w:val="21"/>
                <w:color w:val="auto"/>
              </w:rPr>
            </w:pPr>
          </w:p>
        </w:tc>
      </w:tr>
      <w:tr>
        <w:trPr>
          <w:trHeight w:val="250"/>
        </w:trPr>
        <w:tc>
          <w:tcPr>
            <w:tcW w:w="1160" w:type="dxa"/>
            <w:vAlign w:val="bottom"/>
            <w:gridSpan w:val="5"/>
          </w:tcPr>
          <w:p>
            <w:pPr>
              <w:spacing w:after="0"/>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Item 9a.</w:t>
              </w:r>
            </w:hyperlink>
          </w:p>
        </w:tc>
        <w:tc>
          <w:tcPr>
            <w:tcW w:w="9540" w:type="dxa"/>
            <w:vAlign w:val="bottom"/>
            <w:gridSpan w:val="18"/>
          </w:tcPr>
          <w:p>
            <w:pPr>
              <w:spacing w:after="0"/>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Controls and Procedures</w:t>
              </w:r>
            </w:hyperlink>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109</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113">
              <w:r>
                <w:rPr>
                  <w:rFonts w:ascii="Times New Roman" w:cs="Times New Roman" w:eastAsia="Times New Roman" w:hAnsi="Times New Roman"/>
                  <w:sz w:val="18"/>
                  <w:szCs w:val="18"/>
                  <w:color w:val="0000EE"/>
                  <w:w w:val="96"/>
                </w:rPr>
                <w:t>Item 9b.</w:t>
              </w:r>
            </w:hyperlink>
          </w:p>
        </w:tc>
        <w:tc>
          <w:tcPr>
            <w:tcW w:w="540" w:type="dxa"/>
            <w:vAlign w:val="bottom"/>
            <w:gridSpan w:val="2"/>
          </w:tcPr>
          <w:p>
            <w:pPr>
              <w:spacing w:after="0"/>
              <w:rPr>
                <w:sz w:val="21"/>
                <w:szCs w:val="21"/>
                <w:color w:val="auto"/>
              </w:rPr>
            </w:pPr>
          </w:p>
        </w:tc>
        <w:tc>
          <w:tcPr>
            <w:tcW w:w="13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113">
              <w:r>
                <w:rPr>
                  <w:rFonts w:ascii="Times New Roman" w:cs="Times New Roman" w:eastAsia="Times New Roman" w:hAnsi="Times New Roman"/>
                  <w:sz w:val="18"/>
                  <w:szCs w:val="18"/>
                  <w:color w:val="0000EE"/>
                  <w:w w:val="97"/>
                </w:rPr>
                <w:t>Other Information</w:t>
              </w:r>
            </w:hyperlink>
          </w:p>
        </w:tc>
        <w:tc>
          <w:tcPr>
            <w:tcW w:w="8220" w:type="dxa"/>
            <w:vAlign w:val="bottom"/>
            <w:gridSpan w:val="14"/>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88"/>
              </w:rPr>
            </w:pPr>
            <w:hyperlink w:anchor="page113">
              <w:r>
                <w:rPr>
                  <w:rFonts w:ascii="Times New Roman" w:cs="Times New Roman" w:eastAsia="Times New Roman" w:hAnsi="Times New Roman"/>
                  <w:sz w:val="18"/>
                  <w:szCs w:val="18"/>
                  <w:color w:val="0000EE"/>
                  <w:w w:val="88"/>
                </w:rPr>
                <w:t>109</w:t>
              </w:r>
            </w:hyperlink>
          </w:p>
        </w:tc>
        <w:tc>
          <w:tcPr>
            <w:tcW w:w="20" w:type="dxa"/>
            <w:vAlign w:val="bottom"/>
          </w:tcPr>
          <w:p>
            <w:pPr>
              <w:spacing w:after="0"/>
              <w:rPr>
                <w:sz w:val="21"/>
                <w:szCs w:val="21"/>
                <w:color w:val="auto"/>
              </w:rPr>
            </w:pPr>
          </w:p>
        </w:tc>
      </w:tr>
      <w:tr>
        <w:trPr>
          <w:trHeight w:val="250"/>
        </w:trPr>
        <w:tc>
          <w:tcPr>
            <w:tcW w:w="720" w:type="dxa"/>
            <w:vAlign w:val="bottom"/>
            <w:gridSpan w:val="4"/>
          </w:tcPr>
          <w:p>
            <w:pPr>
              <w:spacing w:after="0"/>
              <w:rPr>
                <w:rFonts w:ascii="Times New Roman" w:cs="Times New Roman" w:eastAsia="Times New Roman" w:hAnsi="Times New Roman"/>
                <w:sz w:val="18"/>
                <w:szCs w:val="18"/>
                <w:b w:val="1"/>
                <w:bCs w:val="1"/>
                <w:color w:val="0000EE"/>
                <w:w w:val="91"/>
              </w:rPr>
            </w:pPr>
            <w:hyperlink w:anchor="page113">
              <w:r>
                <w:rPr>
                  <w:rFonts w:ascii="Times New Roman" w:cs="Times New Roman" w:eastAsia="Times New Roman" w:hAnsi="Times New Roman"/>
                  <w:sz w:val="18"/>
                  <w:szCs w:val="18"/>
                  <w:b w:val="1"/>
                  <w:bCs w:val="1"/>
                  <w:color w:val="0000EE"/>
                  <w:w w:val="91"/>
                </w:rPr>
                <w:t>PART III</w:t>
              </w:r>
            </w:hyperlink>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110</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114">
              <w:r>
                <w:rPr>
                  <w:rFonts w:ascii="Times New Roman" w:cs="Times New Roman" w:eastAsia="Times New Roman" w:hAnsi="Times New Roman"/>
                  <w:sz w:val="18"/>
                  <w:szCs w:val="18"/>
                  <w:color w:val="0000EE"/>
                  <w:w w:val="89"/>
                </w:rPr>
                <w:t>Item 10.</w:t>
              </w:r>
            </w:hyperlink>
          </w:p>
        </w:tc>
        <w:tc>
          <w:tcPr>
            <w:tcW w:w="140" w:type="dxa"/>
            <w:vAlign w:val="bottom"/>
            <w:gridSpan w:val="2"/>
          </w:tcPr>
          <w:p>
            <w:pPr>
              <w:spacing w:after="0"/>
              <w:rPr>
                <w:sz w:val="21"/>
                <w:szCs w:val="21"/>
                <w:color w:val="auto"/>
              </w:rPr>
            </w:pPr>
          </w:p>
        </w:tc>
        <w:tc>
          <w:tcPr>
            <w:tcW w:w="440" w:type="dxa"/>
            <w:vAlign w:val="bottom"/>
          </w:tcPr>
          <w:p>
            <w:pPr>
              <w:spacing w:after="0"/>
              <w:rPr>
                <w:sz w:val="21"/>
                <w:szCs w:val="21"/>
                <w:color w:val="auto"/>
              </w:rPr>
            </w:pPr>
          </w:p>
        </w:tc>
        <w:tc>
          <w:tcPr>
            <w:tcW w:w="9540" w:type="dxa"/>
            <w:vAlign w:val="bottom"/>
            <w:gridSpan w:val="18"/>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Directors, Executive Officers and Corporate Governance of the Registrant</w:t>
              </w:r>
            </w:hyperlink>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110</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114">
              <w:r>
                <w:rPr>
                  <w:rFonts w:ascii="Times New Roman" w:cs="Times New Roman" w:eastAsia="Times New Roman" w:hAnsi="Times New Roman"/>
                  <w:sz w:val="18"/>
                  <w:szCs w:val="18"/>
                  <w:color w:val="0000EE"/>
                  <w:w w:val="89"/>
                </w:rPr>
                <w:t>Item 11.</w:t>
              </w:r>
            </w:hyperlink>
          </w:p>
        </w:tc>
        <w:tc>
          <w:tcPr>
            <w:tcW w:w="580" w:type="dxa"/>
            <w:vAlign w:val="bottom"/>
            <w:gridSpan w:val="3"/>
          </w:tcPr>
          <w:p>
            <w:pPr>
              <w:spacing w:after="0"/>
              <w:rPr>
                <w:sz w:val="21"/>
                <w:szCs w:val="21"/>
                <w:color w:val="auto"/>
              </w:rPr>
            </w:pPr>
          </w:p>
        </w:tc>
        <w:tc>
          <w:tcPr>
            <w:tcW w:w="5320" w:type="dxa"/>
            <w:vAlign w:val="bottom"/>
            <w:gridSpan w:val="14"/>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Executive Compensation</w:t>
              </w:r>
            </w:hyperlink>
          </w:p>
        </w:tc>
        <w:tc>
          <w:tcPr>
            <w:tcW w:w="4220" w:type="dxa"/>
            <w:vAlign w:val="bottom"/>
            <w:gridSpan w:val="4"/>
          </w:tcPr>
          <w:p>
            <w:pPr>
              <w:spacing w:after="0"/>
              <w:rPr>
                <w:sz w:val="21"/>
                <w:szCs w:val="21"/>
                <w:color w:val="auto"/>
              </w:rPr>
            </w:pPr>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110</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gridSpan w:val="3"/>
          </w:tcPr>
          <w:p>
            <w:pPr>
              <w:spacing w:after="0"/>
              <w:rPr>
                <w:rFonts w:ascii="Times New Roman" w:cs="Times New Roman" w:eastAsia="Times New Roman" w:hAnsi="Times New Roman"/>
                <w:sz w:val="18"/>
                <w:szCs w:val="18"/>
                <w:color w:val="0000EE"/>
                <w:w w:val="96"/>
              </w:rPr>
            </w:pPr>
            <w:hyperlink w:anchor="page114">
              <w:r>
                <w:rPr>
                  <w:rFonts w:ascii="Times New Roman" w:cs="Times New Roman" w:eastAsia="Times New Roman" w:hAnsi="Times New Roman"/>
                  <w:sz w:val="18"/>
                  <w:szCs w:val="18"/>
                  <w:color w:val="0000EE"/>
                  <w:w w:val="96"/>
                </w:rPr>
                <w:t>Item 12.</w:t>
              </w:r>
            </w:hyperlink>
          </w:p>
        </w:tc>
        <w:tc>
          <w:tcPr>
            <w:tcW w:w="540" w:type="dxa"/>
            <w:vAlign w:val="bottom"/>
            <w:gridSpan w:val="2"/>
          </w:tcPr>
          <w:p>
            <w:pPr>
              <w:spacing w:after="0"/>
              <w:rPr>
                <w:sz w:val="21"/>
                <w:szCs w:val="21"/>
                <w:color w:val="auto"/>
              </w:rPr>
            </w:pPr>
          </w:p>
        </w:tc>
        <w:tc>
          <w:tcPr>
            <w:tcW w:w="7280" w:type="dxa"/>
            <w:vAlign w:val="bottom"/>
            <w:gridSpan w:val="16"/>
          </w:tcPr>
          <w:p>
            <w:pPr>
              <w:spacing w:after="0"/>
              <w:rPr>
                <w:rFonts w:ascii="Times New Roman" w:cs="Times New Roman" w:eastAsia="Times New Roman" w:hAnsi="Times New Roman"/>
                <w:sz w:val="18"/>
                <w:szCs w:val="18"/>
                <w:color w:val="0000EE"/>
                <w:w w:val="99"/>
              </w:rPr>
            </w:pPr>
            <w:hyperlink w:anchor="page114">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2260" w:type="dxa"/>
            <w:vAlign w:val="bottom"/>
            <w:gridSpan w:val="2"/>
          </w:tcPr>
          <w:p>
            <w:pPr>
              <w:spacing w:after="0"/>
              <w:rPr>
                <w:sz w:val="21"/>
                <w:szCs w:val="21"/>
                <w:color w:val="auto"/>
              </w:rPr>
            </w:pPr>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110</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4560" w:type="dxa"/>
            <w:vAlign w:val="bottom"/>
            <w:gridSpan w:val="11"/>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gridSpan w:val="3"/>
          </w:tcPr>
          <w:p>
            <w:pPr>
              <w:spacing w:after="0"/>
              <w:rPr>
                <w:rFonts w:ascii="Times New Roman" w:cs="Times New Roman" w:eastAsia="Times New Roman" w:hAnsi="Times New Roman"/>
                <w:sz w:val="18"/>
                <w:szCs w:val="18"/>
                <w:color w:val="0000EE"/>
                <w:w w:val="96"/>
              </w:rPr>
            </w:pPr>
            <w:hyperlink w:anchor="page114">
              <w:r>
                <w:rPr>
                  <w:rFonts w:ascii="Times New Roman" w:cs="Times New Roman" w:eastAsia="Times New Roman" w:hAnsi="Times New Roman"/>
                  <w:sz w:val="18"/>
                  <w:szCs w:val="18"/>
                  <w:color w:val="0000EE"/>
                  <w:w w:val="96"/>
                </w:rPr>
                <w:t>Item 13.</w:t>
              </w:r>
            </w:hyperlink>
          </w:p>
        </w:tc>
        <w:tc>
          <w:tcPr>
            <w:tcW w:w="540" w:type="dxa"/>
            <w:vAlign w:val="bottom"/>
            <w:gridSpan w:val="2"/>
          </w:tcPr>
          <w:p>
            <w:pPr>
              <w:spacing w:after="0"/>
              <w:rPr>
                <w:sz w:val="21"/>
                <w:szCs w:val="21"/>
                <w:color w:val="auto"/>
              </w:rPr>
            </w:pPr>
          </w:p>
        </w:tc>
        <w:tc>
          <w:tcPr>
            <w:tcW w:w="7280" w:type="dxa"/>
            <w:vAlign w:val="bottom"/>
            <w:gridSpan w:val="16"/>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Certain Relationships, Related Transactions and Director Independence</w:t>
              </w:r>
            </w:hyperlink>
          </w:p>
        </w:tc>
        <w:tc>
          <w:tcPr>
            <w:tcW w:w="2260" w:type="dxa"/>
            <w:vAlign w:val="bottom"/>
            <w:gridSpan w:val="2"/>
          </w:tcPr>
          <w:p>
            <w:pPr>
              <w:spacing w:after="0"/>
              <w:rPr>
                <w:sz w:val="21"/>
                <w:szCs w:val="21"/>
                <w:color w:val="auto"/>
              </w:rPr>
            </w:pPr>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110</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4560" w:type="dxa"/>
            <w:vAlign w:val="bottom"/>
            <w:gridSpan w:val="11"/>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gridSpan w:val="3"/>
          </w:tcPr>
          <w:p>
            <w:pPr>
              <w:spacing w:after="0"/>
              <w:rPr>
                <w:rFonts w:ascii="Times New Roman" w:cs="Times New Roman" w:eastAsia="Times New Roman" w:hAnsi="Times New Roman"/>
                <w:sz w:val="18"/>
                <w:szCs w:val="18"/>
                <w:color w:val="0000EE"/>
                <w:w w:val="96"/>
              </w:rPr>
            </w:pPr>
            <w:hyperlink w:anchor="page114">
              <w:r>
                <w:rPr>
                  <w:rFonts w:ascii="Times New Roman" w:cs="Times New Roman" w:eastAsia="Times New Roman" w:hAnsi="Times New Roman"/>
                  <w:sz w:val="18"/>
                  <w:szCs w:val="18"/>
                  <w:color w:val="0000EE"/>
                  <w:w w:val="96"/>
                </w:rPr>
                <w:t>Item 14.</w:t>
              </w:r>
            </w:hyperlink>
          </w:p>
        </w:tc>
        <w:tc>
          <w:tcPr>
            <w:tcW w:w="540" w:type="dxa"/>
            <w:vAlign w:val="bottom"/>
            <w:gridSpan w:val="2"/>
          </w:tcPr>
          <w:p>
            <w:pPr>
              <w:spacing w:after="0"/>
              <w:rPr>
                <w:sz w:val="21"/>
                <w:szCs w:val="21"/>
                <w:color w:val="auto"/>
              </w:rPr>
            </w:pPr>
          </w:p>
        </w:tc>
        <w:tc>
          <w:tcPr>
            <w:tcW w:w="5120" w:type="dxa"/>
            <w:vAlign w:val="bottom"/>
            <w:gridSpan w:val="13"/>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Principal Registered Public Accounting Firm Fees and Services</w:t>
              </w:r>
            </w:hyperlink>
          </w:p>
        </w:tc>
        <w:tc>
          <w:tcPr>
            <w:tcW w:w="4420" w:type="dxa"/>
            <w:vAlign w:val="bottom"/>
            <w:gridSpan w:val="5"/>
          </w:tcPr>
          <w:p>
            <w:pPr>
              <w:spacing w:after="0"/>
              <w:rPr>
                <w:sz w:val="21"/>
                <w:szCs w:val="21"/>
                <w:color w:val="auto"/>
              </w:rPr>
            </w:pPr>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110</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20" w:type="dxa"/>
            <w:vAlign w:val="bottom"/>
            <w:gridSpan w:val="4"/>
          </w:tcPr>
          <w:p>
            <w:pPr>
              <w:spacing w:after="0"/>
              <w:rPr>
                <w:rFonts w:ascii="Times New Roman" w:cs="Times New Roman" w:eastAsia="Times New Roman" w:hAnsi="Times New Roman"/>
                <w:sz w:val="18"/>
                <w:szCs w:val="18"/>
                <w:b w:val="1"/>
                <w:bCs w:val="1"/>
                <w:color w:val="0000EE"/>
                <w:w w:val="92"/>
              </w:rPr>
            </w:pPr>
            <w:hyperlink w:anchor="page114">
              <w:r>
                <w:rPr>
                  <w:rFonts w:ascii="Times New Roman" w:cs="Times New Roman" w:eastAsia="Times New Roman" w:hAnsi="Times New Roman"/>
                  <w:sz w:val="18"/>
                  <w:szCs w:val="18"/>
                  <w:b w:val="1"/>
                  <w:bCs w:val="1"/>
                  <w:color w:val="0000EE"/>
                  <w:w w:val="92"/>
                </w:rPr>
                <w:t>PART IV</w:t>
              </w:r>
            </w:hyperlink>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110</w:t>
              </w:r>
            </w:hyperlink>
          </w:p>
        </w:tc>
      </w:tr>
      <w:tr>
        <w:trPr>
          <w:trHeight w:val="20"/>
        </w:trPr>
        <w:tc>
          <w:tcPr>
            <w:tcW w:w="72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780" w:type="dxa"/>
            <w:vAlign w:val="bottom"/>
            <w:gridSpan w:val="12"/>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20" w:type="dxa"/>
            <w:vAlign w:val="bottom"/>
            <w:gridSpan w:val="3"/>
          </w:tcPr>
          <w:p>
            <w:pPr>
              <w:spacing w:after="0"/>
              <w:rPr>
                <w:rFonts w:ascii="Times New Roman" w:cs="Times New Roman" w:eastAsia="Times New Roman" w:hAnsi="Times New Roman"/>
                <w:sz w:val="18"/>
                <w:szCs w:val="18"/>
                <w:color w:val="0000EE"/>
                <w:w w:val="96"/>
              </w:rPr>
            </w:pPr>
            <w:hyperlink w:anchor="page114">
              <w:r>
                <w:rPr>
                  <w:rFonts w:ascii="Times New Roman" w:cs="Times New Roman" w:eastAsia="Times New Roman" w:hAnsi="Times New Roman"/>
                  <w:sz w:val="18"/>
                  <w:szCs w:val="18"/>
                  <w:color w:val="0000EE"/>
                  <w:w w:val="96"/>
                </w:rPr>
                <w:t>Item 15.</w:t>
              </w:r>
            </w:hyperlink>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780" w:type="dxa"/>
            <w:vAlign w:val="bottom"/>
            <w:gridSpan w:val="12"/>
          </w:tcPr>
          <w:p>
            <w:pPr>
              <w:spacing w:after="0"/>
              <w:rPr>
                <w:rFonts w:ascii="Times New Roman" w:cs="Times New Roman" w:eastAsia="Times New Roman" w:hAnsi="Times New Roman"/>
                <w:sz w:val="18"/>
                <w:szCs w:val="18"/>
                <w:color w:val="0000EE"/>
                <w:w w:val="99"/>
              </w:rPr>
            </w:pPr>
            <w:hyperlink w:anchor="page114">
              <w:r>
                <w:rPr>
                  <w:rFonts w:ascii="Times New Roman" w:cs="Times New Roman" w:eastAsia="Times New Roman" w:hAnsi="Times New Roman"/>
                  <w:sz w:val="18"/>
                  <w:szCs w:val="18"/>
                  <w:color w:val="0000EE"/>
                  <w:w w:val="99"/>
                </w:rPr>
                <w:t>Exhibits, Financial Statement Schedules and Reports on Form 8-K</w:t>
              </w:r>
            </w:hyperlink>
          </w:p>
        </w:tc>
        <w:tc>
          <w:tcPr>
            <w:tcW w:w="4760" w:type="dxa"/>
            <w:vAlign w:val="bottom"/>
            <w:gridSpan w:val="6"/>
          </w:tcPr>
          <w:p>
            <w:pPr>
              <w:spacing w:after="0"/>
              <w:rPr>
                <w:sz w:val="21"/>
                <w:szCs w:val="21"/>
                <w:color w:val="auto"/>
              </w:rPr>
            </w:pPr>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110</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4780" w:type="dxa"/>
            <w:vAlign w:val="bottom"/>
            <w:gridSpan w:val="12"/>
            <w:shd w:val="clear" w:color="auto" w:fill="0000EE"/>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5"/>
          </w:tcPr>
          <w:p>
            <w:pPr>
              <w:spacing w:after="0"/>
              <w:rPr>
                <w:rFonts w:ascii="Times New Roman" w:cs="Times New Roman" w:eastAsia="Times New Roman" w:hAnsi="Times New Roman"/>
                <w:sz w:val="18"/>
                <w:szCs w:val="18"/>
                <w:b w:val="1"/>
                <w:bCs w:val="1"/>
                <w:color w:val="0000EE"/>
                <w:w w:val="95"/>
              </w:rPr>
            </w:pPr>
            <w:hyperlink w:anchor="page117">
              <w:r>
                <w:rPr>
                  <w:rFonts w:ascii="Times New Roman" w:cs="Times New Roman" w:eastAsia="Times New Roman" w:hAnsi="Times New Roman"/>
                  <w:sz w:val="18"/>
                  <w:szCs w:val="18"/>
                  <w:b w:val="1"/>
                  <w:bCs w:val="1"/>
                  <w:color w:val="0000EE"/>
                  <w:w w:val="95"/>
                </w:rPr>
                <w:t>SIGNATURES</w:t>
              </w:r>
            </w:hyperlink>
          </w:p>
        </w:tc>
        <w:tc>
          <w:tcPr>
            <w:tcW w:w="9540" w:type="dxa"/>
            <w:vAlign w:val="bottom"/>
            <w:gridSpan w:val="18"/>
          </w:tcPr>
          <w:p>
            <w:pPr>
              <w:spacing w:after="0"/>
              <w:rPr>
                <w:sz w:val="21"/>
                <w:szCs w:val="21"/>
                <w:color w:val="auto"/>
              </w:rPr>
            </w:pPr>
          </w:p>
        </w:tc>
        <w:tc>
          <w:tcPr>
            <w:tcW w:w="6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114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 for Purposes of the "Safe Harbor Provisions" of Section 21E of the Securities Exchange Act of 1934, as amended</w:t>
      </w:r>
    </w:p>
    <w:p>
      <w:pPr>
        <w:spacing w:after="0" w:line="283"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and Section 21E of the Securities Exchange Act of 1934, as amended. Forward-looking statements are included with respect to, among other things, iStar Financial Inc.'s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Important factors that iStar Financial Inc. believes might cause such differences are discussed in the section entitled, "Risk Factors" in Part I, Item 1a of this Form 10-K or otherwise accompany the forward-looking statements contained in this Form 10-K.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10-K.</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iStar Financial Inc., or the “Company,” is a fully-integrated finance and investment company focused on the commercial real estate industry. The Company provides custom-tailored investment capital to high-end private and corporate owners of real estate and invests directly across a range of real estate sectors. The Company, which is taxed as a real estate investment trust, or “REIT,” has invested more than $35 billion over the past two decades. The Company's primary business segments are real estate finance, net lease, operating properties and land.</w:t>
      </w:r>
    </w:p>
    <w:p>
      <w:pPr>
        <w:spacing w:after="0" w:line="1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real estate finance portfolio is comprised of senior and mezzanine real estate loans that may be either fixed-rate or variable-rate and are structured to meet the specific financing needs of borrowers. The Company's portfolio also includes preferred equity investments and senior and subordinated loans to corporations, particularly to entities engaged in real estate or real estate related businesses, and may be either secured or unsecured. The Company's loan portfolio includes whole loans and loan participations.</w:t>
      </w:r>
    </w:p>
    <w:p>
      <w:pPr>
        <w:spacing w:after="0" w:line="1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net lease portfolio is primarily comprised of properties owned by the Company and leased to single creditworthy tenants where the properties are subject to long-term leases. Most of the leases provide for expenses at the facilities to be paid by the tenants on a triple net lease basis. The properties in this portfolio are diversified by property type and geographic location. In addition to net lease properties owned by the Company, the Company partnered with a sovereign wealth fund in 2014 to form a venture to acquire and develop net lease assets.</w:t>
      </w:r>
    </w:p>
    <w:p>
      <w:pPr>
        <w:spacing w:after="0" w:line="14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operating properties portfolio is comprised of commercial and residential properties which represent a diverse pool of assets across a broad range of geographies and property types. The Company generally seeks to reposition or redevelop these assets with the objective of maximizing their value through the infusion of capital and/or intensive asset management efforts. The commercial properties within this portfolio include office, retail, hotel and other property types. The residential properties within this portfolio are generally luxury condominium projects located in major U.S. cities where the Company's strategy is to sell individual condominium units through retail distribution channels.</w:t>
      </w:r>
    </w:p>
    <w:p>
      <w:pPr>
        <w:spacing w:after="0" w:line="14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land portfolio is primarily comprised of land entitled for master planned communities as well as waterfront and urban infill land parcels located throughout the U.S. Master planned communities represent large-scale residential projects that the Company will entitle, plan and/or develop and may sell through retail channels to home builders or in bulk. Waterfront parcels are generally entitled for residential projects and urban infill parcels are generally entitled for mixed-use projects. The Company may develop these properties itself or sell to or partner with commercial real estate developers.</w:t>
      </w:r>
    </w:p>
    <w:p>
      <w:pPr>
        <w:spacing w:after="0" w:line="14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primary sources of revenues are operating lease income, which is the rent and reimbursements that tenants pay to lease its properties, and interest income, which is the interest that borrowers pay on loans. The Company primarily generates income through a “spread” or “margin,” which is the difference between the revenues generated from leases and loans and interest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 and the cost of real estate operations. In addition, the Company generates income from commercial operating property revenue and sales of its remaining residential condominium assets and from its land portfolio.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History and Recent Developments</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began its business in 1993 through the management of private investment funds and became publicly traded in 1998. Since that time, the Company has grown through the origination of new lending and leasing transactions, as well as through corporate acquisitions. During the last several years, the composition of the Company's portfolio changed as loans were repaid and the Company acquired title to assets of defaulting borrowers. The size of the Company's lending portfolio declined and its real estate portfolio increased to include operating properties and land, in addition to net lease assets. As conditions in the economy and financing markets have improved, the Company has been increasing its originations of new lending and net lease investments, repositioning or redeveloping its operating properties and progressing on the entitlement and development of its land assets. We intend to continue these efforts, with the objective of having these assets contribute positively to earnings in the future. The Company's business segments are discussed further in "Industry Segments."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Strategy</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has continued to strengthen its balance sheet through its financing activities. The Company has used proceeds from the issuance of unsecured notes in the capital markets over the past two years to repay secured and unsecured debt, which extended the Company's debt maturity profile, lowered its cost of capital and unencumbered a significant portion of the Company's assets allowing it to become primarily an unsecured borrower. Going forward, the Company will seek to raise capital through a variety of means, which may include unsecured and secured debt financing, debt refinancings, asset sales, issuances of equity, joint ventures and other third party capital arrangements. A more detailed discussion of the Company's current liquidity and capital resources is provided in Item 7—"Management's Discussion and Analysis of Financial Condition and Results of Operations."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Strategy</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2014, the Company committed to new investments totaling $1.27 billion, of which we funded $905.8 million. The fundings included $624.1 million in lending and other investments, $116.3 million to acquire and invest in net lease assets and $165.4 million of capital to reposition or redevelop its operating properties and develop its land assets.</w:t>
      </w:r>
    </w:p>
    <w:p>
      <w:pPr>
        <w:spacing w:after="0" w:line="13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One of the Company's objectives is to continue to increase its level of investing. In making new investments, the Company's strategy is to focus on the following:</w:t>
      </w:r>
    </w:p>
    <w:p>
      <w:pPr>
        <w:spacing w:after="0" w:line="121"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Targeting the origination of custom-tailored mortgage, corporate and lease financings where customers require flexible financial solutions and "one-call" responsiveness post-closing;</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commodity businesses where there is significant direct competition from other providers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direct relationships with borrowers and corporate customers in addition to sourcing transactions through intermediaries;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value beyond simply providing capital by offering borrowers and corporate customers specific lending expertise, flexibility, certainty of closing and continuing relationships beyond the closing of a particular financing transaction;</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advantage of market anomalies in the real estate financing markets when, in the Company's view, credit is mispriced by other providers of capital; and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relative risk adjusted returns across multiple investment markets.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Process</w:t>
      </w:r>
    </w:p>
    <w:p>
      <w:pPr>
        <w:spacing w:after="0" w:line="148"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color w:val="auto"/>
        </w:rPr>
        <w:t>The Company reviews investment opportunities with its investment professionals, as well as representatives from its legal, credit, risk management and capital markets areas. The Company has developed a process for screening potential investments called the Six Point Methodology</w:t>
      </w:r>
      <w:r>
        <w:rPr>
          <w:rFonts w:ascii="Times New Roman" w:cs="Times New Roman" w:eastAsia="Times New Roman" w:hAnsi="Times New Roman"/>
          <w:sz w:val="14"/>
          <w:szCs w:val="14"/>
          <w:color w:val="auto"/>
        </w:rPr>
        <w:t>sm</w:t>
      </w:r>
      <w:r>
        <w:rPr>
          <w:rFonts w:ascii="Times New Roman" w:cs="Times New Roman" w:eastAsia="Times New Roman" w:hAnsi="Times New Roman"/>
          <w:sz w:val="18"/>
          <w:szCs w:val="18"/>
          <w:color w:val="auto"/>
        </w:rPr>
        <w:t>. Through this process, the Company evaluates an investment opportunity prior to beginning its formal due diligence process by: (1) evaluating the source of the opportunity;</w:t>
      </w:r>
    </w:p>
    <w:p>
      <w:pPr>
        <w:spacing w:after="0" w:line="2" w:lineRule="exact"/>
        <w:rPr>
          <w:sz w:val="20"/>
          <w:szCs w:val="20"/>
          <w:color w:val="auto"/>
        </w:rPr>
      </w:pPr>
    </w:p>
    <w:p>
      <w:pPr>
        <w:jc w:val="both"/>
        <w:ind w:firstLine="8"/>
        <w:spacing w:after="0" w:line="255" w:lineRule="auto"/>
        <w:tabs>
          <w:tab w:leader="none" w:pos="2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quality of the collateral, corporate credit or lessee, as well as the market and industry dynamics; (3) evaluating the borrower equity, corporate sponsorship and/or guarantors; (4) determining the optimal legal and financial structure for the transaction given its risk profile; (5) performing an alternative investment test; and (6) evaluating the liquidity of the investment and the ability to match fund the asset. Participation is encouraged from professionals in all disciplines throughout the entire origination process, from the initial consideration of the opportunity, through the Six Point Methodology</w:t>
      </w:r>
      <w:r>
        <w:rPr>
          <w:rFonts w:ascii="Times New Roman" w:cs="Times New Roman" w:eastAsia="Times New Roman" w:hAnsi="Times New Roman"/>
          <w:sz w:val="14"/>
          <w:szCs w:val="14"/>
          <w:color w:val="auto"/>
        </w:rPr>
        <w:t>sm</w:t>
      </w:r>
      <w:r>
        <w:rPr>
          <w:rFonts w:ascii="Times New Roman" w:cs="Times New Roman" w:eastAsia="Times New Roman" w:hAnsi="Times New Roman"/>
          <w:sz w:val="18"/>
          <w:szCs w:val="18"/>
          <w:color w:val="auto"/>
        </w:rPr>
        <w:t xml:space="preserve"> and into the preparation and distribution of an approval memorandum for the Company's internal and/or Board of Directors investment committees and into the documentation and closing process.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Any commitment to make an investment of $25 million or less ($50 million or less in the case of a corporate debt instrument or aggregate debt instruments issued by a single corporate issuer) in any transaction or series of related transactions requires the approval of the Chief Executive Officer and Chief Investment Officer. Any commitment in excess of $25 million but less than or</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equal to $50 million requires the further approval of the Company's internal investment committee, consisting of senior management representatives from all of the Company's key disciplines. Any commitment in excess of $50 million but less than or equal to $75 million requires the further approval of the Investment Committee of the Board of Directors. Any commitment in excess of $75 million, and any strategic investment such as a corporate merger, acquisition or material transaction involving the Company's entry into a new line of business, requires the approval of the Board of Directors.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Strategy</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finances its business with a combination of fixed-rate and variable-rate debt and its asset base consists of fixed-rate and variable-rate investments. Its variable-rate assets and liabilities create a natural hedge against changes in variable interest rates. This means that as interest rates increase, the Company earns more on its variable-rate lending assets and pays more on its variable-rate debt obligations and, conversely, as interest rates decrease, the Company earns less on its variable-rate lending assets and pays less on its variable-rate debt obligations. When the Company's variable-rate debt obligations differ significantly from its variable-rate lending assets, the Company may utilize derivative instruments to limit the impact of changing interest rates on its net income. The Company also uses derivative instruments to limit its exposure to changes in currency rates in respect of certain investments denominated in foreign currencies. The derivative instruments the Company uses are typically in the form of interest rate swaps, interest rate caps and foreign exchange contracts.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Overview</w:t>
      </w:r>
    </w:p>
    <w:p>
      <w:pPr>
        <w:spacing w:after="0" w:line="14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2014, based on current gross carrying values, the Company's total investment portfolio has the following characteristics ($ in millions)(1):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Asset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157480</wp:posOffset>
            </wp:positionV>
            <wp:extent cx="5848985" cy="3447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Property Type</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Property/Collateral Types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20" w:type="dxa"/>
            <w:vAlign w:val="bottom"/>
          </w:tcPr>
          <w:p>
            <w:pPr>
              <w:spacing w:after="0"/>
              <w:rPr>
                <w:sz w:val="13"/>
                <w:szCs w:val="13"/>
                <w:color w:val="auto"/>
              </w:rPr>
            </w:pPr>
          </w:p>
        </w:tc>
        <w:tc>
          <w:tcPr>
            <w:tcW w:w="100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Net Lease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rPr>
                <w:sz w:val="13"/>
                <w:szCs w:val="13"/>
                <w:color w:val="auto"/>
              </w:rPr>
            </w:pPr>
          </w:p>
        </w:tc>
        <w:tc>
          <w:tcPr>
            <w:tcW w:w="9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Land</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3"/>
                <w:szCs w:val="13"/>
                <w:color w:val="auto"/>
              </w:rPr>
            </w:pPr>
          </w:p>
        </w:tc>
        <w:tc>
          <w:tcPr>
            <w:tcW w:w="12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 Industrial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158,544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909,249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323,720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1,391,513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33,081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1,093,484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1,126,565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Mixed Use / Mixed Collateral</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432,801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244,996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677,797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Entertainment / Leisure</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570,205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570,205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Hotel</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262,448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136,080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54,041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452,569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Property Types</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296,115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305,597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121,194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294,099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Condominium</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112,797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156,481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269,278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109,384</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1,411,343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1,682,364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900,432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1,093,484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5,197,007</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Geography</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line="20" w:lineRule="exact"/>
              <w:rPr>
                <w:sz w:val="1"/>
                <w:szCs w:val="1"/>
                <w:color w:val="auto"/>
              </w:rPr>
            </w:pPr>
          </w:p>
        </w:tc>
      </w:tr>
      <w:tr>
        <w:trPr>
          <w:trHeight w:val="360"/>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Net Lease</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Land</w:t>
            </w:r>
          </w:p>
        </w:tc>
        <w:tc>
          <w:tcPr>
            <w:tcW w:w="1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Northeast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643,940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385,782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144,058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193,414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1,367,194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79,736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426,323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95,752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397,347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999,158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319,962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132,824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194,175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790,126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Southeast</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79,449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255,320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287,632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140,318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762,719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129,403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186,305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144,211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694,175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Central</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101,948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92,916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51,744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255,970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186,497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Strategic Investments(2)</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109,384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International(2)</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29,756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31,784</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1,411,343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1,682,364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900,432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1,093,484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5,197,007</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carrying value of our total investment portfolio gross of accumulated depreciation and general loan loss reserves.</w:t>
      </w:r>
    </w:p>
    <w:p>
      <w:pPr>
        <w:spacing w:after="0" w:line="17" w:lineRule="exact"/>
        <w:rPr>
          <w:rFonts w:ascii="Times New Roman" w:cs="Times New Roman" w:eastAsia="Times New Roman" w:hAnsi="Times New Roman"/>
          <w:sz w:val="14"/>
          <w:szCs w:val="14"/>
          <w:color w:val="auto"/>
        </w:rPr>
      </w:pPr>
    </w:p>
    <w:p>
      <w:pPr>
        <w:ind w:left="660" w:hanging="652"/>
        <w:spacing w:after="0" w:line="258"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investments include $15.4 million of international assets. Combined, international and strategic investments include $25.5 million of European assets, including $15.0 million in the United Kingdom and $10.5 million in Germany.</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Segments</w:t>
      </w:r>
    </w:p>
    <w:p>
      <w:pPr>
        <w:spacing w:after="0" w:line="14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four business segments: Real Estate Finance, Net Lease, Operating Properties and Land. The following describes the Company's reportable segments ($ in thousands) as of December 31, 2014: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20" w:type="dxa"/>
            <w:vAlign w:val="bottom"/>
          </w:tcPr>
          <w:p>
            <w:pPr>
              <w:spacing w:after="0"/>
              <w:rPr>
                <w:sz w:val="13"/>
                <w:szCs w:val="13"/>
                <w:color w:val="auto"/>
              </w:rPr>
            </w:pPr>
          </w:p>
        </w:tc>
        <w:tc>
          <w:tcPr>
            <w:tcW w:w="10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Net Lease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13"/>
                <w:szCs w:val="13"/>
                <w:color w:val="auto"/>
              </w:rPr>
            </w:pPr>
          </w:p>
        </w:tc>
        <w:tc>
          <w:tcPr>
            <w:tcW w:w="98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Land</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 /</w:t>
            </w:r>
          </w:p>
        </w:tc>
        <w:tc>
          <w:tcPr>
            <w:tcW w:w="280" w:type="dxa"/>
            <w:vAlign w:val="bottom"/>
          </w:tcPr>
          <w:p>
            <w:pPr>
              <w:spacing w:after="0"/>
              <w:rPr>
                <w:sz w:val="13"/>
                <w:szCs w:val="13"/>
                <w:color w:val="auto"/>
              </w:rPr>
            </w:pPr>
          </w:p>
        </w:tc>
        <w:tc>
          <w:tcPr>
            <w:tcW w:w="98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Other(1)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at cost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1,552,483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724,430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868,650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3,145,563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(468,849)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1,188,160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628,271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860,283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2,676,714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162,782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118,679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285,982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1,192,681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791,053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978,962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2,962,696</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receivable and other lending</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 net</w:t>
            </w:r>
          </w:p>
        </w:tc>
        <w:tc>
          <w:tcPr>
            <w:tcW w:w="20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1,377,843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1,377,843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125,360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106,155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109,384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354,119</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portfolio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1,377,843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1,318,041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804,273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1,085,117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109,384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4,694,658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Corporate/Other includes certain equity investments that are not included in a reportable segment. See Item 8—"Financial Statements and Supplemental Data—Note 6" for further detail on these investments.</w:t>
      </w:r>
    </w:p>
    <w:p>
      <w:pPr>
        <w:spacing w:after="0" w:line="11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segment revenue and profit information as well as prior period information is presented in Item 8—"Financial Statements and Supplemental Data—Note 15" and a discussion of operating results is presented in Item 7—"Management's Discussion and Analysis of Financial Condition and Results of Operations."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Finance</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real estate finance portfolio consists of senior mortgage loans that are secured by commercial real estate assets where the Company is the first lien holder. The portfolio also consists of subordinated mortgage loans that are secured by subordinated interests in commercial and residential real estate assets where the Company is in either a second lien or junior position, and corporate/partnership loans, which represent mezzanine or subordinated loans to entities for which the Company does not have a lien on the underlying asset, but may have a pledge of underlying equity ownership of such assets. In addition, the Company has preferred equity investments and debt securities classified as other lending investments.</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real estate finance portfolio included the following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50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20" w:type="dxa"/>
            <w:vAlign w:val="bottom"/>
            <w:tcBorders>
              <w:bottom w:val="single" w:sz="8" w:color="auto"/>
            </w:tcBorders>
          </w:tcPr>
          <w:p>
            <w:pPr>
              <w:spacing w:after="0"/>
              <w:rPr>
                <w:sz w:val="22"/>
                <w:szCs w:val="22"/>
                <w:color w:val="auto"/>
              </w:rPr>
            </w:pPr>
          </w:p>
        </w:tc>
      </w:tr>
      <w:tr>
        <w:trPr>
          <w:trHeight w:val="264"/>
        </w:trPr>
        <w:tc>
          <w:tcPr>
            <w:tcW w:w="5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2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600" w:type="dxa"/>
            <w:vAlign w:val="bottom"/>
          </w:tcPr>
          <w:p>
            <w:pPr>
              <w:spacing w:after="0"/>
              <w:rPr>
                <w:sz w:val="22"/>
                <w:szCs w:val="22"/>
                <w:color w:val="auto"/>
              </w:rPr>
            </w:pPr>
          </w:p>
        </w:tc>
        <w:tc>
          <w:tcPr>
            <w:tcW w:w="1320" w:type="dxa"/>
            <w:vAlign w:val="bottom"/>
            <w:gridSpan w:val="3"/>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49"/>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Performing loans(1):</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mortgages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608,048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563,513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 mortgages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53,331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60,679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497,246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429,586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7"/>
        </w:trPr>
        <w:tc>
          <w:tcPr>
            <w:tcW w:w="5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1,158,625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1,053,778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43"/>
        </w:trPr>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Non-performing loans(1):</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mortgages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65,047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203,604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carrying value of loans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1,223,672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1,257,382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lending investments—securities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187,671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141,927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97"/>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carrying value</w:t>
            </w:r>
          </w:p>
        </w:tc>
        <w:tc>
          <w:tcPr>
            <w:tcW w:w="380" w:type="dxa"/>
            <w:vAlign w:val="bottom"/>
            <w:tcBorders>
              <w:top w:val="single" w:sz="8" w:color="auto"/>
              <w:bottom w:val="single" w:sz="8" w:color="CCEEFF"/>
            </w:tcBorders>
          </w:tcPr>
          <w:p>
            <w:pPr>
              <w:spacing w:after="0"/>
              <w:rPr>
                <w:sz w:val="24"/>
                <w:szCs w:val="24"/>
                <w:color w:val="auto"/>
              </w:rPr>
            </w:pPr>
          </w:p>
        </w:tc>
        <w:tc>
          <w:tcPr>
            <w:tcW w:w="1220" w:type="dxa"/>
            <w:vAlign w:val="bottom"/>
            <w:tcBorders>
              <w:top w:val="single" w:sz="8" w:color="auto"/>
              <w:bottom w:val="single" w:sz="8" w:color="CCEEFF"/>
            </w:tcBorders>
          </w:tcPr>
          <w:p>
            <w:pPr>
              <w:jc w:val="right"/>
              <w:ind w:right="33"/>
              <w:spacing w:after="0"/>
              <w:rPr>
                <w:sz w:val="20"/>
                <w:szCs w:val="20"/>
                <w:color w:val="auto"/>
              </w:rPr>
            </w:pPr>
            <w:r>
              <w:rPr>
                <w:rFonts w:ascii="Times New Roman" w:cs="Times New Roman" w:eastAsia="Times New Roman" w:hAnsi="Times New Roman"/>
                <w:sz w:val="18"/>
                <w:szCs w:val="18"/>
                <w:color w:val="auto"/>
              </w:rPr>
              <w:t>1,411,343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1,399,309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57"/>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reserve for loan losses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5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 receivable and other lending investments, net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1,377,843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1,370,109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0"/>
        </w:trPr>
        <w:tc>
          <w:tcPr>
            <w:tcW w:w="5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jc w:val="both"/>
        <w:ind w:left="660" w:hanging="652"/>
        <w:spacing w:after="0" w:line="261"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Performing and non-performing loans are presented net of asset-specific loan loss reserves of $0.8 million and $64.2 million, respectively, as of December 31, 2014 and $31.0 million and $317.0 million, respectively, as of December 31, 2013. See Item 8—"Financial Statements and Supplemental Data—Note 3" for a discussion of the Company's policies regarding non-performing loans and reserves for loan losses.</w:t>
      </w:r>
    </w:p>
    <w:p>
      <w:pPr>
        <w:sectPr>
          <w:pgSz w:w="11900" w:h="16838" w:orient="portrait"/>
          <w:cols w:equalWidth="0" w:num="1">
            <w:col w:w="11420"/>
          </w:cols>
          <w:pgMar w:left="240" w:top="118"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Summary of Portfolio Characteristics</w:t>
      </w:r>
      <w:r>
        <w:rPr>
          <w:rFonts w:ascii="Times New Roman" w:cs="Times New Roman" w:eastAsia="Times New Roman" w:hAnsi="Times New Roman"/>
          <w:sz w:val="18"/>
          <w:szCs w:val="18"/>
          <w:color w:val="auto"/>
        </w:rPr>
        <w:t>—As of December 31, 2014, the Company's performing loans and other lending investments had a weighted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loan to value ratio of 70%. Additionally, the Company's performing loans were comprised of 56% fixed-rate loans and 44% variable-rate loans that had a weighted average accrual rate of 9% and a weighted average remaining term of 2.7 years.</w:t>
      </w:r>
    </w:p>
    <w:p>
      <w:pPr>
        <w:spacing w:after="0" w:line="30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Portfolio Activity</w:t>
      </w:r>
      <w:r>
        <w:rPr>
          <w:rFonts w:ascii="Times New Roman" w:cs="Times New Roman" w:eastAsia="Times New Roman" w:hAnsi="Times New Roman"/>
          <w:sz w:val="18"/>
          <w:szCs w:val="18"/>
          <w:color w:val="auto"/>
        </w:rPr>
        <w:t>—During the year ended December 31, 2014, the Company funded $622.4 million of loan investments, received principal repayments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$512.5 million and sold loans with a total carrying value of $30.8 million. In addition, the Company took title to properties in full satisfaction of non-performing mortgage loans with a fair value of $78.1 million, for which the properties had served as collateral. Additionally, the Company and a consortium of co-lenders formed a new unconsolidated entity which acquired, via foreclosure sale, title to a land asset which previously served as collateral for a loan receivable held by the consortium. As of December 31, 2014, the Company had a recorded equity interest of $23.5 million. See Item 8—"Financial Statements and Supplemental Data—Note 4," "Financial Statements and Supplemental Data—Note 5" and "Financial Statements and Supplemental Data— Note 6" for further details on real estate finance activities.</w:t>
      </w:r>
    </w:p>
    <w:p>
      <w:pPr>
        <w:spacing w:after="0" w:line="237" w:lineRule="exact"/>
        <w:rPr>
          <w:sz w:val="20"/>
          <w:szCs w:val="20"/>
          <w:color w:val="auto"/>
        </w:rPr>
      </w:pPr>
    </w:p>
    <w:p>
      <w:pPr>
        <w:jc w:val="both"/>
        <w:ind w:right="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Summary of Interest Rate Characteristics</w:t>
      </w:r>
      <w:r>
        <w:rPr>
          <w:rFonts w:ascii="Times New Roman" w:cs="Times New Roman" w:eastAsia="Times New Roman" w:hAnsi="Times New Roman"/>
          <w:sz w:val="18"/>
          <w:szCs w:val="18"/>
          <w:color w:val="auto"/>
        </w:rPr>
        <w:t>—The Company's loans receivable and other lending investments had the following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characteristics ($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8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0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8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5"/>
        </w:trPr>
        <w:tc>
          <w:tcPr>
            <w:tcW w:w="4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Accrual Rate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Accrual Rate</w:t>
            </w:r>
          </w:p>
        </w:tc>
        <w:tc>
          <w:tcPr>
            <w:tcW w:w="0" w:type="dxa"/>
            <w:vAlign w:val="bottom"/>
          </w:tcPr>
          <w:p>
            <w:pPr>
              <w:spacing w:after="0"/>
              <w:rPr>
                <w:sz w:val="1"/>
                <w:szCs w:val="1"/>
                <w:color w:val="auto"/>
              </w:rPr>
            </w:pPr>
          </w:p>
        </w:tc>
      </w:tr>
      <w:tr>
        <w:trPr>
          <w:trHeight w:val="249"/>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Fixed-rate loans and other lending investments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751,590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811,128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Variable-rate loans(1)</w:t>
            </w: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594,706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384,577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Non-performing loans(2)</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65,047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203,604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97"/>
        </w:trPr>
        <w:tc>
          <w:tcPr>
            <w:tcW w:w="4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carrying value</w:t>
            </w:r>
          </w:p>
        </w:tc>
        <w:tc>
          <w:tcPr>
            <w:tcW w:w="2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1,411,343</w:t>
            </w:r>
          </w:p>
        </w:tc>
        <w:tc>
          <w:tcPr>
            <w:tcW w:w="12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1,399,309</w:t>
            </w:r>
          </w:p>
        </w:tc>
        <w:tc>
          <w:tcPr>
            <w:tcW w:w="12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reserve for loan losses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0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loans receivable and other lending investments,</w:t>
            </w:r>
          </w:p>
        </w:tc>
        <w:tc>
          <w:tcPr>
            <w:tcW w:w="2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1,377,843</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1,370,109</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2014 and 2013, includes $282.5 million and $117.9 million, respectively, of loans with a weighted average interest rate floor of 0.4% and 3.2%, respectively.</w:t>
      </w:r>
    </w:p>
    <w:p>
      <w:pPr>
        <w:spacing w:after="0" w:line="17" w:lineRule="exact"/>
        <w:rPr>
          <w:rFonts w:ascii="Times New Roman" w:cs="Times New Roman" w:eastAsia="Times New Roman" w:hAnsi="Times New Roman"/>
          <w:sz w:val="14"/>
          <w:szCs w:val="14"/>
          <w:color w:val="auto"/>
        </w:rPr>
      </w:pPr>
    </w:p>
    <w:p>
      <w:pPr>
        <w:ind w:left="660" w:hanging="652"/>
        <w:spacing w:after="0" w:line="258"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Performing and non-performing loans are presented net of asset-specific loan loss reserves of $0.8 million and $64.2 million, respectively, as of December 31, 2014, and $31.0 million and $317.0 million, respectively, as of December 31, 2013.</w:t>
      </w:r>
    </w:p>
    <w:p>
      <w:pPr>
        <w:spacing w:after="0" w:line="99" w:lineRule="exact"/>
        <w:rPr>
          <w:sz w:val="20"/>
          <w:szCs w:val="20"/>
          <w:color w:val="auto"/>
        </w:rPr>
      </w:pPr>
    </w:p>
    <w:p>
      <w:pPr>
        <w:ind w:right="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Summary of Maturities</w:t>
      </w:r>
      <w:r>
        <w:rPr>
          <w:rFonts w:ascii="Times New Roman" w:cs="Times New Roman" w:eastAsia="Times New Roman" w:hAnsi="Times New Roman"/>
          <w:sz w:val="18"/>
          <w:szCs w:val="18"/>
          <w:color w:val="auto"/>
        </w:rPr>
        <w:t>—As of December 31, 2014 the Company's loans receivable and other lending investments had the following maturities ($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thousands)(1):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60" w:type="dxa"/>
            <w:vAlign w:val="bottom"/>
            <w:gridSpan w:val="2"/>
            <w:vMerge w:val="restart"/>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6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of Maturity</w:t>
            </w:r>
          </w:p>
        </w:tc>
        <w:tc>
          <w:tcPr>
            <w:tcW w:w="100" w:type="dxa"/>
            <w:vAlign w:val="bottom"/>
            <w:vMerge w:val="restart"/>
          </w:tcPr>
          <w:p>
            <w:pPr>
              <w:spacing w:after="0"/>
              <w:rPr>
                <w:sz w:val="12"/>
                <w:szCs w:val="12"/>
                <w:color w:val="auto"/>
              </w:rPr>
            </w:pPr>
          </w:p>
        </w:tc>
        <w:tc>
          <w:tcPr>
            <w:tcW w:w="10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Maturing</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249"/>
        </w:trPr>
        <w:tc>
          <w:tcPr>
            <w:tcW w:w="6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191,713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6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352,040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510,451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43"/>
        </w:trPr>
        <w:tc>
          <w:tcPr>
            <w:tcW w:w="6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48,958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23,585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 and thereafter</w:t>
            </w:r>
          </w:p>
        </w:tc>
        <w:tc>
          <w:tcPr>
            <w:tcW w:w="104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219,549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performing loans and other lending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1,346,296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43"/>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Non-performing loans</w:t>
            </w:r>
          </w:p>
        </w:tc>
        <w:tc>
          <w:tcPr>
            <w:tcW w:w="104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65,047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carrying value</w:t>
            </w: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1,411,343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General reserve for loan losses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(33,500)</w:t>
            </w: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00" w:type="dxa"/>
            <w:vAlign w:val="bottom"/>
            <w:gridSpan w:val="2"/>
            <w:vMerge w:val="continue"/>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loans receivable and other lending investments, net</w:t>
            </w:r>
          </w:p>
        </w:tc>
        <w:tc>
          <w:tcPr>
            <w:tcW w:w="10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1,377,843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Performing and non-performing loans are presented net of asset-specific loan loss reserves of $0.8 million and $64.2 million, respectively.</w:t>
      </w:r>
    </w:p>
    <w:p>
      <w:pPr>
        <w:sectPr>
          <w:pgSz w:w="11900" w:h="16838" w:orient="portrait"/>
          <w:cols w:equalWidth="0" w:num="1">
            <w:col w:w="11420"/>
          </w:cols>
          <w:pgMar w:left="240" w:top="118"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Lease</w:t>
      </w:r>
    </w:p>
    <w:p>
      <w:pPr>
        <w:spacing w:after="0" w:line="2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net lease portfolio is primarily comprised of properties owned by the Company and leased to single creditworthy tenants where the properties are subject to long-term leases. The majority of the leases provide for expenses at the facility to be paid by the tenant on a triple net lease basis. The Company generally intends to hold its net lease assets for long-term investment. However, the Company may dispose of assets if it deems the disposition to be in the Company's best interests.</w:t>
      </w:r>
    </w:p>
    <w:p>
      <w:pPr>
        <w:spacing w:after="0" w:line="23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2014, the Company partnered with a sovereign wealth fund to form a venture (the "Net Lease Venture") in which the partners plan to contribute up to an aggregate $500 million of equity to acquire and develop up to $1.25 billion of net lease assets. The Company owns a 51.9% noncontrolling interest in the venture and does not consolidate the Net Lease Venture.</w:t>
      </w:r>
    </w:p>
    <w:p>
      <w:pPr>
        <w:spacing w:after="0" w:line="2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Under a typical net lease agreement, the tenant agrees to pay a base monthly operating lease payment and most or all of the facility operating expenses (including taxes, utilities, maintenance and insurance). The Company generally targets corporate customers with facilities that are critical to their ongoing businesses.</w:t>
      </w: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net lease portfolio included the following ($ in thousands):</w:t>
      </w:r>
    </w:p>
    <w:p>
      <w:pPr>
        <w:spacing w:after="0" w:line="367"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75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75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at cost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1,552,483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1,696,888</w:t>
            </w:r>
          </w:p>
        </w:tc>
      </w:tr>
      <w:tr>
        <w:trPr>
          <w:trHeight w:val="243"/>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(364,323)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(338,640)</w:t>
            </w:r>
          </w:p>
        </w:tc>
      </w:tr>
      <w:tr>
        <w:trPr>
          <w:trHeight w:val="27"/>
        </w:trPr>
        <w:tc>
          <w:tcPr>
            <w:tcW w:w="7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net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1,188,160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1,358,248</w:t>
            </w:r>
          </w:p>
        </w:tc>
      </w:tr>
      <w:tr>
        <w:trPr>
          <w:trHeight w:val="243"/>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4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125,360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16,408</w:t>
            </w:r>
          </w:p>
        </w:tc>
      </w:tr>
      <w:tr>
        <w:trPr>
          <w:trHeight w:val="257"/>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1,318,041</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1,374,656</w:t>
            </w:r>
          </w:p>
        </w:tc>
      </w:tr>
      <w:tr>
        <w:trPr>
          <w:trHeight w:val="20"/>
        </w:trPr>
        <w:tc>
          <w:tcPr>
            <w:tcW w:w="7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Summary of Portfolio Characteristics</w:t>
      </w:r>
      <w:r>
        <w:rPr>
          <w:rFonts w:ascii="Times New Roman" w:cs="Times New Roman" w:eastAsia="Times New Roman" w:hAnsi="Times New Roman"/>
          <w:sz w:val="18"/>
          <w:szCs w:val="18"/>
          <w:color w:val="auto"/>
        </w:rPr>
        <w:t>—As of December 31, 2014, the Company owned or had interests in 304 facilities, encompassing 18.7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feet located in 33 states. The Company's net lease assets were 96% leased with a weighted average remaining lease term of approximately 11.6 years. The annual average effective base rent per square foot, net of any tenant concessions, was $8.84 per square foot.</w:t>
      </w:r>
    </w:p>
    <w:p>
      <w:pPr>
        <w:spacing w:after="0" w:line="9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Portfolio Activity</w:t>
      </w:r>
      <w:r>
        <w:rPr>
          <w:rFonts w:ascii="Times New Roman" w:cs="Times New Roman" w:eastAsia="Times New Roman" w:hAnsi="Times New Roman"/>
          <w:sz w:val="18"/>
          <w:szCs w:val="18"/>
          <w:color w:val="auto"/>
        </w:rPr>
        <w:t>—During the year ended December 31, 2014, the Company funded $127.4 million to its Net Lease Venture, which acquired properties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year, and $3.9 million of capital expenditures on existing net lease assets. The Company also sold assets with a net carrying value of $20.6 million. The Company had three net lease assets classified as held for sale as of December 31, 2014. See Item 8 —"Financial Statements and Supplemental Data— Note 4" for further details on consolidated net lease asset activities.</w:t>
      </w:r>
    </w:p>
    <w:p>
      <w:pPr>
        <w:spacing w:after="0" w:line="10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During 2014, the Company sold assets to its Net Lease Venture, including a net lease asset for net proceeds of $93.7 million, which approximated carrying value. The Company also sold its 72% interest in a previously consolidated entity, which owned a net lease asset subject to a non-recourse mortgage of $26.0 million at the time of sale, to the venture for net proceeds of $10.1 million, which approximated carrying value. As of December 31, 2014, the Net Lease Venture's carrying value of total assets was $348.1 million and the Company had a recorded equity interest in the venture of $125.4 million, which is included in "Other investments" on the Company's Consolidated Balance Sheets. See Item 8 —"Financial Statements and Supplemental Data—Note 6" for further details on unconsolidated net lease asset activities.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Summary of Lease Expirations</w:t>
      </w:r>
      <w:r>
        <w:rPr>
          <w:rFonts w:ascii="Times New Roman" w:cs="Times New Roman" w:eastAsia="Times New Roman" w:hAnsi="Times New Roman"/>
          <w:sz w:val="18"/>
          <w:szCs w:val="18"/>
          <w:color w:val="auto"/>
        </w:rPr>
        <w:t>—As of December 31, 2014, lease expirations on the Company's net lease assets are as follows ($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Annualized In-Place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In-Place</w:t>
            </w:r>
          </w:p>
        </w:tc>
        <w:tc>
          <w:tcPr>
            <w:tcW w:w="166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3"/>
                <w:szCs w:val="13"/>
                <w:color w:val="auto"/>
              </w:rPr>
            </w:pPr>
          </w:p>
        </w:tc>
        <w:tc>
          <w:tcPr>
            <w:tcW w:w="1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Square Feet of Leases</w:t>
            </w:r>
          </w:p>
        </w:tc>
        <w:tc>
          <w:tcPr>
            <w:tcW w:w="0" w:type="dxa"/>
            <w:vAlign w:val="bottom"/>
          </w:tcPr>
          <w:p>
            <w:pPr>
              <w:spacing w:after="0"/>
              <w:rPr>
                <w:sz w:val="1"/>
                <w:szCs w:val="1"/>
                <w:color w:val="auto"/>
              </w:rPr>
            </w:pPr>
          </w:p>
        </w:tc>
      </w:tr>
      <w:tr>
        <w:trPr>
          <w:trHeight w:val="149"/>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of Lease Expiration</w:t>
            </w:r>
          </w:p>
        </w:tc>
        <w:tc>
          <w:tcPr>
            <w:tcW w:w="100" w:type="dxa"/>
            <w:vAlign w:val="bottom"/>
            <w:vMerge w:val="restart"/>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Lease Income</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 Income</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Revenue(1)</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Expiring (in thousands)</w:t>
            </w:r>
          </w:p>
        </w:tc>
        <w:tc>
          <w:tcPr>
            <w:tcW w:w="0" w:type="dxa"/>
            <w:vAlign w:val="bottom"/>
          </w:tcPr>
          <w:p>
            <w:pPr>
              <w:spacing w:after="0"/>
              <w:rPr>
                <w:sz w:val="1"/>
                <w:szCs w:val="1"/>
                <w:color w:val="auto"/>
              </w:rPr>
            </w:pPr>
          </w:p>
        </w:tc>
      </w:tr>
      <w:tr>
        <w:trPr>
          <w:trHeight w:val="249"/>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5,966</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5,025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9,071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33,129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6,621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 and thereafter</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70,357</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8,434</w:t>
            </w:r>
          </w:p>
        </w:tc>
        <w:tc>
          <w:tcPr>
            <w:tcW w:w="0" w:type="dxa"/>
            <w:vAlign w:val="bottom"/>
          </w:tcPr>
          <w:p>
            <w:pPr>
              <w:spacing w:after="0"/>
              <w:rPr>
                <w:sz w:val="1"/>
                <w:szCs w:val="1"/>
                <w:color w:val="auto"/>
              </w:rPr>
            </w:pPr>
          </w:p>
        </w:tc>
      </w:tr>
      <w:tr>
        <w:trPr>
          <w:trHeight w:val="297"/>
        </w:trPr>
        <w:tc>
          <w:tcPr>
            <w:tcW w:w="29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145,954</w:t>
            </w:r>
          </w:p>
        </w:tc>
        <w:tc>
          <w:tcPr>
            <w:tcW w:w="100" w:type="dxa"/>
            <w:vAlign w:val="bottom"/>
            <w:tcBorders>
              <w:bottom w:val="single" w:sz="8" w:color="CCEEFF"/>
            </w:tcBorders>
          </w:tcPr>
          <w:p>
            <w:pPr>
              <w:spacing w:after="0"/>
              <w:rPr>
                <w:sz w:val="24"/>
                <w:szCs w:val="2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920" w:type="dxa"/>
            <w:vAlign w:val="bottom"/>
            <w:gridSpan w:val="2"/>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Weighted average remaining lease</w:t>
            </w: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w:t>
            </w:r>
          </w:p>
        </w:tc>
        <w:tc>
          <w:tcPr>
            <w:tcW w:w="16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11.6 years</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percentage of annualized GAAP operating lease income for leases in-place as a percentage of annualized total revenue.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Properties</w:t>
      </w:r>
    </w:p>
    <w:p>
      <w:pPr>
        <w:spacing w:after="0" w:line="14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operating properties portfolio is comprised of commercial and residential properties which represent a diverse pool of assets across a broad range of geographies and property types. The Company generally seeks to reposition or redevelop these assets with the objective of maximizing their value through the infusion of capital and/or intensive asset management efforts. The commercial properties within this portfolio include office, retail, hotel and other property types. The residential properties within this portfolio are generally luxury condominium projects located in major U.S. cities where the Company's strategy is to sell individual condominium units through retail distribution channels.</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operating properties portfolio included the following ($ in thousands):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900" w:type="dxa"/>
            <w:vAlign w:val="bottom"/>
            <w:tcBorders>
              <w:bottom w:val="single" w:sz="8" w:color="auto"/>
            </w:tcBorders>
          </w:tcPr>
          <w:p>
            <w:pPr>
              <w:spacing w:after="0"/>
              <w:rPr>
                <w:sz w:val="16"/>
                <w:szCs w:val="16"/>
                <w:color w:val="auto"/>
              </w:rPr>
            </w:pPr>
          </w:p>
        </w:tc>
      </w:tr>
      <w:tr>
        <w:trPr>
          <w:trHeight w:val="250"/>
        </w:trPr>
        <w:tc>
          <w:tcPr>
            <w:tcW w:w="5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21"/>
                <w:szCs w:val="2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2013</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at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724,430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720,508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628,271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638,088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3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6,989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155,793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221,028</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12,532</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2,223</w:t>
            </w:r>
          </w:p>
        </w:tc>
      </w:tr>
      <w:tr>
        <w:trPr>
          <w:trHeight w:val="25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portfolio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647,792</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659,197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156,481</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223,251</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81"/>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Properties</w:t>
      </w:r>
    </w:p>
    <w:p>
      <w:pPr>
        <w:spacing w:after="0" w:line="27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Summary of Portfolio Characteristics—</w:t>
      </w:r>
      <w:r>
        <w:rPr>
          <w:rFonts w:ascii="Times New Roman" w:cs="Times New Roman" w:eastAsia="Times New Roman" w:hAnsi="Times New Roman"/>
          <w:sz w:val="18"/>
          <w:szCs w:val="18"/>
          <w:color w:val="auto"/>
        </w:rPr>
        <w:t>As of December 31, 2014, commercial properties within the operating properties portfolio included 29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encompassing 6.0 million square feet located in 10 states. Commercial properties include office, industrial and retail buildings along with marinas and hotels. The Company had 3 commercial properties classified as held for sale as of December 31, 2014. The Company’s commercial properties were primarily acquired through either foreclosure or deed in lieu of foreclosure in connection with the resolution of loans.</w:t>
      </w:r>
    </w:p>
    <w:p>
      <w:pPr>
        <w:spacing w:after="0" w:line="23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classifies commercial properties as either stabilized or transitional. In determining whether a commercial property is stabilized or transitional, the Company analyzes certain performance metrics, primarily occupancy and yield. Stabilized commercial properties generally have occupancy levels above 80% and/or generate yields resulting in an adequate return based upon the properties’ risk profiles. Transitional commercial properties are generally those properties that do not meet these criteria. As of December 31, 2014, stabilized commercial properties had a total carrying value of $109.4 million, or 15% of the portfolio, and generated an unleveraged weighted average effective yield of 7.8% on gross carrying value for the year ended December 31, 2014. Stabilized commercial properties were 88% leased as of December 31, 2014. Transitional commercial properties had a total carrying value of $634.6 million, or 85% of the portfolio, and generated an unleveraged weighted average effective yield of 2.5% on gross carrying value for the year ended December 31, 2014. Transitional commercial properties were 58% leased as of December 31, 2014.</w:t>
      </w:r>
    </w:p>
    <w:p>
      <w:pPr>
        <w:spacing w:after="0" w:line="23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Portfolio Activity</w:t>
      </w:r>
      <w:r>
        <w:rPr>
          <w:rFonts w:ascii="Times New Roman" w:cs="Times New Roman" w:eastAsia="Times New Roman" w:hAnsi="Times New Roman"/>
          <w:sz w:val="18"/>
          <w:szCs w:val="18"/>
          <w:color w:val="auto"/>
        </w:rPr>
        <w:t>—During the year ended December 31, 2014, the Company acquired title to three properties with a total fair value of $72.4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resolution of non-performing loans, purchased properties for $2.3 million and sold properties with a carrying value of $29.8 million which resulted in a net gain of $4.4 million. In addition, the Company funded $25.7 million of capital expenditures. During the year ended December 31, 2014, the Company's hotel properties had revenues of $21.7 million and expenses of $22.7 million.</w:t>
      </w:r>
    </w:p>
    <w:p>
      <w:pPr>
        <w:spacing w:after="0" w:line="23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lease expirations on commercial properties, excluding hotels and marinas, within the operating properties portfolio were as follows ($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Annualized In-Place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In-Place</w:t>
            </w:r>
          </w:p>
        </w:tc>
        <w:tc>
          <w:tcPr>
            <w:tcW w:w="166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3"/>
                <w:szCs w:val="13"/>
                <w:color w:val="auto"/>
              </w:rPr>
            </w:pPr>
          </w:p>
        </w:tc>
        <w:tc>
          <w:tcPr>
            <w:tcW w:w="1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Square Feet of Leases</w:t>
            </w:r>
          </w:p>
        </w:tc>
        <w:tc>
          <w:tcPr>
            <w:tcW w:w="0" w:type="dxa"/>
            <w:vAlign w:val="bottom"/>
          </w:tcPr>
          <w:p>
            <w:pPr>
              <w:spacing w:after="0"/>
              <w:rPr>
                <w:sz w:val="1"/>
                <w:szCs w:val="1"/>
                <w:color w:val="auto"/>
              </w:rPr>
            </w:pPr>
          </w:p>
        </w:tc>
      </w:tr>
      <w:tr>
        <w:trPr>
          <w:trHeight w:val="149"/>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of Lease Expiration</w:t>
            </w:r>
          </w:p>
        </w:tc>
        <w:tc>
          <w:tcPr>
            <w:tcW w:w="100" w:type="dxa"/>
            <w:vAlign w:val="bottom"/>
            <w:vMerge w:val="restart"/>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Leases</w:t>
            </w: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 Income</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 Income</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Revenue(1)</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Expiring (in thousands)</w:t>
            </w:r>
          </w:p>
        </w:tc>
        <w:tc>
          <w:tcPr>
            <w:tcW w:w="0" w:type="dxa"/>
            <w:vAlign w:val="bottom"/>
          </w:tcPr>
          <w:p>
            <w:pPr>
              <w:spacing w:after="0"/>
              <w:rPr>
                <w:sz w:val="1"/>
                <w:szCs w:val="1"/>
                <w:color w:val="auto"/>
              </w:rPr>
            </w:pPr>
          </w:p>
        </w:tc>
      </w:tr>
      <w:tr>
        <w:trPr>
          <w:trHeight w:val="249"/>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6,196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6,678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5,139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5,464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 and thereafter</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12,036</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97"/>
        </w:trPr>
        <w:tc>
          <w:tcPr>
            <w:tcW w:w="29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63,704</w:t>
            </w:r>
          </w:p>
        </w:tc>
        <w:tc>
          <w:tcPr>
            <w:tcW w:w="100" w:type="dxa"/>
            <w:vAlign w:val="bottom"/>
            <w:tcBorders>
              <w:bottom w:val="single" w:sz="8" w:color="CCEEFF"/>
            </w:tcBorders>
          </w:tcPr>
          <w:p>
            <w:pPr>
              <w:spacing w:after="0"/>
              <w:rPr>
                <w:sz w:val="24"/>
                <w:szCs w:val="2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920" w:type="dxa"/>
            <w:vAlign w:val="bottom"/>
            <w:gridSpan w:val="2"/>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Weighted average remaining lease</w:t>
            </w: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w:t>
            </w:r>
          </w:p>
        </w:tc>
        <w:tc>
          <w:tcPr>
            <w:tcW w:w="16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6.3 years</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percentage of annualized GAAP operating lease income for leases in-place as a percentage of annualized total revenue.</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Residential Properties</w:t>
      </w:r>
    </w:p>
    <w:p>
      <w:pPr>
        <w:spacing w:after="0" w:line="279"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Summary of Portfolio Characteristics</w:t>
      </w:r>
      <w:r>
        <w:rPr>
          <w:rFonts w:ascii="Times New Roman" w:cs="Times New Roman" w:eastAsia="Times New Roman" w:hAnsi="Times New Roman"/>
          <w:sz w:val="18"/>
          <w:szCs w:val="18"/>
          <w:color w:val="auto"/>
        </w:rPr>
        <w:t>—As of December 31, 2014, residential properties within the operating properties portfolio included 13 residential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projects, representing approximately 332 units located within luxury condominium projects in major cities throughout the United States.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Portfolio Activity</w:t>
      </w:r>
      <w:r>
        <w:rPr>
          <w:rFonts w:ascii="Times New Roman" w:cs="Times New Roman" w:eastAsia="Times New Roman" w:hAnsi="Times New Roman"/>
          <w:sz w:val="18"/>
          <w:szCs w:val="18"/>
          <w:color w:val="auto"/>
        </w:rPr>
        <w:t>—During the year ended December 31, 2014, the Company sold 457 residential property units for net proceeds of $236.2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in gains on sales of residential units of $79.1 million. During the same period, the Company funded $35.5 million of capital expenditures related to these projects, purchased $2.4 million of residential properties and incurred $25.6 million of net carrying costs that were reflected in "Real estate expenses" on the Company's Consolidated Statements of Operations.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Land</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land portfolio included the following ($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860,283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799,845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3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118,679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132,189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106,155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29,765</w:t>
            </w: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1,085,117</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961,799</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432"/>
        <w:spacing w:after="0" w:line="274" w:lineRule="auto"/>
        <w:rPr>
          <w:sz w:val="20"/>
          <w:szCs w:val="20"/>
          <w:color w:val="auto"/>
        </w:rPr>
      </w:pPr>
      <w:r>
        <w:rPr>
          <w:rFonts w:ascii="Times New Roman" w:cs="Times New Roman" w:eastAsia="Times New Roman" w:hAnsi="Times New Roman"/>
          <w:sz w:val="18"/>
          <w:szCs w:val="18"/>
          <w:i w:val="1"/>
          <w:iCs w:val="1"/>
          <w:color w:val="auto"/>
        </w:rPr>
        <w:t>Summary of Portfolio Characteristics</w:t>
      </w:r>
      <w:r>
        <w:rPr>
          <w:rFonts w:ascii="Times New Roman" w:cs="Times New Roman" w:eastAsia="Times New Roman" w:hAnsi="Times New Roman"/>
          <w:sz w:val="18"/>
          <w:szCs w:val="18"/>
          <w:color w:val="auto"/>
        </w:rPr>
        <w:t>—As of December 31, 2014, the Company's land portfolio included 32 properties, comprised of 11 master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planned community ("MPC") projects, 15 infill land parcels and 6 waterfront land parcels located throughout the United States. MPCs represent large-scale residential projects that the Company will entitle, plan and/or develop and may sell through retail channels to home builders or in bulk. The remainder of the Company’s land includes infill and waterfront parcels located in and around major cities that the Company will develop, sell to or partner with commercial real estate developers. Waterfront parcels are generally entitled for residential projects and urban infill parcels are generally entitled for mixed-use projects.</w:t>
      </w:r>
    </w:p>
    <w:p>
      <w:pPr>
        <w:spacing w:after="0" w:line="22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Portfolio Activity</w:t>
      </w:r>
      <w:r>
        <w:rPr>
          <w:rFonts w:ascii="Times New Roman" w:cs="Times New Roman" w:eastAsia="Times New Roman" w:hAnsi="Times New Roman"/>
          <w:sz w:val="18"/>
          <w:szCs w:val="18"/>
          <w:color w:val="auto"/>
        </w:rPr>
        <w:t>—Revenue from the Company's land portfolio consists primarily of lot sales from wholly-owned properties, recorded as "Land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as well as the Company's share of earnings from unconsolidated entities in which the Company holds an interest recorded within "Earnings from equity method investments," both on the Company's Consolidated Statements of Operations. For the year ended December 31, 2014, the Company recognized revenue from its land portfolio of $15.2 million and cost of sales of $12.8 million for consolidated land assets and earnings from equity method investments of $14.9 million for unconsolidated land investments. Additionally, during the year ended December 31, 2014, the Company funded $80.1 million of capital expenditures in the portfolio and acquired title to or equity interests in $29.0 million of land assets through resolution of non-performing loans. The Company also transferred land assets of $9.5 million to newly formed unconsolidated entities during the year.</w:t>
      </w:r>
    </w:p>
    <w:p>
      <w:pPr>
        <w:spacing w:after="0" w:line="23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the Company had 6 land projects in production, 13 in development and 13 in the pre-development phase. The Company's land projects in production as of December 31, 2014 are listed below ($ in millions):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Units Sold in</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8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Project</w:t>
            </w:r>
          </w:p>
        </w:tc>
        <w:tc>
          <w:tcPr>
            <w:tcW w:w="120" w:type="dxa"/>
            <w:vAlign w:val="bottom"/>
            <w:vMerge w:val="restart"/>
          </w:tcPr>
          <w:p>
            <w:pPr>
              <w:spacing w:after="0"/>
              <w:rPr>
                <w:sz w:val="12"/>
                <w:szCs w:val="12"/>
                <w:color w:val="auto"/>
              </w:rPr>
            </w:pPr>
          </w:p>
        </w:tc>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120" w:type="dxa"/>
            <w:vAlign w:val="bottom"/>
            <w:vMerge w:val="restart"/>
          </w:tcPr>
          <w:p>
            <w:pPr>
              <w:spacing w:after="0"/>
              <w:rPr>
                <w:sz w:val="12"/>
                <w:szCs w:val="12"/>
                <w:color w:val="auto"/>
              </w:rPr>
            </w:pPr>
          </w:p>
        </w:tc>
        <w:tc>
          <w:tcPr>
            <w:tcW w:w="194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vMerge w:val="restart"/>
          </w:tcPr>
          <w:p>
            <w:pPr>
              <w:spacing w:after="0"/>
              <w:rPr>
                <w:sz w:val="12"/>
                <w:szCs w:val="12"/>
                <w:color w:val="auto"/>
              </w:rPr>
            </w:pPr>
          </w:p>
        </w:tc>
        <w:tc>
          <w:tcPr>
            <w:tcW w:w="1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Completion</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20" w:type="dxa"/>
            <w:vAlign w:val="bottom"/>
            <w:vMerge w:val="restart"/>
          </w:tcPr>
          <w:p>
            <w:pPr>
              <w:spacing w:after="0"/>
              <w:rPr>
                <w:sz w:val="12"/>
                <w:szCs w:val="12"/>
                <w:color w:val="auto"/>
              </w:rPr>
            </w:pPr>
          </w:p>
        </w:tc>
        <w:tc>
          <w:tcPr>
            <w:tcW w:w="102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2014 Revenue</w:t>
            </w:r>
          </w:p>
        </w:tc>
        <w:tc>
          <w:tcPr>
            <w:tcW w:w="100" w:type="dxa"/>
            <w:vAlign w:val="bottom"/>
            <w:vMerge w:val="restart"/>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95"/>
        </w:trPr>
        <w:tc>
          <w:tcPr>
            <w:tcW w:w="2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Date(1)</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2014(2)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Units(2)</w:t>
            </w:r>
          </w:p>
        </w:tc>
        <w:tc>
          <w:tcPr>
            <w:tcW w:w="0" w:type="dxa"/>
            <w:vAlign w:val="bottom"/>
          </w:tcPr>
          <w:p>
            <w:pPr>
              <w:spacing w:after="0"/>
              <w:rPr>
                <w:sz w:val="1"/>
                <w:szCs w:val="1"/>
                <w:color w:val="auto"/>
              </w:rPr>
            </w:pPr>
          </w:p>
        </w:tc>
      </w:tr>
      <w:tr>
        <w:trPr>
          <w:trHeight w:val="235"/>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Magnolia Green</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MPC</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Richmond, VA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89,683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7,862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2,669</w:t>
            </w:r>
          </w:p>
        </w:tc>
        <w:tc>
          <w:tcPr>
            <w:tcW w:w="0" w:type="dxa"/>
            <w:vAlign w:val="bottom"/>
          </w:tcPr>
          <w:p>
            <w:pPr>
              <w:spacing w:after="0"/>
              <w:rPr>
                <w:sz w:val="1"/>
                <w:szCs w:val="1"/>
                <w:color w:val="auto"/>
              </w:rPr>
            </w:pPr>
          </w:p>
        </w:tc>
      </w:tr>
      <w:tr>
        <w:trPr>
          <w:trHeight w:val="241"/>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Asbury Park</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Waterfront</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Asbury Park, NJ</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81,769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6,696</w:t>
            </w:r>
          </w:p>
        </w:tc>
        <w:tc>
          <w:tcPr>
            <w:tcW w:w="10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2,446</w:t>
            </w:r>
          </w:p>
        </w:tc>
        <w:tc>
          <w:tcPr>
            <w:tcW w:w="0" w:type="dxa"/>
            <w:vAlign w:val="bottom"/>
          </w:tcPr>
          <w:p>
            <w:pPr>
              <w:spacing w:after="0"/>
              <w:rPr>
                <w:sz w:val="1"/>
                <w:szCs w:val="1"/>
                <w:color w:val="auto"/>
              </w:rPr>
            </w:pPr>
          </w:p>
        </w:tc>
      </w:tr>
      <w:tr>
        <w:trPr>
          <w:trHeight w:val="29"/>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Tetherow</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MPC</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Bend, OR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14,657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6,626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8"/>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Spring Mountain Ranch</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Phase 1(3)</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MPC</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Riverside, CA</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21,105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4,847</w:t>
            </w:r>
          </w:p>
        </w:tc>
        <w:tc>
          <w:tcPr>
            <w:tcW w:w="10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375</w:t>
            </w:r>
          </w:p>
        </w:tc>
        <w:tc>
          <w:tcPr>
            <w:tcW w:w="0" w:type="dxa"/>
            <w:vAlign w:val="bottom"/>
          </w:tcPr>
          <w:p>
            <w:pPr>
              <w:spacing w:after="0"/>
              <w:rPr>
                <w:sz w:val="1"/>
                <w:szCs w:val="1"/>
                <w:color w:val="auto"/>
              </w:rPr>
            </w:pPr>
          </w:p>
        </w:tc>
      </w:tr>
      <w:tr>
        <w:trPr>
          <w:trHeight w:val="29"/>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Naples Reserve</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MPC</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Naples, FL</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53,818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1,109</w:t>
            </w:r>
          </w:p>
        </w:tc>
        <w:tc>
          <w:tcPr>
            <w:tcW w:w="0" w:type="dxa"/>
            <w:vAlign w:val="bottom"/>
          </w:tcPr>
          <w:p>
            <w:pPr>
              <w:spacing w:after="0"/>
              <w:rPr>
                <w:sz w:val="1"/>
                <w:szCs w:val="1"/>
                <w:color w:val="auto"/>
              </w:rPr>
            </w:pPr>
          </w:p>
        </w:tc>
      </w:tr>
      <w:tr>
        <w:trPr>
          <w:trHeight w:val="241"/>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Marina Palms(3)(4)</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Waterfront</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 Miami Beach, FL</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30,677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54,210</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468</w:t>
            </w:r>
          </w:p>
        </w:tc>
        <w:tc>
          <w:tcPr>
            <w:tcW w:w="0" w:type="dxa"/>
            <w:vAlign w:val="bottom"/>
          </w:tcPr>
          <w:p>
            <w:pPr>
              <w:spacing w:after="0"/>
              <w:rPr>
                <w:sz w:val="1"/>
                <w:szCs w:val="1"/>
                <w:color w:val="auto"/>
              </w:rPr>
            </w:pPr>
          </w:p>
        </w:tc>
      </w:tr>
      <w:tr>
        <w:trPr>
          <w:trHeight w:val="29"/>
        </w:trPr>
        <w:tc>
          <w:tcPr>
            <w:tcW w:w="20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Total Land Projects in Production</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291,709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80,944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b w:val="1"/>
                <w:bCs w:val="1"/>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7,173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500" w:hanging="492"/>
        <w:spacing w:after="0" w:line="253" w:lineRule="auto"/>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completion dates are subject to change as a result of factors that may be outside of the Company's control, such as uncertainty with rezoning, obtaining governmental permits and approvals, concerns of community associations and reliance on third party contractors.</w:t>
      </w:r>
    </w:p>
    <w:p>
      <w:pPr>
        <w:ind w:left="500" w:hanging="492"/>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remaining entitled units may include single-family lots, condos, multifamily rental units and hotel keys, as applicable, for the respective properties.</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41" w:lineRule="auto"/>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land projects are accounted under the equity method of accounting. Revenue represents the gross share of revenues from the sale of units, which is reflected in earnings from equity method investments. During the year ended December 31, 2014, the Company recognized earnings from equity method investments of $14.7 million for Marina Palms and $0.2 million for Spring Mountain Ranch Phase 1.</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activity resulted in the venture receiving non-refundable deposits on 332 units under contract as of December 31, 2014.</w:t>
      </w:r>
    </w:p>
    <w:p>
      <w:pPr>
        <w:sectPr>
          <w:pgSz w:w="11900" w:h="16838" w:orient="portrait"/>
          <w:cols w:equalWidth="0" w:num="1">
            <w:col w:w="11420"/>
          </w:cols>
          <w:pgMar w:left="240" w:top="118" w:right="239" w:bottom="1440" w:gutter="0" w:footer="0" w:header="0"/>
        </w:sect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with Respect to Other Activities</w:t>
      </w:r>
    </w:p>
    <w:p>
      <w:pPr>
        <w:spacing w:after="0" w:line="2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investment, financing and corporate governance policies (including conflicts of interests policies) are managed under the ultimate supervision of the Company's Board of Directors. The Company can amend, revise or eliminate these policies at any time without a vote of its shareholders. The Company currently intends to make investments in a manner consistent with the requirements of the Internal Revenue Code of 1986, as amended (the "Code") for the Company to qualify as a REIT.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Restrictions or Limitations</w:t>
      </w:r>
    </w:p>
    <w:p>
      <w:pPr>
        <w:spacing w:after="0" w:line="2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does not have any prescribed allocation among investments or product lines. Instead, the Company focuses on corporate and real estate credit underwriting to develop an analysis of the risk/reward trade-offs in determining the pricing and advisability of each particular transaction.</w:t>
      </w:r>
    </w:p>
    <w:p>
      <w:pPr>
        <w:spacing w:after="0" w:line="21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 believes that it is not, and intends to conduct its operations so as not to become, regulated as an investment company under the Investment Company Act. The Investment Company Act generally exempts entities that are "primarily engaged in purchasing or otherwise acquiring mortgages and other liens on and interests in real estate" (collectively, "Qualifying Interests"). The Company intends to rely on current interpretations of the Securities and Exchange Commission in an effort to qualify for this exemption. Based on these interpretations, the Company, among other things, must maintain at least 55% of its assets in Qualifying Interests and at least 25% of its assets in real estate-related assets (subject to reduction to the extent the Company invests more than 55% of its assets in Qualifying Interests). The Company's senior mortgages, real estate assets and certain of its subordinated mortgages generally constitute Qualifying Interests. Subject to the limitations on ownership of certain types of assets and the gross income tests imposed by the Code, the Company also may invest in the securities of other REITs, other entities engaged in real estate activities or other issuers, including for the purpose of exercising control over such entities.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operates in a competitive market. See Item 1a—Risk factors—"We compete with a variety of investment, financing and leasing sources for our customers," for a discussion of how we may be affected by competition.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8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operations of the Company are subject, in certain instances, to supervision and regulation by state and federal governmental authorities and may be subject to various laws and judicial and administrative decisions imposing various requirements and restrictions, which, among other things: (1) regulate credit granting activities; (2) establish maximum interest rates, finance charges and other charges; (3) require disclosures to customers; (4) govern secured transactions; and (5) set collection, foreclosure, repossession and claims-handling procedures and other trade practices. Although most states do not regulate commercial finance, certain states impose limitations on interest rates and other charges and on certain collection practices and creditor remedies, and require licensing of lenders and financiers and adequate disclosure of certain contract terms. The Company is also required to comply with certain provisions of the Equal Credit Opportunity Act that are applicable to commercial loans.</w:t>
      </w:r>
    </w:p>
    <w:p>
      <w:pPr>
        <w:spacing w:after="0" w:line="24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the judgment of management, existing statutes and regulations have not had a material adverse effect on the business conducted by the Company. It is not possible at this time to forecast the exact nature of any future legislation, regulations, judicial decisions, orders or interpretations, nor their impact upon the future business, financial condition or results of operations or prospects of the Company.</w:t>
      </w:r>
    </w:p>
    <w:p>
      <w:pPr>
        <w:spacing w:after="0" w:line="23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has elected and expects to continue to qualify to be taxed as a REIT under Section 856 through 860 of the Code. As a REIT, the Company must generally distribute at least 90% of its net taxable income, excluding capital gains, to its shareholders each year. In addition, the Company must distribute 100% of its net taxable income each year to avoid paying federal income taxes. REITs are also subject to a number of organizational and operational requirements in order to elect and maintain REIT qualification. These requirements include specific share ownership tests and asset and gross income tests. If the Company fails to qualify as a REIT in any taxable year, the Company will be subject to federal income tax (including any applicable alternative minimum tax) on its net taxable income at regular corporate tax rates. Even if the Company qualifies for taxation as a REIT, the Company may be subject to state and local taxes and to federal income tax and excise tax on its undistributed income.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8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has adopted a Code of Conduct that sets forth the principles of conduct and ethics to be followed by our directors, officers and employees. The purpose of the Code of Conduct is to promote honest and ethical conduct, compliance with applicable governmental rules and regulations, full, fair, accurate, timely and understandable disclosure in periodic reports, prompt internal reporting of violations of the Code of Conduct and a culture of honesty and accountability. A copy of the Code of Conduct has been provided to each of our directors, officers and employees, who are required to acknowledge that they have received and will comply with the Code of Conduct. A copy of the Company's Code of Conduct has been previously filed with the SEC and is incorporated by reference in this Annual Report on Form 10-K as Exhibit 14.0. The Code of Conduct is also available on the</w:t>
      </w:r>
    </w:p>
    <w:p>
      <w:pPr>
        <w:sectPr>
          <w:pgSz w:w="11900" w:h="16838" w:orient="portrait"/>
          <w:cols w:equalWidth="0" w:num="1">
            <w:col w:w="11420"/>
          </w:cols>
          <w:pgMar w:left="240" w:top="118"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Company's website at </w:t>
      </w:r>
      <w:r>
        <w:rPr>
          <w:rFonts w:ascii="Times New Roman" w:cs="Times New Roman" w:eastAsia="Times New Roman" w:hAnsi="Times New Roman"/>
          <w:sz w:val="18"/>
          <w:szCs w:val="18"/>
          <w:i w:val="1"/>
          <w:iCs w:val="1"/>
          <w:color w:val="auto"/>
        </w:rPr>
        <w:t>www.istarfinancial.com</w:t>
      </w:r>
      <w:r>
        <w:rPr>
          <w:rFonts w:ascii="Times New Roman" w:cs="Times New Roman" w:eastAsia="Times New Roman" w:hAnsi="Times New Roman"/>
          <w:sz w:val="18"/>
          <w:szCs w:val="18"/>
          <w:color w:val="auto"/>
        </w:rPr>
        <w:t>. The Company will disclose to shareholders material changes to its Code of Conduct, or any waivers for directors or executive officers, if any, within four business days of any such event. As of December 31, 2014, there have been no amendments to the Code of Conduct and the Company has not granted any waivers from any provision of the Code of Conduct to any directors or executive officers.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January 30, 2015, the Company had 182 employees and believes it has good relationships with its employees. The Company's employees are not represented by any collective bargaining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8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addition to this Annual Report, the Company files quarterly and special reports, proxy statements and other information with the SEC. All documents are filed with the SEC and are available free of charge on the Company's corporate website, which is </w:t>
      </w:r>
      <w:r>
        <w:rPr>
          <w:rFonts w:ascii="Times New Roman" w:cs="Times New Roman" w:eastAsia="Times New Roman" w:hAnsi="Times New Roman"/>
          <w:sz w:val="18"/>
          <w:szCs w:val="18"/>
          <w:i w:val="1"/>
          <w:iCs w:val="1"/>
          <w:color w:val="auto"/>
        </w:rPr>
        <w:t>www.istarfinancial.com</w:t>
      </w:r>
      <w:r>
        <w:rPr>
          <w:rFonts w:ascii="Times New Roman" w:cs="Times New Roman" w:eastAsia="Times New Roman" w:hAnsi="Times New Roman"/>
          <w:sz w:val="18"/>
          <w:szCs w:val="18"/>
          <w:color w:val="auto"/>
        </w:rPr>
        <w:t xml:space="preserve">. Through the Company's website, the Company makes available free of charge its annual proxy statement, Annual Reports on Form 10-K, Quarterly Reports on Form 10-Q, Current Reports on Form 8-K, and amendments to those Reports filed or furnished pursuant to Section 13(a) or 15(d) of the Exchange Act as soon as reasonably practicable after the Company electronically files such material with, or furnishes it to, the SEC. You may also read and copy any document filed at the public reference facilities at 100 F Street, N.E., Washington, D.C. 25049. Please call the SEC at (800) SEC-0330 for further information about the public reference facilities. These documents also may be accessed through the SEC's electronic data gathering, analysis and retrieval system ("EDGAR") via electronic means, including on the SEC's homepage, which can be found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8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in this report, you should consider carefully the following risk factors in evaluating an investment in our securities. Any of these risks or the occurrence of any one or more of the uncertainties described below could have a material adverse effect on our business, financial condition, results of operations, cash flows and market price of our common stock. The risks set forth below speak only as of the date of this report and we disclaim any duty to update them except as required by law. For purposes of these risk factors, the terms "our Company," "we," "our" and "us" refer to iStar Financial Inc. and its consolidated subsidiaries, unless the context indicates otherwise.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general economic conditions may adversely affect our business.</w:t>
      </w:r>
    </w:p>
    <w:p>
      <w:pPr>
        <w:spacing w:after="0" w:line="28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success is generally dependent upon economic conditions in the U.S. and, in particular, the geographic areas in which our investments are located. Substantially all businesses, including ours, were negatively affected by the previous economic recession and resulting illiquidity and volatility in the credit and commercial real estate markets. Although the commercial real estate and credit markets have improved, such markets remain volatile and it is not possible for us to predict whether these trends will continue in the future or quantify the impact of these or other trends on our financial results. Deterioration in economic trends could have a material adverse effect on our financial performance, liquidity and our ability to meet our debt obligations.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ratings will impact our borrowing costs.</w:t>
      </w:r>
    </w:p>
    <w:p>
      <w:pPr>
        <w:spacing w:after="0" w:line="28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borrowing costs and our access to the debt capital markets depend significantly on our credit ratings. Our unsecured corporate credit ratings from major national credit rating agencies are currently below investment grade. Having below investment grade credit ratings increases our borrowing costs and caused restrictive covenants in our public debt instruments to become operative. These restrictive covenants are described below in "Covenants in our indebtedness could limit our flexibility and adversely affect our financial condition." These factors have adversely impacted our financial performance and will continue to do so unless our credit ratings improve.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our indebtedness could limit our flexibility and adversely affect our financial condition.</w:t>
      </w:r>
    </w:p>
    <w:p>
      <w:pPr>
        <w:spacing w:after="0" w:line="28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outstanding unsecured debt securities contain corporate level covenants that include a covenant to maintain a ratio of unencumbered assets to unsecured indebtedness of at least 1.2x and a restriction on debt incurrence based upon the effect of the debt incurrence on our fixed charge coverage ratio. If any of our covenants are breached and not cured within applicable cure periods, the breach could result in acceleration of our debt securities unless a waiver or modification is agreed upon with the requisite percentage of the bondholders. While our ability to incur new indebtedness under the fixed charge coverage ratio is currently limited, which may put limitations on our ability to make new investments, we are permitted to incur indebtedness for the purpose of refinancing existing indebtedness and for other permitted purposes under the indentures governing our debt securities.</w:t>
      </w:r>
    </w:p>
    <w:p>
      <w:pPr>
        <w:spacing w:after="0" w:line="24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secured credit facilities entered into in March 2012, which we refer to as our March 2012 Secured Credit Facilities, contain certain covenants, including covenants relating to collateral coverage, dividend payments, restrictions on fundamental</w:t>
      </w:r>
    </w:p>
    <w:p>
      <w:pPr>
        <w:sectPr>
          <w:pgSz w:w="11900" w:h="16838" w:orient="portrait"/>
          <w:cols w:equalWidth="0" w:num="1">
            <w:col w:w="11420"/>
          </w:cols>
          <w:pgMar w:left="240" w:top="118"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type w:val="continuous"/>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transactions with affiliates, matters relating to the liens granted to the lenders and the delivery of information to the lenders. In particular, we are required to maintain collateral coverage of 1.25x outstanding borrowings. In addition, for so long as we maintain our qualification as a REIT, the March 2012 Secured Credit Facilities permit us to distribute 100% of our REIT taxable income on an annual basis. We may not pay common dividends if we cease to qualify as a REIT.</w:t>
      </w:r>
    </w:p>
    <w:p>
      <w:pPr>
        <w:spacing w:after="0" w:line="23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March 2012 Secured Credit Facilities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 A default by us on our indebtedness would have a material adverse effect on our business and the market prices of our Common Stock.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and funding commitments and limitations on our liquidity and ability to raise capital may adversely affect us.</w:t>
      </w:r>
    </w:p>
    <w:p>
      <w:pPr>
        <w:spacing w:after="0" w:line="28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Sufficient liquidity is critical to the management of our balance sheet and our ability to meet our scheduled debt payments and our funding commitments to borrowers. We have relied on secured borrowings, proceeds from issuance of unsecured debt, repayments from our loan assets and proceeds from asset sales to fund our operations and meet our debt maturities, and we expect to continue to rely primarily on these sources of liquidity for the foreseeable future. While we had access to various sources of capital in 2014, our ability to access capital in the future will be subject to a number of factors, many of which are outside of our control, such as conditions prevailing in the credit and real estate markets. There can be no assurance that we will have access to liquidity when needed or on terms that are acceptable to us. We may also encounter difficulty in selling assets or executing capital raising strategies on acceptable terms in a timely manner, which could impact our ability to make scheduled repayments on our outstanding debt. Failure to repay or refinance our borrowings as they come due would be an event of default under the relevant debt instruments, which could result in a cross default and acceleration of our other outstanding debt obligations. Failure to meet funding commitments could cause us to be in default of our financing commitments to borrowers. Any of the foregoing could have a material adverse effect on our business and stock price.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utilize derivative instruments to hedge risk, which may adversely affect our borrowing cost and expose us to other risks.</w:t>
      </w:r>
    </w:p>
    <w:p>
      <w:pPr>
        <w:spacing w:after="0" w:line="2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derivative instruments we may use are typically in the form of interest rate swaps, interest rate caps and foreign exchange contracts. Interest rate swaps effectively change variable-rate debt obligations to fixed-rate debt obligations or fixed-rate debt obligations to variable-rate debt obligations. Interest rate caps limit our exposure to rising interest rates. Foreign exchange contracts limit or offset our exposure to changes in currency rates in respect of certain investments denominated in foreign currencies.</w:t>
      </w:r>
    </w:p>
    <w:p>
      <w:pPr>
        <w:spacing w:after="0" w:line="23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use of derivative instruments also involves the risk that a counterparty to a hedging arrangement could default on its obligation and the risk that we may have to pay certain costs, such as transaction fees or breakage costs, if a hedging arrangement is terminated by us. As a matter of policy, we enter into hedging arrangements with counterparties that are large, creditworthy financial institutions typically rated at least "A/A2" by S&amp;P and Moody's, respectively.</w:t>
      </w:r>
    </w:p>
    <w:p>
      <w:pPr>
        <w:spacing w:after="0" w:line="2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Developing an effective strategy for dealing with movements in interest rates and foreign currencies is complex and no strategy can completely insulate us from risks associated with such fluctuations. There can be no assurance that any hedging activities will have the desired beneficial impact on our results of operations or financial condition.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increases in interest rates could have an adverse effect on our operating results.</w:t>
      </w:r>
    </w:p>
    <w:p>
      <w:pPr>
        <w:spacing w:after="0" w:line="28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Our operating results depend in part on the difference between the interest and related income earned on our assets and the interest expense incurred in connection with our interest bearing liabilities. Changes in the general level of interest rates prevailing in the financial markets will affect the spread between our interest earning assets and interest bearing liabilities subject to the impact of interest rate floors and caps, as well as the amounts of floating rate assets and liabilities. Any significant compression of the spreads between interest earning assets and interest bearing liabilities could have a material adverse effect on us. In the event of a significant rising interest rate environment, rates could exceed the interest rate floors that exist on certain of our floating rate debt and create a mismatch between our floating rate loans and our floating rate debt that could have a significant adverse effect on our operating results. In addition, an increase in interest rates could, among other things, reduce the value of our fixed-rate interest bearing assets and our ability to realize gains from the sale of such assets. Interest rates are highly sensitive to many factors, including governmental monetary and tax policies, domestic and international economic and political conditions, and other factors beyond our control.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make a number of judgments in applying accounting policies, and different estimates and assumptions could result in changes to our financial condition and results of operations.</w:t>
      </w:r>
    </w:p>
    <w:p>
      <w:pPr>
        <w:spacing w:after="0" w:line="21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 underlie our determination of the reserve for loan losses, which is based primarily on the estimated fair value of loan collateral, as well as the valuation of real estate assets and deferred tax assets. While we have identified those accounting policies that are considered critical and have procedures in place to facilitate the associated judgments, different assumptions in the application of these policies could have a material adverse effect on our financial performance and results of operations and actual results may differ materially from our estimates.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reserves for loan losses may prove inadequate, which could have a material adverse effect on our financial results.</w:t>
      </w:r>
    </w:p>
    <w:p>
      <w:pPr>
        <w:spacing w:after="0" w:line="28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maintain loan loss reserves to offset potential future losses. Our general loan loss reserve reflects management's then-current estimation of the probability and severity of losses within our portfolio. In addition, our determination of asset-specific loan loss reserves relies on material estimates regarding the fair value of loan collateral. Estimation of ultimate loan losses, provision expenses and loss reserves is a complex and subjective process. As such, there can be no assurance that management's judgment will prove to be correct and that reserves will be adequate over time to protect against potential future losses. Such losses could be caused by factors including, but not limited to, unanticipated adverse changes in the economy or events adversely affecting specific assets, borrowers, industries in which our borrowers operate or markets in which our borrowers or their properties are located. In particular, during the previous financial crisis, the weak economy and disruption of the credit markets adversely impacted the ability and willingness of many of our borrowers to service their debt and refinance our loans to them at maturity. If our reserves for credit losses prove inadequate we may suffer additional losses which would have a material adverse effect on our financial performance and results of operations.</w:t>
      </w:r>
    </w:p>
    <w:p>
      <w:pPr>
        <w:spacing w:after="0" w:line="2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suffered losses when a borrower defaults on a loan and the underlying collateral value is not sufficient, and we may suffer additional losses in the future.</w:t>
      </w:r>
    </w:p>
    <w:p>
      <w:pPr>
        <w:spacing w:after="0" w:line="21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have suffered losses arising from borrower defaults on our loan assets and we may suffer additional losses in the future. In the event of a default by a borrower on a non-recourse loan, we will only have recourse to the real estate-related assets collateralizing the loan. If the underlying collateral value is less than the loan amount , we will suffer a loss. Conversely, we sometimes make loans that are unsecured or are secured only by equity interests in the borrowing entities. These loans are subject to the risk that other lenders may be directly secured by the real estate assets of the borrower. In the event of a default, those collateralized lenders would have priority over us with respect to the proceeds of a sale of the underlying real estate. In cases described above, we may lack control over the underlying asset collateralizing our loan or the underlying assets of the borrower prior to a default, and as a result the value of the collateral may be reduced by acts or omissions by owners or managers of the assets.</w:t>
      </w:r>
    </w:p>
    <w:p>
      <w:pPr>
        <w:spacing w:after="0" w:line="24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sometimes obtain individual or corporate guarantees from borrowers or their affiliates. In cases where guarantees are not fully or partially secured, we typically rely on financial covenants from borrowers and guarantors which are designed to require the borrower or guarantor to maintain certain levels of creditworthiness. Where we do not have recourse to specific collateral pledged to satisfy such guarantees or recourse loans, or where the value of the collateral proves insufficient, we will only have recourse as an unsecured creditor to the general assets of the borrower or guarantor, some or all of which may be pledged to satisfy other lenders. There can be no assurance that a borrower or guarantor will comply with its financial covenants, or that sufficient assets will be available to pay amounts owed to us under our loans and guarantees. As a result of these factors, we may suffer additional losses which could have a material adverse effect on our financial performance.</w:t>
      </w:r>
    </w:p>
    <w:p>
      <w:pPr>
        <w:spacing w:after="0" w:line="24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the event of a borrower bankruptcy, we may not have full recourse to the assets of the borrower in order to satisfy our loan. In addition, certain of our loans are subordinate to other debts of the borrower. If a borrower defaults on our loan or on debt senior to our loan, or in the event of a borrower bankruptcy, our loan will be satisfied only after the senior debt receives payment. Where debt senior to our loan exists, the presence of intercreditor arrangements may limit our ability to amend our loan documents, assign our loans, accept prepayments, exercise our remedies (through "standstill" periods) and control decisions made in bankruptcy proceedings relating to borrowers. Bankruptcy and borrower litigation can significantly increase collection costs and losses and the time necessary to acquire title to the underlying collateral, during which time the collateral may decline in value, causing us to suffer additional losses.</w:t>
      </w:r>
    </w:p>
    <w:p>
      <w:pPr>
        <w:spacing w:after="0" w:line="24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If the value of collateral underlying our loan declines or interest rates increase during the term of our loan, a borrower may not be able to obtain the necessary funds to repay our loan at maturity through refinancing. Decreasing collateral value and/or increasing interest rates may hinder a borrower's ability to refinance our loan because the underlying property cannot satisfy the debt service coverage requirements necessary to obtain new financing. If a borrower is unable to repay our loan at maturity, we could suffer additional loss which may adversely impact our financial performance.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additional risks associated with loan participations.</w:t>
      </w:r>
    </w:p>
    <w:p>
      <w:pPr>
        <w:spacing w:after="0" w:line="28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Some of our loans are participation interests or co-lender arrangements in which we share the rights, obligations and benefits of the loan with other lenders. We may need the consent of these parties to exercise our rights under such loans, including rights with respect to amendment of loan documentation, enforcement proceedings in the event of default and the institution of, and control over, foreclosure proceedings. Similarly, a majority of the participants may be able to take actions to which we object but to which we will be bound if our participation interest represents a minority interest. We may be adversely affected by this lack of full control.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additional risk associated with owning and developing real estate.</w:t>
      </w:r>
    </w:p>
    <w:p>
      <w:pPr>
        <w:spacing w:after="0" w:line="2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have obtained title to a number of assets that previously served as collateral on defaulted loans. These assets are predominantly land and operating properties. These assets expose us to additional risks, including, without limitation:</w:t>
      </w:r>
    </w:p>
    <w:p>
      <w:pPr>
        <w:spacing w:after="0" w:line="81" w:lineRule="exact"/>
        <w:rPr>
          <w:sz w:val="20"/>
          <w:szCs w:val="20"/>
          <w:color w:val="auto"/>
        </w:rPr>
      </w:pPr>
    </w:p>
    <w:p>
      <w:pPr>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incur costs to carry these assets and in some cases make repairs to defects in construction, make improvements to, or complete the assets, which requires additional liquidity and results in additional expenses that could exceed our original estimates and impact our operating results.</w:t>
      </w:r>
    </w:p>
    <w:p>
      <w:pPr>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projects are not liquid and, to the extent we need to raise liquidity through asset sales, we may be limited in our ability to sell these assets in a short-time frame.</w:t>
      </w:r>
    </w:p>
    <w:p>
      <w:pPr>
        <w:jc w:val="both"/>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associated with rezoning, obtaining governmental permits and approvals, concerns of community associations, reliance on third party contractors, increasing commodity costs and threatened or pending litigation may materially delay our completion of rehabilitation and development activities and materially increase their cost to us.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values of our real estate investments are subject to a number of factors outside of our control, including changes in the general economic climate, changes in interest rates and the availability of attractive financing, over-building or decreasing demand in the markets where we own assets, and changes in law and governmental regulations.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residential market has experienced significant downturns that could recur and adversely affect us.</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2014, we owned land and residential operating properties with a net carrying value of $1.24 billion. The housing market in the United States has previously been affected by weakness in the economy, including high unemployment levels and weak consumer confidence. Although the economy has continued to strengthen, it is uncertain whether the recovery is sustainable. It is possible another downturn could occur again in the near future and adversely impact our portfolio, and accordingly our financial performance.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losses if the creditworthiness of our tenants deteriorates and they are unable to meet their lease obligations.</w:t>
      </w:r>
    </w:p>
    <w:p>
      <w:pPr>
        <w:spacing w:after="0" w:line="18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We own properties leased to tenants of our real estate assets and receive rents from tenants during the contracted term of such leases. A tenant's ability to pay rent is determined by its creditworthiness, among other factors. If a tenant's credit deteriorates, the tenant may default on its obligations under our lease and may also become bankrupt. The bankruptcy or insolvency of our tenants or other failure to pay is likely to adversely affect the income produced by our real estate assets. If a tenant defaults, we may experience delays and incur substantial costs in enforcing our rights as landlord. If a tenant files for bankruptcy, we may not be able to evict the tenant solely because of such bankruptcy or failure to pay. A court, however, may authorize a tenant to reject and terminate its lease with us. In such a case, our claim against the tenant for unpaid, future rent would be subject to a statutory cap that might be substantially less than the remaining rent owed under the lease. In addition, certain amounts paid to us within 90 days prior to the tenant's bankruptcy filing could be required to be returned to the tenant's bankruptcy estate. In any event, it is highly unlikely that a bankrupt or insolvent tenant would pay in full amounts it owes us under a lease that it intends to reject. In other circumstances, where a tenant's financial condition has become impaired, we may agree to partially or wholly terminate the lease in advance of the termination date in consideration for a lease termination fee that is likely less than the total contractual rental amount. Without regard to the manner in which the lease termination occurs, we are likely to incur additional costs in the form of tenant improvements and leasing commissions in our efforts to lease the space to a new tenant. In any of the foregoing circumstances, our financial performance could be materially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our asset concentration.</w:t>
      </w:r>
    </w:p>
    <w:p>
      <w:pPr>
        <w:spacing w:after="0" w:line="18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portfolio consists primarily of real estate and commercial real estate loans which are generally diversified by asset type, obligor, property type and geographic location. However, as of December 31, 2014, approximately 27% of the carrying value of our assets related to office properties, 22% related to land, 13% related to mixed use/mixed collateral properties and 11% related to entertainment/leisure properties. All of these property types have been adversely affected by the previous economic recession. In addition, as of December 31, 2014, approximately 26% of the carrying value of our assets related to properties located in the northeastern U.S. (including 14% in New York), 19% related to properties located in the western U.S. (including 15% in California), 15% related to properties located in the mid-Atlantic U.S., 15% related to properties located in the southeastern region of the U.S.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13% related to properties located in the southwestern U.S. These regions include areas that were particularly hard hit by the prior downturn in the residential real estate markets. In addition, we have $25.5 million of European assets, which are subject to increased risks due to the economic uncertainty in the Eurozone. We may suffer additional losses on our assets due to these concentrations.</w:t>
      </w:r>
    </w:p>
    <w:p>
      <w:pPr>
        <w:spacing w:after="0" w:line="13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underwrite the credit of prospective borrowers and tenants and often require them to provide some form of credit support such as corporate guarantees, letters of credit and/or cash security deposits. Although our loans and real estate assets are geographically diverse and the borrowers and tenants operate in a variety of industries, to the extent we have a significant concentration of interest or operating lease revenues from any single borrower or customer, the inability of that borrower or tenant to make its payment could have an adverse effect on us. As of December 31, 2014, our five largest borrowers or tenants of net lease assets collectively accounted for approximately 21% of our 2014 revenues, of which no single customer accounts for more than 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expirations, lease defaults and lease terminations may adversely affect our revenue.</w:t>
      </w:r>
    </w:p>
    <w:p>
      <w:pPr>
        <w:spacing w:after="0" w:line="18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Lease expirations and lease terminations may result in reduced revenues if the lease payments received from replacement tenants are less than the lease payments received from the expiring or terminating corporate tenants. In addition, lease defaults or lease terminations by one or more significant tenants or the failure of tenants under expiring leases to elect to renew their leases could cause us to experience long periods of vacancy with no revenue from a facility and to incur substantial capital expenditures and/or lease concessions in order to obtain replacement tenants. Leases representing approximately 22.5% of our in-place operating lease income are scheduled to expire during the next five years.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compete with a variety of financing and leasing sources for our customers.</w:t>
      </w:r>
    </w:p>
    <w:p>
      <w:pPr>
        <w:spacing w:after="0" w:line="18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financial services industry and commercial real estate markets are highly competitive. Our competitors include finance companies, other REITs, commercial banks and thrift institutions, investment banks and hedge funds. Our competitors seek to compete aggressively on the basis of a number of factors including transaction pricing, terms and structure. We may have difficulty competing to the extent we are unwilling to match our competitors' deal terms in order to maintain our interest margins and/or credit standards. To the extent that we match competitors' pricing, terms or structure, we may experience decreased interest margins and/or increased risk of credit losses, which could have an adverse effect on our financial performance.</w:t>
      </w:r>
    </w:p>
    <w:p>
      <w:pPr>
        <w:spacing w:after="0" w:line="14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face significant competition within our net leasing business from other owners, operators and developers of properties, many of which own properties similar to ours in markets where we operate. Such competition may affect our ability to attract and retain tenants and reduce the rents we are able to charge. These competing properties may have vacancy rates higher than our properties, which may result in their owners offering lower rental rates than we would or providing greater tenant improvement allowances or other leasing concessions. This combination of circumstances could adversely affect our revenues and financial performance.</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risks associated with investing in real estate, including potential liabilities under environmental laws and risks of loss from weather conditions, man-made or natural disasters, climate change and terrorism.</w:t>
      </w:r>
    </w:p>
    <w:p>
      <w:pPr>
        <w:spacing w:after="0" w:line="118"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Under various 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personal injuries associated with asbestos-containing materials. While a secured lender is not likely to be subject to these forms of environmental liability, when we foreclose on real property, we become an owner and are subject to the risks of environmental liability. Additionally, under our net lease assets we require our tenants to undertake the obligation for environmental compliance and indemnify us from liability with respect thereto. There can be no assurance that our tenants will have sufficient resources to satisfy their obligations to us.</w:t>
      </w:r>
    </w:p>
    <w:p>
      <w:pPr>
        <w:spacing w:after="0" w:line="15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Weather conditions and man-made or natural disasters such as hurricanes, tornadoes, earthquakes, floods, droughts, fires and other environmental conditions can damage properties we own. As of December 31, 2014, approximately 22% of the carrying value of our assets was located in the western and northwestern U.S., geographic areas at higher risk for earthquakes. Additionally, we own properties located near the coastline and the value of our properties will potentially be subject to the risks associated with long-term effects of climate change. A significant number of our properties are located in major urban areas which, in recent years,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have been high risk geographical areas for terrorism and threats of terrorism. Certain forms of terrorism including, but not limited to, nuclear, biological and chemical terrorism, political risks, environmental hazards and/or Acts of God may be deemed to fall completely outside the general coverage limits of our insurance policies or may be uninsurable or cost prohibitive to justify insuring against. Furthermore, if the U.S. Terrorism Risk Insurance Program Reauthorization Act is repealed or not extended or renewed upon its expiration, the cost for terrorism insurance coverage may increase and/or the terms, conditions, exclusions, retentions, limits and sublimits of such insurance may be materially amended, and may effectively decrease the scope and availability of such insurance to the point where it is effectively unavailable. Future weather conditions, man-made or natural disasters, effects of climate change or acts of terrorism could adversely impact the demand for, and value of, our assets and could also directly impact the value of our assets through damage, destruction or loss, and could thereafter materially impact the availability or cost of insurance to protect against these events. Although we believe our owned real estate and the properties collateralizing our loan assets are adequately covered by insurance, we cannot predict at this time if we or our borrowers will be able to obtain appropriate coverage at a reasonable cost in the future, or if we will be able to continue to pass along all of the costs of insurance to our tenants. Any weather conditions, man-made or natural disasters, terrorist attack or effect of climate change, whether or not insured, could have a material adverse effect on our financial performance, the market price of our Common Stock and our ability to pay dividends. In addition, there is a risk that one or more of our property insurers may not be able to fulfill their obligations with respect to claims payments due to a deterioration in its financial condition.</w:t>
      </w:r>
    </w:p>
    <w:p>
      <w:pPr>
        <w:spacing w:after="0" w:line="1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make investments in companies over which we do not have sole control. Some of these companies operate in industries that differ from our current operations, with different risks than investing in real estate.</w:t>
      </w:r>
    </w:p>
    <w:p>
      <w:pPr>
        <w:spacing w:after="0" w:line="11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From time to time we make debt or equity investments in other companies that we may not control or over which we may not have sole control. Although these businesses generally have a significant real estate component, some of them operate in businesses that are different from our primary business segments. Consequently, investments in these businesses, among other risks, subject us to the operating and financial risks of industries other than real estate and to the risk that we do not have sole control over the operations of these businesses.</w:t>
      </w:r>
    </w:p>
    <w:p>
      <w:pPr>
        <w:spacing w:after="0" w:line="14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From time to time we may make additional investments in or acquire other entities that may subject us to similar risks. Investments in entities over which we do not have sole control, including joint ventures, present additional risks such as having differing objectives than our partners or the entities in which we invest, or becoming involved in disputes, or competing with those persons. In addition, we rely on the internal controls and financial reporting controls of these entities and their failure to maintain effectiveness or comply with applicable standards may adversely affect 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Declines in the market values of our equity investments may adversely affect periodic reported results.</w:t>
      </w:r>
    </w:p>
    <w:p>
      <w:pPr>
        <w:spacing w:after="0" w:line="18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Most of our equity investments are in funds or companies that are not publicly traded and their fair value may not be readily determinable. We may periodically estimate the fair value of these investments, based upon available information and management's judgment. Because such valuations are inherently uncertain, they may fluctuate over short periods of time. In addition, our determinations regarding the fair value of these investments may be materially higher than the values that we ultimately realize upon their disposal, which could result in losses that have a material adverse effect on our financial performance, the market price of our common stock and our ability to pay dividends.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 may fluctuate and may not be indicative of future quarterly performance.</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quarterly operating results could fluctuate; therefore, reliance should not be placed on past quarterly results as indicative of our performance in future quarters. Factors that could cause quarterly operating results to fluctuate include, among others, variations in loan and real estate portfolio performance, levels of non-performing assets and related provisions, market values of investments, costs associated with debt, general economic conditions, the state of the real estate and financial markets and the degree to which we encounter competition in our markets.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retain and attract key personnel is critical to our success.</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success depends on our ability to retain our senior management and the other key members of our management team and recruit additional qualified personnel. We rely in part on equity compensation to retain and incentivize our personnel. In addition, if members of our management join competitors or form competing companies, the competition could have a material adverse effect on our business. Efforts to retain or attract professionals may result in additional compensation expense, which could affect our financial performance.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highly dependent on information systems, and systems failures or security breaches could significantly disrupt our business.</w:t>
      </w:r>
    </w:p>
    <w:p>
      <w:pPr>
        <w:spacing w:after="0" w:line="189"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Our business is highly dependent on communications, information, financial and operational systems. Any failure or interruption of our systems, including as a result of a security breach could cause delays or other problems in our business activities, which could have a material adverse effect on our operations and financial performance.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change certain of our policies without stockholder approval.</w:t>
      </w:r>
    </w:p>
    <w:p>
      <w:pPr>
        <w:spacing w:after="0" w:line="18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charter does not set forth specific percentages of the types of investments we may make. We can amend, revise or eliminate our investment financing and conflict of interest policies at any time at our discretion without a vote of our shareholders. A change in these policies could adversely affect our financial condition or results of operations or the market price of our common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may inhibit a change in control.</w:t>
      </w:r>
    </w:p>
    <w:p>
      <w:pPr>
        <w:spacing w:after="0" w:line="189"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8"/>
          <w:szCs w:val="18"/>
          <w:color w:val="auto"/>
        </w:rPr>
        <w:t>Generally, to maintain our qualification as a REIT under the Code, not more than 50% in value of our outstanding shares of stock may be owned, directly or indirectly, by five or fewer individuals at any time during the last half of our taxable year. The Code defines "individuals" for purposes of the requirement described in the preceding sentence to include some types of entities. Under our charter, no person may own more than 9.8% of our outstanding shares of stock, with some exceptions. The restrictions on transferability and ownership may delay, deter or prevent a change in control or other transaction that might involve a premium price or otherwise be in the best interest of the security holders.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would be subject to adverse consequences if we fail to qualify as a REIT.</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believe that we have been organized and operated in a manner so as to qualify for taxation as a REIT for U.S. federal income tax purposes commencing with our taxable year ended December 31, 1998. However, our qualification as a REIT has depended and will continue to depend on our ability to meet various requirements concerning, among other things, the ownership of our outstanding stock, the nature of our assets, the sources of our income and the amount of our distributions to our shareholders.</w:t>
      </w:r>
    </w:p>
    <w:p>
      <w:pPr>
        <w:spacing w:after="0" w:line="14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If we were to fail to qualify as a REIT for any taxable year, we would not be allowed a deduction for distributions to our shareholders in computing our net taxable income and would be subject to U.S. federal income tax, including any applicable alternative minimum tax, or "AMT," on our net taxable income at regular corporate rates, as well as applicable state and local taxes. Unless entitled to relief under certain Code provisions, we would also be disqualified from treatment as a REIT for the four subsequent taxable years following the year during which our REIT qualification was lost. In that case, we may need to borrow money or sell assets to pay taxes. As a result, cash available for distribution would be reduced for each of the years involved. Furthermore, it is possible that future economic, market, legal, tax or other considerations may cause our REIT qualification to be revoked.</w:t>
      </w:r>
    </w:p>
    <w:p>
      <w:pPr>
        <w:spacing w:after="0" w:line="14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Secured Credit Facilities (see Item 8—"Financial Statements and Supplemental Data—Note 8") prohibit us from paying dividends on our common stock if we no longer qualify as a REIT.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qualify as a REIT, we may be forced to borrow funds, sell assets or take other actions during unfavorable market conditions.</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To qualify as a REIT, we generally must distribute to our shareholders at least 90% of our net taxable income, excluding net capital gains each year, and we will be subject to U.S. federal income tax, as well as applicable state and local taxes, to the extent that we distribute less than 100% of our net taxable income each year. In addition, we will be subject to a 4% nondeductible excise tax on the amount, if any, by which distributions paid by us in any calendar year are less than the sum of 85% of our ordinary income, 95% of our capital gain net income and 100% of our undistributed income from prior years.</w:t>
      </w:r>
    </w:p>
    <w:p>
      <w:pPr>
        <w:spacing w:after="0" w:line="14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the event that principal, premium or interest payments with respect to a particular debt instrument that we hold are not made when due, we may nonetheless be required to continue to recognize the unpaid amounts as taxable income. In addition, we may be allocated taxable income in excess of cash flow received from some of our partnership investments. Due to these and other potential timing differences between income recognition or expense deduction and cash receipts or disbursements, there is a significant risk that we may have substantial taxable income in excess of cash available for distribution. In order to qualify as a REIT and avoid the payment of income and excise taxes, we may need to borrow funds or take other actions to meet our REIT distribution requirements for the taxable year in which the "phantom income" is recognized.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the REIT requirements may cause us to forego and/or liquidate otherwise attractive investments.</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order to meet the income, asset and distribution tests under the REIT rules, we may be required to take or forego certain actions. For instance, we may not be able to make certain investments and we may have to liquidate other investments. In addition, we may be required to make distributions to shareholders at disadvantageous times or when we do not have funds readily available for distribution. These actions could have the effect of reducing our income and amounts available for distribution to our shareholders.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business activities may potentially be subject to the prohibited transaction tax, which could reduce the return on your investment.</w:t>
      </w:r>
    </w:p>
    <w:p>
      <w:pPr>
        <w:spacing w:after="0" w:line="18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For so long as we qualify as a REIT, our ability to dispose of certain properties may be restricted under the REIT rules, which generally impose a 100% penalty tax on any gain recognized on "prohibited transactions," which refers to the disposition of property that is deemed to be inventory or held primarily for sale to customers in the ordinary course of our business, subject to certain exceptions. Whether property is inventory or otherwise held primarily for sale depends on the particular facts and circumstances. The Internal Revenue Code provides a safe harbor that, if met, allows a REIT to avoid being treated as engaged in a prohibited transaction. No assurance can be given that any property that we sell will not be treated as property held for sale to customers, or that we can comply with the safe harbor. The 100% tax does not apply to gains from the sale of foreclosure property or to property that is held through a taxable REIT subsidiary or other taxable corporation, although such income will be subject to tax in the hands of the corporation at regular corporate rates. We intend to structure our activities to avoid prohibited transaction characterization.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activities, including our use of taxable REIT subsidiaries, are subject to taxes that could reduce our cash flows.</w:t>
      </w:r>
    </w:p>
    <w:p>
      <w:pPr>
        <w:spacing w:after="0" w:line="18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Even if we qualify as a REIT for U.S. federal income tax purposes, we will be required to pay some U.S. federal, state, local and non-U.S. taxes on our income and property, including taxes on any undistributed income, taxes on income from certain activities conducted as a result of foreclosures, and property and transfer taxes. We would be required to pay taxes on net taxable income that we fail to distribute to our shareholders. In addition, we may be required to limit certain activities that generate non-qualifying REIT income, such as land development and sales of condominiums, and/or we may be required to conduct such activities through "taxable REIT subsidiaries," and we hold a significant amount of assets in our "taxable REIT subsidiaries," including assets that we have acquired through foreclosure, assets that may be treated as dealer property and other assets that could adversely affect our ability to qualify as a REIT if held directly by us. As a result, we will be required to pay income taxes on the taxable income generated by these assets. There are also limitations on the ability of taxable REIT subsidiaries to make interest payments to affiliated REITs. Furthermore, we will be subject to a 100% penalty tax to the extent our economic arrangements with our tenants or our taxable REIT subsidiaries are not comparable to similar arrangements among unrelated parties. We will also be subject to a 100% tax to the extent we derive income from the sale of assets to customers in the ordinary course of business other than through our taxable REIT subsidiaries. To the extent we or our taxable REIT subsidiaries are required to pay U.S. federal, state, local or non-U.S. taxes, we will have less cash available for distribution to our shareholders.</w:t>
      </w:r>
    </w:p>
    <w:p>
      <w:pPr>
        <w:spacing w:after="0" w:line="15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substantial net operating and net capital loss carry forwards which we use to offset our tax and distribution requirements. In the event that we experience an "ownership change" for purposes of Section 382 of the Internal Revenue Code of 1986, as amended, or the Internal Revenue Code, our ability to use these losses will be limited. An "ownership change" is determined based upon complex rules which track the changes in ownership that occur in our Common Stock for a trailing three year period. We have experienced volatility and significant trading in our Common Stock in recent years. The occurrence of an ownership change is generally beyond our control and, if triggered, may increase our tax and distribution obligations for which we may not have sufficient cash flow.</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comply with the limits on our ownership of and relationship with our taxable REIT subsidiaries would jeopardize our REIT qualification and may result in the application of a 100% excise tax.</w:t>
      </w:r>
    </w:p>
    <w:p>
      <w:pPr>
        <w:spacing w:after="0" w:line="11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No more than 25% of the value of a REIT's total assets may consist of stock or securities of one or more taxable REIT subsidiaries. This requirement limits the extent to which we can conduct activities through taxable REIT subsidiaries or expand the activities that we conduct through taxable REIT subsidiaries. The values of some of our assets, including assets that we hold through taxable REIT subsidiaries may not be subject to precise determination, and values are subject to change in the future. In addition, we hold certain mortgage and mezzanine loans to one or more of our taxable REIT subsidiaries that are secured by real property. We treat these loans as qualifying assets for purposes of the REIT asset tests to the extent that such mortgage loans are secured by real property and such mezzanine loans are secured by an interest in a limited liability company that holds real property, and pursuant to a private letter ruling we received from the IRS we do not treat such loans as subject to the limitation that securities from taxable REIT subsidiaries must constitute no more than 25% of our total assets. We are entitled to rely upon this private letter ruling only to the extent that we did not misstate or omit a material fact in the ruling request and that we continue to operate 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accordance with the material facts described in such request, and no assurance can be given that we will always be able to do so. To the extent that any loan was recharacterized as equity, it would increase the amount of non-real estate securities that we have in our taxable REIT subsidiaries and could adversely affect our ability to meet the 25% limitation described above. If we were not able to exclude such loans to our taxable REIT subsidiaries from the 25% limitation described above, our ability to meet the REIT asset tests and other REIT requirements could be adversely affected. Accordingly, there can be no assurance that we have met or will be able to continue to comply with the taxable REIT subsidiary 25% limitation.</w:t>
      </w:r>
    </w:p>
    <w:p>
      <w:pPr>
        <w:spacing w:after="0" w:line="14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we may from time to time need to make distributions from a taxable REIT subsidiary in order to keep the value of our taxable REIT subsidiaries below 25% of our total assets. However, taxable REIT subsidiary dividends will generally not constitute qualifying income for purposes of the 75% REIT gross income test. While we will monitor our compliance with both this income test and the limitation on the percentage of our total assets represented by taxable REIT subsidiary securities, and intend to conduct our affairs so as to comply with both, the two may at times be in conflict with one another. For example, it is possible that we may wish to distribute a dividend from a taxable REIT subsidiary in order to reduce the value of our taxable REIT subsidiaries below 25% of our assets, but we may be unable to do so without violating the 75% REIT gross income test.</w:t>
      </w:r>
    </w:p>
    <w:p>
      <w:pPr>
        <w:spacing w:after="0" w:line="14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Although there are other measures we can take in such circumstances in order to remain in compliance with the requirements for REIT qualification, there can be no assurance that we will be able to comply with both of these tests in all market conditions.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 payable by REITs do not qualify for the reduced tax rates on dividend income from regular corporations, which could adversely affect the value of our Common Stock.</w:t>
      </w:r>
    </w:p>
    <w:p>
      <w:pPr>
        <w:spacing w:after="0" w:line="11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maximum U.S. federal income tax rate for certain qualified dividends payable to U.S. shareholders that are individuals, trusts and estates is 20%. Dividends payable by REITs, however, are generally not eligible for the reduced rates and therefore may be subject to a 39.6% maximum U.S. federal income tax rate on ordinary income when paid to such shareholders. Although the reduced U.S. federal income tax rate applicable to dividend income from regular corporate dividends does not adversely affect the taxation of REITs or dividends paid by REITs, the more favorable rates applicable to regular corporate dividends could cause investors who are individuals, trusts and estates to perceive investments in REITs to be relatively less attractive than investments in the stocks of non-REIT corporations that pay dividends, which could adversely affect the value of the shares of REITs, including our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tax changes related to REITs could materially and adversely affect our business.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At any time, the U.S. federal income tax laws or regulations governing REITs or the administrative interpretations of those laws or regulations may be changed, possibly with retroactive effect. We cannot predict if or when any new U.S. federal income tax law, regulation or administrative interpretation, or any amendment to any existing U.S. federal income tax law, regulation or administrative interpretation, will be adopted, promulgated or become effective or whether any such law, regulation or interpretation may take effect retroactively. We and our shareholders could be adversely affected by any such change in, or any new, U.S. federal income tax law, regulation or administrative interpretation.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 Company Act exemption limits our investment discretion and loss of the exemption would adversely affect us.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believe that we currently are not, and we intend to operate our company so that we will not be, regulated as an investment company under the Investment Company Act because we are "primarily engaged in the business of purchasing or otherwise acquiring mortgages and other liens on and interest in real estate." Specifically, we are required to invest at least 55% of our assets in "qualifying real estate assets" (that is, real estate, mortgage loans and other qualifying interests in real estate), and at least an additional 25% of our assets in other "real estate-related assets," such as mezzanine loans and unsecured investments in real estate entities, or additional qualifying real estate assets.</w:t>
      </w:r>
    </w:p>
    <w:p>
      <w:pPr>
        <w:spacing w:after="0" w:line="14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will need to monitor our assets to ensure that we continue to satisfy the percentage tests. Maintaining our exemption from regulation as an investment company under the Investment Company Act limits our ability to invest in assets that otherwise would meet our investment strategies. If we fail to qualify for this exemption, we could not operate our business efficiently under the regulatory scheme imposed on investment companies under the Investment Company Act, and we could be required to restructure our activities. This would have a material adverse effect on our financial performance and the market price of our securities.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the U.S. government, including the U.S. Congress, Federal Reserve, U.S. Treasury and other governmental and regulatory bodies, to stabilize or reform the financial markets, or market responses to those actions, may not achieve the intended effect and may adversely affect our business.</w:t>
      </w:r>
    </w:p>
    <w:p>
      <w:pPr>
        <w:spacing w:after="0" w:line="11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Obama Administration, Congress and regulators have increased their focus on the regulation of the financial industry. New or modified regulations and related regulatory guidance, including under the Dodd-Frank Wall Street Reform Act, or the Dodd-Frank Act, may have unforeseen or unintended adverse effects on the financial industry. Laws, regulations or policies, including accounting standards and interpretations, currently affecting us may change at any time. Regulatory authorities may also change their interpretation of these statutes and regulations. Therefore, our business may also be adversely affected by future changes in laws, regulations, policies or interpretations or regulatory approaches to compliance and enforcement.</w:t>
      </w:r>
    </w:p>
    <w:p>
      <w:pPr>
        <w:spacing w:after="0" w:line="14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addition to the enactment of the Dodd-Frank Act, various legislative bodies have also considered altering the existing framework governing creditors' rights and mortgage products including legislation that would result in or allow loan modifications of various sorts. Such legislation may change the operating environment in substantial and unpredictable ways. We cannot predict whether new legislation will be enacted, and if enacted, the effect that it or any regulations would have on our activities, financial condition, or results of operations.</w:t>
      </w:r>
    </w:p>
    <w:p>
      <w:pPr>
        <w:spacing w:after="0" w:line="2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Company's principal executive and administrative offices are located at 1114 Avenue of the Americas, New York, NY 10036. Its telephone number and web address are (212) 930-9400 and </w:t>
      </w:r>
      <w:r>
        <w:rPr>
          <w:rFonts w:ascii="Times New Roman" w:cs="Times New Roman" w:eastAsia="Times New Roman" w:hAnsi="Times New Roman"/>
          <w:sz w:val="18"/>
          <w:szCs w:val="18"/>
          <w:i w:val="1"/>
          <w:iCs w:val="1"/>
          <w:color w:val="auto"/>
        </w:rPr>
        <w:t>www.istarfinancial.com</w:t>
      </w:r>
      <w:r>
        <w:rPr>
          <w:rFonts w:ascii="Times New Roman" w:cs="Times New Roman" w:eastAsia="Times New Roman" w:hAnsi="Times New Roman"/>
          <w:sz w:val="18"/>
          <w:szCs w:val="18"/>
          <w:color w:val="auto"/>
        </w:rPr>
        <w:t>, respectively. The lease for the Company's principal executive and administrative offices expires in February 2021. The Company's principal regional offices are located in Atlanta, Georgia; Dallas, Texas; Hartford, Connecticut; San Francisco, California and two offices in the Los Angeles, California metropolitan area.</w:t>
      </w:r>
    </w:p>
    <w:p>
      <w:pPr>
        <w:spacing w:after="0" w:line="23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See Item 1—"Net Lease," "Operating Properties" and "Land" for a discussion of properties held by the Company for investment purposes and Item 8 —"Financial Statements and Supplemental Data—Schedule III," for a detailed listing of such facilities.</w:t>
      </w:r>
    </w:p>
    <w:p>
      <w:pPr>
        <w:spacing w:after="0" w:line="7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and/or one or more of its subsidiaries is party to various pending litigation matters that are considered ordinary routine litigation incidental to its business as a finance and investment company focused on the commercial real estate industry, including loan foreclosure and foreclosure-related proceedings. In addition to such matters, the Company is a party to the following legal proceedings: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Action</w:t>
      </w:r>
    </w:p>
    <w:p>
      <w:pPr>
        <w:spacing w:after="0" w:line="18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March 7, 2014, a shareholder action purporting to assert derivative, class and individual claims was filed in the Circuit Court for Baltimore City, Maryland naming the Company, a number of our current and former senior executives (including our chief executive officer) and current and former directors as defendants. The complaint sought unspecified damages and other relief and alleged breach of fiduciary duty, breach of contract and other causes of action arising out of shares of our common stock issued by the Company to our senior executives pursuant to restricted stock unit awards granted in December 2008 and modified in July 2011. On October 30, 2014, the Court granted the defendants’ Motions to Dismiss and plaintiffs’ claims against all of the defendants in this action were dismissed. Plaintiffs have filed a notice of appeal.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Home Corporation ("Lennar") v. Settlers Crossing, LLC, et al. (Civil Action No. DKC 08-1863)</w:t>
      </w:r>
    </w:p>
    <w:p>
      <w:pPr>
        <w:spacing w:after="0" w:line="18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On January 22, 2015, the United States District Court for the District of Maryland (the "Court") entered a judgment in favor of the Company in the matter of Lennar v. Settlers Crossing, LLC, et al. (Civil Action No. DKC 08-1863). The litigation involved a dispute over the purchase and sale of approximately 1,250 acres of land in Prince George’s County, Maryland. The Court found that the Company was entitled to specific performance and awarded damages to it in the aggregate amount of: (i) the remaining purchase price to be paid by Lennar of $114.0 million; plus (ii) interest on the unpaid amount at a rate of 12% per annum, calculated on a per diem basis, from May 27, 2008, until Lennar proceeds to settlement on the land; plus (iii) real estate taxes paid by the Company in the amount of approximately $1.6 million; plus (iv) actual and reasonable attorneys' fees and costs incurred by the Company in connection with the litigation. The Court ordered Lennar to proceed to settlement on the land and to pay the total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awarded to the Company within 30 days of the judgment. A third party is entitled to a 15% participation interest in all proceeds. Lennar has filed a notice of appeal of the Court’s judgment, orders and rulings in the action. There can be no assurance as to the timing or actual receipt by the Company of amounts awarded by the Court or to the outcome of any appeal.</w:t>
      </w:r>
    </w:p>
    <w:p>
      <w:pPr>
        <w:spacing w:after="0" w:line="25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Equity and Related Share Matters</w:t>
      </w:r>
    </w:p>
    <w:p>
      <w:pPr>
        <w:spacing w:after="0" w:line="2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Common Stock trades on the New York Stock Exchange ("NYSE") under the symbol "STAR." The high and low sales prices per share of Common Stock are set forth below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86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11.57</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10.20</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9.99</w:t>
            </w: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31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8.26</w:t>
            </w:r>
          </w:p>
        </w:tc>
      </w:tr>
    </w:tbl>
    <w:p>
      <w:pPr>
        <w:spacing w:after="0" w:line="14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 February 20, 2015, the closing sale price of the Common Stock as reported by the NYSE was $13.50 The Company had 2,094 holders of record of Common Stock as of February 20, 2015.</w:t>
      </w:r>
    </w:p>
    <w:p>
      <w:pPr>
        <w:spacing w:after="0" w:line="21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At December 31, 2014, the Company had six series of preferred stock outstanding: 8.000% Series D Preferred Stock, 7.875% Series E Preferred Stock, 7.8% Series F Preferred Stock, 7.65% Series G Preferred Stock, 7.50% Series I Preferred Stock and 4.50% Series J Preferred Stock. Each of the Series D, E, F, G and I preferred stock is listed on the NYSE. The Series J Preferred Stock is not listed on an exchange.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8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Board of Directors has not established any minimum distribution level. In order to maintain its qualification as a REIT, the Company intends to pay dividends to its shareholders that, on an annual basis, will represent at least 90% of its taxable income (which may not necessarily equal net income as calculated in accordance with GAAP), determined without regard to the deduction for dividends paid and excluding any net capital gains. The Company has recorded net operating losses and may record net operating losses in the future, which may reduce its taxable income in future periods and lower or eliminate entirely the Company's obligation to pay dividends for such periods in order to maintain its REIT qualification.</w:t>
      </w:r>
    </w:p>
    <w:p>
      <w:pPr>
        <w:spacing w:after="0" w:line="23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Holders of Common Stock, vested High Performance Units and certain unvested restricted stock units and common share equivalents will be entitled to receive distributions if, as and when the Board of Directors authorizes and declares distributions. However, rights to distributions may be subordinated to the rights of holders of preferred stock, when preferred stock is issued and outstanding. In addition, the Company's Secured Credit Facilities (see Item 8 —"Financial Statements and Supplemental Data—Note 8") permit the Company to distribute 100% of its REIT taxable income on an annual basis for so long as the Company maintains its qualification as a REIT. The Secured Credit Facilities generally restrict the Company from paying any common dividends if it ceases to qualify as a REIT. In any liquidation, dissolution or winding up of the Company, each outstanding share of Common Stock and HPU share equivalent will entitle its holder to a proportionate share of the assets that remain after the Company pays its liabilities and any preferential distributions owed to preferred shareholders.</w:t>
      </w:r>
    </w:p>
    <w:p>
      <w:pPr>
        <w:spacing w:after="0" w:line="23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did not declare or pay dividends on its Common Stock for the years ended December 31, 2014 and 2013. The Company declared and paid dividends of $8.0 million, $11.0 million, $7.8 million, $6.1 million, and $9.4 million on its Series D, E, F, G, and I preferred stock, respectively, during each of the years ended December 31, 2014 and 2013. During the year ended December 31, 2014 and 2013, the Company also declared and paid dividends of $9.0 million and $6.7 million, respectively, on its Series J preferred stock, which was issued in March 2013. All of the dividends qualified as return of capital for tax reporting purposes. There are no dividend arrearages on any of the preferred shares currently outstanding.</w:t>
      </w:r>
    </w:p>
    <w:p>
      <w:pPr>
        <w:spacing w:after="0" w:line="23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Distributions to shareholders will generally be taxable as ordinary income, although all or a portion of such distributions may be designated by the Company as capital gain or may constitute a tax-free return of capital. The Company annually furnishes to each of its shareholders a statement setting forth the distributions paid during the preceding year and their characterization as ordinary income, capital gain or return of capital.</w:t>
      </w:r>
    </w:p>
    <w:p>
      <w:pPr>
        <w:sectPr>
          <w:pgSz w:w="11900" w:h="16838" w:orient="portrait"/>
          <w:cols w:equalWidth="0" w:num="1">
            <w:col w:w="11420"/>
          </w:cols>
          <w:pgMar w:left="240" w:top="118"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No assurance can be given as to the amounts or timing of future distributions, as such distributions are subject to the Company's taxable income after giving effect to its net operating loss carryforwards, financial condition, capital requirements, debt covenants, any change in the Company's intention to maintain its REIT qualification and such other factors as the Company's Board of Directors deems relevant. The Company may elect to satisfy some of its REIT distribution requirements, if any, through qualifying stock dividends.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Equity Compensation Plan Information</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28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3520" w:type="dxa"/>
            <w:vAlign w:val="bottom"/>
            <w:vMerge w:val="restart"/>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(a)</w:t>
            </w: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28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2500" w:type="dxa"/>
            <w:vAlign w:val="bottom"/>
            <w:vMerge w:val="continue"/>
          </w:tcPr>
          <w:p>
            <w:pPr>
              <w:spacing w:after="0"/>
              <w:rPr>
                <w:sz w:val="12"/>
                <w:szCs w:val="12"/>
                <w:color w:val="auto"/>
              </w:rPr>
            </w:pPr>
          </w:p>
        </w:tc>
        <w:tc>
          <w:tcPr>
            <w:tcW w:w="228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352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2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228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3520" w:type="dxa"/>
            <w:vAlign w:val="bottom"/>
          </w:tcPr>
          <w:p>
            <w:pPr>
              <w:jc w:val="center"/>
              <w:ind w:left="788"/>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2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8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9"/>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Plans Category</w:t>
            </w:r>
          </w:p>
        </w:tc>
        <w:tc>
          <w:tcPr>
            <w:tcW w:w="352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2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8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90"/>
        </w:trPr>
        <w:tc>
          <w:tcPr>
            <w:tcW w:w="2420" w:type="dxa"/>
            <w:vAlign w:val="bottom"/>
            <w:vMerge w:val="continue"/>
          </w:tcPr>
          <w:p>
            <w:pPr>
              <w:spacing w:after="0"/>
              <w:rPr>
                <w:sz w:val="16"/>
                <w:szCs w:val="16"/>
                <w:color w:val="auto"/>
              </w:rPr>
            </w:pPr>
          </w:p>
        </w:tc>
        <w:tc>
          <w:tcPr>
            <w:tcW w:w="352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28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14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spacing w:after="0"/>
              <w:rPr>
                <w:sz w:val="19"/>
                <w:szCs w:val="19"/>
                <w:color w:val="auto"/>
              </w:rPr>
            </w:pPr>
          </w:p>
        </w:tc>
      </w:tr>
      <w:tr>
        <w:trPr>
          <w:trHeight w:val="216"/>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security holders-restricted stock awards(1)</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41"/>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598,387</w:t>
            </w: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gridSpan w:val="2"/>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N/A</w:t>
            </w:r>
          </w:p>
        </w:tc>
        <w:tc>
          <w:tcPr>
            <w:tcW w:w="2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4,039,384</w:t>
            </w:r>
          </w:p>
        </w:tc>
      </w:tr>
      <w:tr>
        <w:trPr>
          <w:trHeight w:val="317"/>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Explanatory Note:</w:t>
            </w: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jc w:val="both"/>
        <w:ind w:left="420" w:hanging="412"/>
        <w:spacing w:after="0" w:line="244" w:lineRule="auto"/>
        <w:tabs>
          <w:tab w:leader="none" w:pos="4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Stock—The amount shown in column (a) includes 319,916 unvested restricted stock units which may vest in the future based on the employees' continued service to the Company. None of these unvested units are included in the Company's outstanding share balance (see Item 8—"Financial Statements and Supplemental Data—Note 12" for a more detailed description of the Company's restricted stock grants). Substantially all of the restricted stock units included in column (a) are required to be settled on a net, after-tax basis (after deducting shares for minimum required statutory withholdings); therefore, the actual number of shares issued will be less than the gross amount of the awards. The amounts shown in column (a) also includes 278,471 of common stock equivalents and restricted stock awarded to our non-employee directors in consideration of their service to the Company as directors. Common stock equivalents represent rights to receive shares of Common Stock at the date the common stock equivalents are settled. Common stock equivalents have dividend equivalent rights beginning on the date of grant. The amount in column (c) represents the aggregate amount of stock options, shares of restricted stock awards or other performance awards that could be granted under compensation plans approved by the Company's security holders after giving effect to previously issued awards of stock options, shares of restricted stock and other performance awards (see Item 8 —"Financial Statements and Supplemental Data—Note 12" for a more detailed description of the Company's Long-Term Incentive Plans).</w:t>
      </w:r>
    </w:p>
    <w:p>
      <w:pPr>
        <w:spacing w:after="0" w:line="1" w:lineRule="exact"/>
        <w:rPr>
          <w:rFonts w:ascii="Times New Roman" w:cs="Times New Roman" w:eastAsia="Times New Roman" w:hAnsi="Times New Roman"/>
          <w:sz w:val="14"/>
          <w:szCs w:val="14"/>
          <w:color w:val="auto"/>
        </w:rPr>
      </w:pPr>
    </w:p>
    <w:p>
      <w:pPr>
        <w:jc w:val="both"/>
        <w:ind w:left="420" w:hanging="412"/>
        <w:spacing w:after="0" w:line="250" w:lineRule="auto"/>
        <w:tabs>
          <w:tab w:leader="none" w:pos="4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shown in column (a) does not include a currently indeterminable number of shares that may be issued upon the satisfaction of performance and vesting conditions of awards made under the Company's 2013 Performance Incentive Plan ("iPIP") approved by shareholders. In no event may the number of shares issued exceed the amount available in column (c) unless shareholders authorize additional shares (see Item 8—"Financial Statements and Supplemental Data—Note 12" for a more detailed description of iPIP.)</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Selected Financial Data</w:t>
      </w:r>
    </w:p>
    <w:p>
      <w:pPr>
        <w:spacing w:after="0" w:line="283"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financial data on a consolidated historical basis for the Company. This information should be read in conjunction with the discussions set forth in Item 7—"Management's Discussion and Analysis of Financial Condition and Results of Operations."</w:t>
      </w:r>
    </w:p>
    <w:p>
      <w:pPr>
        <w:spacing w:after="0" w:line="200" w:lineRule="exact"/>
        <w:rPr>
          <w:sz w:val="20"/>
          <w:szCs w:val="20"/>
          <w:color w:val="auto"/>
        </w:rPr>
      </w:pP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4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2010</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4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 and ratios)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DATA:</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income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243,100</w:t>
            </w:r>
          </w:p>
        </w:tc>
        <w:tc>
          <w:tcPr>
            <w:tcW w:w="120" w:type="dxa"/>
            <w:vAlign w:val="bottom"/>
          </w:tcPr>
          <w:p>
            <w:pPr>
              <w:spacing w:after="0"/>
              <w:rPr>
                <w:sz w:val="23"/>
                <w:szCs w:val="23"/>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234,567</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216,291</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195,872</w:t>
            </w:r>
          </w:p>
        </w:tc>
        <w:tc>
          <w:tcPr>
            <w:tcW w:w="120" w:type="dxa"/>
            <w:vAlign w:val="bottom"/>
          </w:tcPr>
          <w:p>
            <w:pPr>
              <w:spacing w:after="0"/>
              <w:rPr>
                <w:sz w:val="23"/>
                <w:szCs w:val="23"/>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183,443</w:t>
            </w:r>
          </w:p>
        </w:tc>
        <w:tc>
          <w:tcPr>
            <w:tcW w:w="0" w:type="dxa"/>
            <w:vAlign w:val="bottom"/>
          </w:tcPr>
          <w:p>
            <w:pPr>
              <w:spacing w:after="0"/>
              <w:rPr>
                <w:sz w:val="1"/>
                <w:szCs w:val="1"/>
                <w:color w:val="auto"/>
              </w:rPr>
            </w:pPr>
          </w:p>
        </w:tc>
      </w:tr>
      <w:tr>
        <w:trPr>
          <w:trHeight w:val="27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122,704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108,015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133,410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226,871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364,094</w:t>
            </w:r>
          </w:p>
        </w:tc>
        <w:tc>
          <w:tcPr>
            <w:tcW w:w="0" w:type="dxa"/>
            <w:vAlign w:val="bottom"/>
          </w:tcPr>
          <w:p>
            <w:pPr>
              <w:spacing w:after="0"/>
              <w:rPr>
                <w:sz w:val="1"/>
                <w:szCs w:val="1"/>
                <w:color w:val="auto"/>
              </w:rPr>
            </w:pPr>
          </w:p>
        </w:tc>
      </w:tr>
      <w:tr>
        <w:trPr>
          <w:trHeight w:val="26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81,033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48,208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47,838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39,722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51,069</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sales revenue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15,191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Total revenue</w:t>
            </w: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462,028</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390,790</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397,539</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462,465</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598,606</w:t>
            </w:r>
          </w:p>
        </w:tc>
        <w:tc>
          <w:tcPr>
            <w:tcW w:w="0" w:type="dxa"/>
            <w:vAlign w:val="bottom"/>
          </w:tcPr>
          <w:p>
            <w:pPr>
              <w:spacing w:after="0"/>
              <w:rPr>
                <w:sz w:val="1"/>
                <w:szCs w:val="1"/>
                <w:color w:val="auto"/>
              </w:rPr>
            </w:pPr>
          </w:p>
        </w:tc>
      </w:tr>
      <w:tr>
        <w:trPr>
          <w:trHeight w:val="25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224,483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266,225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355,097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342,186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313,766</w:t>
            </w:r>
          </w:p>
        </w:tc>
        <w:tc>
          <w:tcPr>
            <w:tcW w:w="0" w:type="dxa"/>
            <w:vAlign w:val="bottom"/>
          </w:tcPr>
          <w:p>
            <w:pPr>
              <w:spacing w:after="0"/>
              <w:rPr>
                <w:sz w:val="1"/>
                <w:szCs w:val="1"/>
                <w:color w:val="auto"/>
              </w:rPr>
            </w:pPr>
          </w:p>
        </w:tc>
      </w:tr>
      <w:tr>
        <w:trPr>
          <w:trHeight w:val="26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expense</w:t>
            </w:r>
          </w:p>
        </w:tc>
        <w:tc>
          <w:tcPr>
            <w:tcW w:w="2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163,389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157,441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151,458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138,714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121,036</w:t>
            </w:r>
          </w:p>
        </w:tc>
        <w:tc>
          <w:tcPr>
            <w:tcW w:w="0" w:type="dxa"/>
            <w:vAlign w:val="bottom"/>
          </w:tcPr>
          <w:p>
            <w:pPr>
              <w:spacing w:after="0"/>
              <w:rPr>
                <w:sz w:val="1"/>
                <w:szCs w:val="1"/>
                <w:color w:val="auto"/>
              </w:rPr>
            </w:pPr>
          </w:p>
        </w:tc>
      </w:tr>
      <w:tr>
        <w:trPr>
          <w:trHeight w:val="27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cost of sales</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12,840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73,571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71,266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68,770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58,091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56,668</w:t>
            </w:r>
          </w:p>
        </w:tc>
        <w:tc>
          <w:tcPr>
            <w:tcW w:w="0" w:type="dxa"/>
            <w:vAlign w:val="bottom"/>
          </w:tcPr>
          <w:p>
            <w:pPr>
              <w:spacing w:after="0"/>
              <w:rPr>
                <w:sz w:val="1"/>
                <w:szCs w:val="1"/>
                <w:color w:val="auto"/>
              </w:rPr>
            </w:pPr>
          </w:p>
        </w:tc>
      </w:tr>
      <w:tr>
        <w:trPr>
          <w:trHeight w:val="27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88,806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92,114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80,856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105,039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109,526</w:t>
            </w:r>
          </w:p>
        </w:tc>
        <w:tc>
          <w:tcPr>
            <w:tcW w:w="0" w:type="dxa"/>
            <w:vAlign w:val="bottom"/>
          </w:tcPr>
          <w:p>
            <w:pPr>
              <w:spacing w:after="0"/>
              <w:rPr>
                <w:sz w:val="1"/>
                <w:szCs w:val="1"/>
                <w:color w:val="auto"/>
              </w:rPr>
            </w:pPr>
          </w:p>
        </w:tc>
      </w:tr>
      <w:tr>
        <w:trPr>
          <w:trHeight w:val="26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loan losses</w:t>
            </w:r>
          </w:p>
        </w:tc>
        <w:tc>
          <w:tcPr>
            <w:tcW w:w="28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81,740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46,412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331,487</w:t>
            </w:r>
          </w:p>
        </w:tc>
        <w:tc>
          <w:tcPr>
            <w:tcW w:w="0" w:type="dxa"/>
            <w:vAlign w:val="bottom"/>
          </w:tcPr>
          <w:p>
            <w:pPr>
              <w:spacing w:after="0"/>
              <w:rPr>
                <w:sz w:val="1"/>
                <w:szCs w:val="1"/>
                <w:color w:val="auto"/>
              </w:rPr>
            </w:pPr>
          </w:p>
        </w:tc>
      </w:tr>
      <w:tr>
        <w:trPr>
          <w:trHeight w:val="27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assets</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34,634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12,589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13,778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13,239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12,809</w:t>
            </w:r>
          </w:p>
        </w:tc>
        <w:tc>
          <w:tcPr>
            <w:tcW w:w="0" w:type="dxa"/>
            <w:vAlign w:val="bottom"/>
          </w:tcPr>
          <w:p>
            <w:pPr>
              <w:spacing w:after="0"/>
              <w:rPr>
                <w:sz w:val="1"/>
                <w:szCs w:val="1"/>
                <w:color w:val="auto"/>
              </w:rPr>
            </w:pPr>
          </w:p>
        </w:tc>
      </w:tr>
      <w:tr>
        <w:trPr>
          <w:trHeight w:val="265"/>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5,821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8,050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17,266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11,070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16,055</w:t>
            </w:r>
          </w:p>
        </w:tc>
        <w:tc>
          <w:tcPr>
            <w:tcW w:w="0" w:type="dxa"/>
            <w:vAlign w:val="bottom"/>
          </w:tcPr>
          <w:p>
            <w:pPr>
              <w:spacing w:after="0"/>
              <w:rPr>
                <w:sz w:val="1"/>
                <w:szCs w:val="1"/>
                <w:color w:val="auto"/>
              </w:rPr>
            </w:pPr>
          </w:p>
        </w:tc>
      </w:tr>
      <w:tr>
        <w:trPr>
          <w:trHeight w:val="255"/>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costs and expenses</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601,830</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613,174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768,965</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714,751</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961,347</w:t>
            </w:r>
          </w:p>
        </w:tc>
        <w:tc>
          <w:tcPr>
            <w:tcW w:w="0" w:type="dxa"/>
            <w:vAlign w:val="bottom"/>
          </w:tcPr>
          <w:p>
            <w:pPr>
              <w:spacing w:after="0"/>
              <w:rPr>
                <w:sz w:val="1"/>
                <w:szCs w:val="1"/>
                <w:color w:val="auto"/>
              </w:rPr>
            </w:pPr>
          </w:p>
        </w:tc>
      </w:tr>
      <w:tr>
        <w:trPr>
          <w:trHeight w:val="133"/>
        </w:trPr>
        <w:tc>
          <w:tcPr>
            <w:tcW w:w="464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Income (loss) before earnings from equity method investments and other</w:t>
            </w:r>
          </w:p>
        </w:tc>
        <w:tc>
          <w:tcPr>
            <w:tcW w:w="280" w:type="dxa"/>
            <w:vAlign w:val="bottom"/>
          </w:tcPr>
          <w:p>
            <w:pPr>
              <w:spacing w:after="0"/>
              <w:rPr>
                <w:sz w:val="11"/>
                <w:szCs w:val="11"/>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(139,802)</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(222,384)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(371,426)</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(252,286)</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(362,741)</w:t>
            </w:r>
          </w:p>
        </w:tc>
        <w:tc>
          <w:tcPr>
            <w:tcW w:w="0" w:type="dxa"/>
            <w:vAlign w:val="bottom"/>
          </w:tcPr>
          <w:p>
            <w:pPr>
              <w:spacing w:after="0"/>
              <w:rPr>
                <w:sz w:val="1"/>
                <w:szCs w:val="1"/>
                <w:color w:val="auto"/>
              </w:rPr>
            </w:pPr>
          </w:p>
        </w:tc>
      </w:tr>
      <w:tr>
        <w:trPr>
          <w:trHeight w:val="193"/>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items</w:t>
            </w: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Gain (loss) on early extinguishment of debt, net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(25,369)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(33,190)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(37,816)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101,466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108,923</w:t>
            </w:r>
          </w:p>
        </w:tc>
        <w:tc>
          <w:tcPr>
            <w:tcW w:w="0" w:type="dxa"/>
            <w:vAlign w:val="bottom"/>
          </w:tcPr>
          <w:p>
            <w:pPr>
              <w:spacing w:after="0"/>
              <w:rPr>
                <w:sz w:val="1"/>
                <w:szCs w:val="1"/>
                <w:color w:val="auto"/>
              </w:rPr>
            </w:pPr>
          </w:p>
        </w:tc>
      </w:tr>
      <w:tr>
        <w:trPr>
          <w:trHeight w:val="265"/>
        </w:trPr>
        <w:tc>
          <w:tcPr>
            <w:tcW w:w="4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Earnings from equity method investments</w:t>
            </w:r>
          </w:p>
        </w:tc>
        <w:tc>
          <w:tcPr>
            <w:tcW w:w="2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94,905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41,520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103,009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95,091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51,908</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Loss on transfer of interest to unconsolidated subsidiary</w:t>
            </w:r>
          </w:p>
        </w:tc>
        <w:tc>
          <w:tcPr>
            <w:tcW w:w="2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(7,373)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 before income taxes</w:t>
            </w: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(70,266)</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(221,427)</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(306,233)</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(55,729)</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(201,910)</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(3,912)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(8,445)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4,719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(7,023)</w:t>
            </w: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28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(74,178)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(220,768)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(314,678)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(208,933)</w:t>
            </w:r>
          </w:p>
        </w:tc>
        <w:tc>
          <w:tcPr>
            <w:tcW w:w="0" w:type="dxa"/>
            <w:vAlign w:val="bottom"/>
          </w:tcPr>
          <w:p>
            <w:pPr>
              <w:spacing w:after="0"/>
              <w:rPr>
                <w:sz w:val="1"/>
                <w:szCs w:val="1"/>
                <w:color w:val="auto"/>
              </w:rPr>
            </w:pPr>
          </w:p>
        </w:tc>
      </w:tr>
      <w:tr>
        <w:trPr>
          <w:trHeight w:val="275"/>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Income (loss) from discontinued operations</w:t>
            </w:r>
          </w:p>
        </w:tc>
        <w:tc>
          <w:tcPr>
            <w:tcW w:w="2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(17,481)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18,757</w:t>
            </w:r>
          </w:p>
        </w:tc>
        <w:tc>
          <w:tcPr>
            <w:tcW w:w="0" w:type="dxa"/>
            <w:vAlign w:val="bottom"/>
          </w:tcPr>
          <w:p>
            <w:pPr>
              <w:spacing w:after="0"/>
              <w:rPr>
                <w:sz w:val="1"/>
                <w:szCs w:val="1"/>
                <w:color w:val="auto"/>
              </w:rPr>
            </w:pPr>
          </w:p>
        </w:tc>
      </w:tr>
      <w:tr>
        <w:trPr>
          <w:trHeight w:val="265"/>
        </w:trPr>
        <w:tc>
          <w:tcPr>
            <w:tcW w:w="4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 from discontinued operations</w:t>
            </w:r>
          </w:p>
        </w:tc>
        <w:tc>
          <w:tcPr>
            <w:tcW w:w="28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22,233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27,257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25,110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270,382</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Income from sales of real estate</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89,943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86,658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63,472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5,721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15,765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(241,430)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80,206</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3,629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iStar Financial Inc.</w:t>
            </w:r>
          </w:p>
        </w:tc>
        <w:tc>
          <w:tcPr>
            <w:tcW w:w="28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16,469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(111,951)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(239,930)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79,683</w:t>
            </w:r>
          </w:p>
        </w:tc>
        <w:tc>
          <w:tcPr>
            <w:tcW w:w="0" w:type="dxa"/>
            <w:vAlign w:val="bottom"/>
          </w:tcPr>
          <w:p>
            <w:pPr>
              <w:spacing w:after="0"/>
              <w:rPr>
                <w:sz w:val="1"/>
                <w:szCs w:val="1"/>
                <w:color w:val="auto"/>
              </w:rPr>
            </w:pPr>
          </w:p>
        </w:tc>
      </w:tr>
      <w:tr>
        <w:trPr>
          <w:trHeight w:val="275"/>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Preferred dividends</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(51,320)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(49,020)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(42,320)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(42,320)</w:t>
            </w:r>
          </w:p>
        </w:tc>
        <w:tc>
          <w:tcPr>
            <w:tcW w:w="0" w:type="dxa"/>
            <w:vAlign w:val="bottom"/>
          </w:tcPr>
          <w:p>
            <w:pPr>
              <w:spacing w:after="0"/>
              <w:rPr>
                <w:sz w:val="1"/>
                <w:szCs w:val="1"/>
                <w:color w:val="auto"/>
              </w:rPr>
            </w:pPr>
          </w:p>
        </w:tc>
      </w:tr>
      <w:tr>
        <w:trPr>
          <w:trHeight w:val="153"/>
        </w:trPr>
        <w:tc>
          <w:tcPr>
            <w:tcW w:w="464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color w:val="auto"/>
              </w:rPr>
              <w:t>Net (income) loss allocable to HPU holders and Participating Security</w:t>
            </w:r>
          </w:p>
        </w:tc>
        <w:tc>
          <w:tcPr>
            <w:tcW w:w="280" w:type="dxa"/>
            <w:vAlign w:val="bottom"/>
          </w:tcPr>
          <w:p>
            <w:pPr>
              <w:spacing w:after="0"/>
              <w:rPr>
                <w:sz w:val="13"/>
                <w:szCs w:val="13"/>
                <w:color w:val="auto"/>
              </w:rPr>
            </w:pPr>
          </w:p>
        </w:tc>
        <w:tc>
          <w:tcPr>
            <w:tcW w:w="10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1,129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5,202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9,253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1,997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0" w:type="dxa"/>
            <w:vAlign w:val="bottom"/>
          </w:tcPr>
          <w:p>
            <w:pPr>
              <w:spacing w:after="0"/>
              <w:rPr>
                <w:sz w:val="1"/>
                <w:szCs w:val="1"/>
                <w:color w:val="auto"/>
              </w:rPr>
            </w:pPr>
          </w:p>
        </w:tc>
      </w:tr>
      <w:tr>
        <w:trPr>
          <w:trHeight w:val="193"/>
        </w:trPr>
        <w:tc>
          <w:tcPr>
            <w:tcW w:w="46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holders(1)</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allocable to common shareholders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(33,722)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(155,769)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(272,997)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36,279</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 common share data(2):</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464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4"/>
                <w:szCs w:val="14"/>
                <w:color w:val="auto"/>
              </w:rPr>
              <w:t>Income (loss) attributable to iStar Financial Inc. from continuing</w:t>
            </w: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operations: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and diluted</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(0.40)</w:t>
            </w:r>
          </w:p>
        </w:tc>
        <w:tc>
          <w:tcPr>
            <w:tcW w:w="120" w:type="dxa"/>
            <w:vAlign w:val="bottom"/>
          </w:tcPr>
          <w:p>
            <w:pPr>
              <w:spacing w:after="0"/>
              <w:rPr>
                <w:sz w:val="23"/>
                <w:szCs w:val="23"/>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120" w:type="dxa"/>
            <w:vAlign w:val="bottom"/>
          </w:tcPr>
          <w:p>
            <w:pPr>
              <w:spacing w:after="0"/>
              <w:rPr>
                <w:sz w:val="23"/>
                <w:szCs w:val="23"/>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275"/>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income (loss) attributable to iStar Financial Inc.:</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and diluted</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(0.40)</w:t>
            </w:r>
          </w:p>
        </w:tc>
        <w:tc>
          <w:tcPr>
            <w:tcW w:w="120" w:type="dxa"/>
            <w:vAlign w:val="bottom"/>
          </w:tcPr>
          <w:p>
            <w:pPr>
              <w:spacing w:after="0"/>
              <w:rPr>
                <w:sz w:val="23"/>
                <w:szCs w:val="23"/>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120" w:type="dxa"/>
            <w:vAlign w:val="bottom"/>
          </w:tcPr>
          <w:p>
            <w:pPr>
              <w:spacing w:after="0"/>
              <w:rPr>
                <w:sz w:val="23"/>
                <w:szCs w:val="23"/>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0.39</w:t>
            </w:r>
          </w:p>
        </w:tc>
        <w:tc>
          <w:tcPr>
            <w:tcW w:w="0" w:type="dxa"/>
            <w:vAlign w:val="bottom"/>
          </w:tcPr>
          <w:p>
            <w:pPr>
              <w:spacing w:after="0"/>
              <w:rPr>
                <w:sz w:val="1"/>
                <w:szCs w:val="1"/>
                <w:color w:val="auto"/>
              </w:rPr>
            </w:pPr>
          </w:p>
        </w:tc>
      </w:tr>
      <w:tr>
        <w:trPr>
          <w:trHeight w:val="27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 HPU share data(2):</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64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color w:val="auto"/>
              </w:rPr>
              <w:t>Income (loss) attributable to iStar Financial Inc. from continuing</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operations: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 and diluted</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(75.27)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(396.07)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(638.27)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(497.13)</w:t>
            </w:r>
          </w:p>
        </w:tc>
        <w:tc>
          <w:tcPr>
            <w:tcW w:w="0" w:type="dxa"/>
            <w:vAlign w:val="bottom"/>
          </w:tcPr>
          <w:p>
            <w:pPr>
              <w:spacing w:after="0"/>
              <w:rPr>
                <w:sz w:val="1"/>
                <w:szCs w:val="1"/>
                <w:color w:val="auto"/>
              </w:rPr>
            </w:pPr>
          </w:p>
        </w:tc>
      </w:tr>
      <w:tr>
        <w:trPr>
          <w:trHeight w:val="265"/>
        </w:trPr>
        <w:tc>
          <w:tcPr>
            <w:tcW w:w="4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 (loss) attributable to iStar Financial Inc.: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 and diluted</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(75.27)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(346.80)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(616.87)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72.27</w:t>
            </w:r>
          </w:p>
        </w:tc>
        <w:tc>
          <w:tcPr>
            <w:tcW w:w="0" w:type="dxa"/>
            <w:vAlign w:val="bottom"/>
          </w:tcPr>
          <w:p>
            <w:pPr>
              <w:spacing w:after="0"/>
              <w:rPr>
                <w:sz w:val="1"/>
                <w:szCs w:val="1"/>
                <w:color w:val="auto"/>
              </w:rPr>
            </w:pPr>
          </w:p>
        </w:tc>
      </w:tr>
      <w:tr>
        <w:trPr>
          <w:trHeight w:val="26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per common share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3820" w:type="dxa"/>
            <w:vAlign w:val="bottom"/>
            <w:gridSpan w:val="3"/>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0"/>
        </w:trPr>
        <w:tc>
          <w:tcPr>
            <w:tcW w:w="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2011</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2010</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00" w:type="dxa"/>
            <w:vAlign w:val="bottom"/>
            <w:gridSpan w:val="7"/>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(In thousands, except per share data and ratios)</w:t>
            </w: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0" w:type="dxa"/>
            <w:vAlign w:val="bottom"/>
            <w:tcBorders>
              <w:right w:val="single" w:sz="8" w:color="CCEEFF"/>
            </w:tcBorders>
          </w:tcPr>
          <w:p>
            <w:pPr>
              <w:spacing w:after="0"/>
              <w:rPr>
                <w:sz w:val="23"/>
                <w:szCs w:val="23"/>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DATA:</w:t>
            </w: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Income(3)</w:t>
            </w:r>
          </w:p>
        </w:tc>
        <w:tc>
          <w:tcPr>
            <w:tcW w:w="3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109,377</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(21,677)</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(53,847)</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360,525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0" w:type="dxa"/>
            <w:vAlign w:val="bottom"/>
            <w:tcBorders>
              <w:right w:val="single" w:sz="8" w:color="CCEEFF"/>
            </w:tcBorders>
          </w:tcPr>
          <w:p>
            <w:pPr>
              <w:spacing w:after="0"/>
              <w:rPr>
                <w:sz w:val="23"/>
                <w:szCs w:val="23"/>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EBITDA(3)</w:t>
            </w: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398,717</w:t>
            </w:r>
          </w:p>
        </w:tc>
        <w:tc>
          <w:tcPr>
            <w:tcW w:w="2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298,833</w:t>
            </w:r>
          </w:p>
        </w:tc>
        <w:tc>
          <w:tcPr>
            <w:tcW w:w="3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349,754</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376,464</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767,663</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7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Ratio of Adjusted EBITDA to interest expense and preferred</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1.4x</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0.9x</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97"/>
              </w:rPr>
              <w:t>0.9x</w:t>
            </w:r>
          </w:p>
        </w:tc>
        <w:tc>
          <w:tcPr>
            <w:tcW w:w="360" w:type="dxa"/>
            <w:vAlign w:val="bottom"/>
          </w:tcPr>
          <w:p>
            <w:pPr>
              <w:spacing w:after="0"/>
              <w:rPr>
                <w:sz w:val="13"/>
                <w:szCs w:val="13"/>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1.0x</w:t>
            </w:r>
          </w:p>
        </w:tc>
        <w:tc>
          <w:tcPr>
            <w:tcW w:w="400" w:type="dxa"/>
            <w:vAlign w:val="bottom"/>
          </w:tcPr>
          <w:p>
            <w:pPr>
              <w:spacing w:after="0"/>
              <w:rPr>
                <w:sz w:val="13"/>
                <w:szCs w:val="13"/>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2.0x</w:t>
            </w: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dividends(3)</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80" w:type="dxa"/>
            <w:vAlign w:val="bottom"/>
            <w:tcBorders>
              <w:right w:val="single" w:sz="8" w:color="CCEEFF"/>
            </w:tcBorders>
          </w:tcPr>
          <w:p>
            <w:pPr>
              <w:spacing w:after="0"/>
              <w:rPr>
                <w:sz w:val="23"/>
                <w:szCs w:val="23"/>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Ratio of earnings to fixed charges(4)</w:t>
            </w: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Ratio of earnings to fixed charges and preferred dividends(4)</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0" w:type="dxa"/>
            <w:vAlign w:val="bottom"/>
            <w:tcBorders>
              <w:right w:val="single" w:sz="8" w:color="CCEEFF"/>
            </w:tcBorders>
          </w:tcPr>
          <w:p>
            <w:pPr>
              <w:spacing w:after="0"/>
              <w:rPr>
                <w:sz w:val="23"/>
                <w:szCs w:val="23"/>
                <w:color w:val="auto"/>
              </w:rPr>
            </w:pPr>
          </w:p>
        </w:tc>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outstanding—basic and diluted</w:t>
            </w:r>
          </w:p>
        </w:tc>
        <w:tc>
          <w:tcPr>
            <w:tcW w:w="1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85,031</w:t>
            </w:r>
          </w:p>
        </w:tc>
        <w:tc>
          <w:tcPr>
            <w:tcW w:w="2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84,990</w:t>
            </w:r>
          </w:p>
        </w:tc>
        <w:tc>
          <w:tcPr>
            <w:tcW w:w="3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83,742</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88,688</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93,244</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HPU shares outstanding—basic and diluted</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3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40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0" w:type="dxa"/>
            <w:vAlign w:val="bottom"/>
            <w:tcBorders>
              <w:right w:val="single" w:sz="8" w:color="CCEEFF"/>
            </w:tcBorders>
          </w:tcPr>
          <w:p>
            <w:pPr>
              <w:spacing w:after="0"/>
              <w:rPr>
                <w:sz w:val="23"/>
                <w:szCs w:val="23"/>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w:t>
            </w: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3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(10,342)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(180,465)</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(191,932)</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(28,577)</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(45,883)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0" w:type="dxa"/>
            <w:vAlign w:val="bottom"/>
            <w:tcBorders>
              <w:right w:val="single" w:sz="8" w:color="CCEEFF"/>
            </w:tcBorders>
          </w:tcPr>
          <w:p>
            <w:pPr>
              <w:spacing w:after="0"/>
              <w:rPr>
                <w:sz w:val="23"/>
                <w:szCs w:val="23"/>
                <w:color w:val="auto"/>
              </w:rPr>
            </w:pPr>
          </w:p>
        </w:tc>
        <w:tc>
          <w:tcPr>
            <w:tcW w:w="3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159,793</w:t>
            </w:r>
          </w:p>
        </w:tc>
        <w:tc>
          <w:tcPr>
            <w:tcW w:w="2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893,447</w:t>
            </w:r>
          </w:p>
        </w:tc>
        <w:tc>
          <w:tcPr>
            <w:tcW w:w="3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1,267,047</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1,461,257</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3,738,823</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(190,958)</w:t>
            </w:r>
          </w:p>
        </w:tc>
        <w:tc>
          <w:tcPr>
            <w:tcW w:w="24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(455,758)</w:t>
            </w:r>
          </w:p>
        </w:tc>
        <w:tc>
          <w:tcPr>
            <w:tcW w:w="320" w:type="dxa"/>
            <w:vAlign w:val="bottom"/>
          </w:tcPr>
          <w:p>
            <w:pPr>
              <w:spacing w:after="0"/>
              <w:rPr>
                <w:sz w:val="22"/>
                <w:szCs w:val="22"/>
                <w:color w:val="auto"/>
              </w:rPr>
            </w:pPr>
          </w:p>
        </w:tc>
        <w:tc>
          <w:tcPr>
            <w:tcW w:w="1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(1,175,597)</w:t>
            </w: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(1,580,719)</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(3,412,707)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2"/>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2011</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3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3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Real estate, net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2,676,714</w:t>
            </w:r>
          </w:p>
        </w:tc>
        <w:tc>
          <w:tcPr>
            <w:tcW w:w="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2,796,181</w:t>
            </w: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2,739,099</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2,893,482</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2,599,203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3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Real estate available and held for sale</w:t>
            </w: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285,982</w:t>
            </w:r>
          </w:p>
        </w:tc>
        <w:tc>
          <w:tcPr>
            <w:tcW w:w="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360,517</w:t>
            </w: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635,865</w:t>
            </w:r>
          </w:p>
        </w:tc>
        <w:tc>
          <w:tcPr>
            <w:tcW w:w="4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677,458</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746,081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3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Loans receivable and other lending investments, net</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1,377,843</w:t>
            </w: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1,370,109</w:t>
            </w: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1,829,985</w:t>
            </w: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2,860,762</w:t>
            </w:r>
          </w:p>
        </w:tc>
        <w:tc>
          <w:tcPr>
            <w:tcW w:w="4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4,587,352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3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5,463,133</w:t>
            </w:r>
          </w:p>
        </w:tc>
        <w:tc>
          <w:tcPr>
            <w:tcW w:w="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5,642,011</w:t>
            </w: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6,159,999</w:t>
            </w:r>
          </w:p>
        </w:tc>
        <w:tc>
          <w:tcPr>
            <w:tcW w:w="4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7,523,083</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9,175,681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3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Debt obligations, net</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4,022,684</w:t>
            </w: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4,158,125</w:t>
            </w: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4,691,494</w:t>
            </w: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5,837,540</w:t>
            </w:r>
          </w:p>
        </w:tc>
        <w:tc>
          <w:tcPr>
            <w:tcW w:w="4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7,345,433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3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equity</w:t>
            </w: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1,248,348</w:t>
            </w:r>
          </w:p>
        </w:tc>
        <w:tc>
          <w:tcPr>
            <w:tcW w:w="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1,301,465</w:t>
            </w: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1,313,154</w:t>
            </w:r>
          </w:p>
        </w:tc>
        <w:tc>
          <w:tcPr>
            <w:tcW w:w="4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1,573,604</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1,694,659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jc w:val="both"/>
        <w:ind w:left="660" w:hanging="652"/>
        <w:spacing w:after="0" w:line="249" w:lineRule="auto"/>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HPU holders are current and former Company employees who purchased high performance common stock units under the Company's High Performance Unit Program. Participating Security holders are Company employees and directors who hold unvested restricted stock units, restricted stock awards and common stock equivalents granted under the Company's Long Term Incentive Plans.</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Item 8—"Financial Statements and Supplemental Data—Note 13."</w:t>
      </w:r>
    </w:p>
    <w:p>
      <w:pPr>
        <w:spacing w:after="0" w:line="1" w:lineRule="exact"/>
        <w:rPr>
          <w:rFonts w:ascii="Times New Roman" w:cs="Times New Roman" w:eastAsia="Times New Roman" w:hAnsi="Times New Roman"/>
          <w:sz w:val="14"/>
          <w:szCs w:val="14"/>
          <w:color w:val="auto"/>
        </w:rPr>
      </w:pPr>
    </w:p>
    <w:p>
      <w:pPr>
        <w:jc w:val="both"/>
        <w:ind w:left="660" w:hanging="652"/>
        <w:spacing w:after="0" w:line="241" w:lineRule="auto"/>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income and Adjusted EBITDA should be examined in conjunction with net income (loss) as shown in our Consolidated Statements of Operations. Adjusted income and Adjusted EBITDA should not be considered as an alternative to net income (loss) (determined in accordance with GAAP), as an indicator of our performance, or to cash flows from operating activities (determined in accordance with GAAP) as a measure of our liquidity, nor are Adjusted income and Adjusted EBITDA indicative of funds available to fund our cash needs or available for distribution to shareholders. Rather, Adjusted income and Adjusted EBITDA are additional measures for us to use to analyze how our business is performing. It should be noted that our manner of calculating Adjusted income and Adjusted EBITDA may differ from the calculations of similarly-titled measures by other companies. See computation of Adjusted income and Adjusted EBITDA on pages 34 and 35.</w:t>
      </w:r>
    </w:p>
    <w:p>
      <w:pPr>
        <w:spacing w:after="0" w:line="2" w:lineRule="exact"/>
        <w:rPr>
          <w:rFonts w:ascii="Times New Roman" w:cs="Times New Roman" w:eastAsia="Times New Roman" w:hAnsi="Times New Roman"/>
          <w:sz w:val="14"/>
          <w:szCs w:val="14"/>
          <w:color w:val="auto"/>
        </w:rPr>
      </w:pPr>
    </w:p>
    <w:p>
      <w:pPr>
        <w:jc w:val="both"/>
        <w:ind w:left="660" w:hanging="652"/>
        <w:spacing w:after="0" w:line="247" w:lineRule="auto"/>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ratio of earnings to fixed charges is calculated in accordance with SEC Regulation S-K Item 503. The Company's unsecured debt securities have a fixed charge coverage covenant which is calculated differently in accordance with the terms of the agreements governing such securities. For the years ended December 31, 2014, 2013, 2012, 2011 and 2010, earnings were not sufficient to cover fixed charges by $89,948, $240,912, $305,450, $65,842 and $221,634, respectively, and earnings were not sufficient to cover fixed charges and preferred dividends by $141,268, $289,932, $347,770, $108,162 and $263,954, respectively.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283"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and Section 21E of the Exchange Act. Forward-looking statements are included with respect to, among other things,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Important factors that the Company believes might cause such differences are discussed in the section entitled, "Risk Factors" in Part I, Item 1a of this Form 10-K or otherwise accompany the forward-looking statements contained in this Form 10-K.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10-K. For purposes of this Management's Discussion and Analysis of Financial Condition and Results of Operations, the terms "we," "our" and "us" refer to iStar Financial Inc. and its consolidated subsidiaries, unless the context indicates otherwise.</w:t>
      </w:r>
    </w:p>
    <w:p>
      <w:pPr>
        <w:spacing w:after="0" w:line="24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This discussion summarizes the significant factors affecting our consolidated operating results, financial condition and liquidity during the three-year period ended December 31, 2014. This discussion should be read in conjunction with our consolidated financial statements and related notes for the three-year period ended December 31, 2014 included elsewhere in this Annual Report on Form 10-K. These historical financial statements may not be indicative of our future performance. Certain prior year amounts have been reclassified in the Company's Consolidated Financial Statements and the related notes to conform to the current period presentation.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iStar Financial Inc. is a fully-integrated finance and investment company focused on the commercial real estate industry. We provide custom-tailored investment capital to high-end private and corporate owners of real estate and invest directly across a range of real estate sectors. We are taxed as a real estate investment trust, or "REIT," and have invested more than $35 billion over the past two decades. Our primary business segments are real estate finance, net lease, operating properties and land.</w:t>
      </w:r>
    </w:p>
    <w:p>
      <w:pPr>
        <w:spacing w:after="0" w:line="23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real estate finance portfolio is comprised of senior and mezzanine real estate loans that may be either fixed-rate or variable-rate and are structured to meet the specific financing needs of borrowers. Our portfolio also includes preferred equity investments and senior and subordinated loans to corporations, particularly those engaged in real estate or real estate related businesses, and may be either secured or unsecured. Our loan portfolio includes whole loans and loan participations.</w:t>
      </w:r>
    </w:p>
    <w:p>
      <w:pPr>
        <w:spacing w:after="0" w:line="9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net lease portfolio is primarily comprised of properties owned by us and leased to single creditworthy tenants where the properties are subject to long-term leases. Most of the leases provide for expenses at the facility to be paid by the tenant on a triple net lease basis. The properties in this portfolio are diversified by property type and geographic location. In 2014, the Company partnered with a sovereign wealth fund to form a venture in which the partners plan to contribute equity to acquire and develop net lease assets.</w:t>
      </w:r>
    </w:p>
    <w:p>
      <w:pPr>
        <w:spacing w:after="0" w:line="14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operating properties portfolio is comprised of commercial and residential properties which represent a diverse pool of assets across a broad range of geographies and property types. We generally seek to reposition or redevelop these assets with the objective of maximizing their value through the infusion of capital and/or intensive asset management efforts. The commercial properties within this portfolio include office, retail, hotel and other property types. The residential properties within this portfolio are generally luxury condominium projects located in major U.S. cities where our strategy is to sell individual condominium units through retail distribution channels.</w:t>
      </w:r>
    </w:p>
    <w:p>
      <w:pPr>
        <w:spacing w:after="0" w:line="14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land portfolio primarily consists of 11 master planned community projects, 15 infill land parcels and 6 waterfront land parcels located throughout the United States. Master planned communities represent large-scale residential projects that we will entitle, plan and/or develop and may sell through retail channels to home builders or in bulk. We currently have entitlements at these projects for more than 25,000 lots. The remainder of the Company’s land includes infill and waterfront parcels located in and around major cities that the Company will develop, sell to or partner with commercial real estate developers. Waterfront parcels are generally entitled for residential projects and urban infill parcels are generally entitled for mixed-use projects. These projects are currently entitled for approximately 6,000 residential units, and select projects include commercial, retail and office uses. As of December 31, 2014, we had 6 land projects in production, 13 in development and 13 in the pre-development phase.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conjunction with improving economic and commercial real estate market conditions, we have continued to make meaningful progress towards achieving a number of our strategic corporate objectives. We increased investment originations to $1.27 billion in 2014 focused primarily within our core business segments of real estate finance and net lease, which we anticipate should drive future revenue growth. Through strategic ventures, we have partnered with other providers of capital within our net lease segment and with developers with homebuilding expertise within our land segment. In addition, we have made significant investments within our operating property and land portfolios in order to better position assets for sale.</w:t>
      </w:r>
    </w:p>
    <w:p>
      <w:pPr>
        <w:spacing w:after="0" w:line="14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Access to the capital markets has allowed us to extend our debt maturity profile, lower our cost of capital and become primarily an unsecured borrower. During 2014, we fully repaid our largest secured credit facility using proceeds from unsecured notes issuances. This repayment unencumbered $2.0 billion of collateral and provides us with additional liquidity as we now retain 100% of the proceeds from sales and repayments of these previously encumbered assets, rather than directing them to repay the facility. At December 31, 2014, we had $472.1 million of cash, which we expect to be used primarily to fund future investment activities.</w:t>
      </w:r>
    </w:p>
    <w:p>
      <w:pPr>
        <w:spacing w:after="0" w:line="14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Over the past two years, we have significantly reduced our level of non-performing loans. Non-performing loans, net of specific reserves, declined 68% to $65.0 million at December 31, 2014 from $203.6 million at December 31, 2013 as loans were repaid, sold or foreclosed on.</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2014, three of our four business segments, including real estate finance, net lease and operating properties, contributed positively to our earnings. We continue to work on repositioning or redeveloping our transitional operating properties and progressing on the entitlement and development of our land assets in order to maximize their value. We intend to continue these efforts, with the objective of having these assets contribute positively to earnings in the future. For the year ended December 31, 2014, we recorded net loss allocable to common shareholders of $(33.7) million, compared to a loss of $(155.8) million during the prior year. Adjusted income (loss) allocable to common shareholders for the year ended December 31, 2014 was $109.4 million, compared to $(21.7) million during the prior year.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 Ended December 31, 2014 compared to the Year Ended December 31, 2013</w:t>
      </w:r>
    </w:p>
    <w:p>
      <w:pPr>
        <w:spacing w:after="0" w:line="344"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spacing w:after="0" w:line="6"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13335</wp:posOffset>
            </wp:positionV>
            <wp:extent cx="19380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243,100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234,567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8,533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122,704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14,689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81,033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48,208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32,825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sales revenue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15,191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462,028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390,790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71,238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224,483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266,225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163,389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157,441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5,948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land sales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12,840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2,305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88,806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(recovery of) loan losses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1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&gt;(100)%</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34,634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22,045</w:t>
            </w:r>
          </w:p>
        </w:tc>
        <w:tc>
          <w:tcPr>
            <w:tcW w:w="17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&gt;100%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7"/>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601,830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613,174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7,821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equity method investments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94,905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41,520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53,385</w:t>
            </w:r>
          </w:p>
        </w:tc>
        <w:tc>
          <w:tcPr>
            <w:tcW w:w="17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&gt;100%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transfer of interest to unconsolidated subsidiary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7,373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7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&gt;(100)%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sales of 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89,943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86,658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3,285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15,765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(111,233)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126,998</w:t>
            </w:r>
          </w:p>
        </w:tc>
        <w:tc>
          <w:tcPr>
            <w:tcW w:w="17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&gt;100%</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—Operating lease income, which primarily includes income from net lease assets and commercial operating properties, increased to $243.1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2014 from $234.6 million in 2013.</w:t>
      </w:r>
    </w:p>
    <w:p>
      <w:pPr>
        <w:spacing w:after="0" w:line="15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Operating lease income from net lease assets increased to $151.9 million in 2014 from $147.3 million in 2013. The net lease portfolio generated an unleveraged yield of 7.5% for 2014 as compared to 7.2% for 2013 as rental rates for new leases were greater than rental rates for leases that terminated since December 31, 2013. Operating lease income for same store net lease assets, defined as net lease assets we owned on or prior to January 1, 2013 and were in service through December 31, 2014, increased to $148.3 million in 2014 from $146.2 million in 2013 due primarily to an increase in rent per occupied square foot for same store net lease assets, which was $9.86 for 2014 as compared to $9.62 for 2013. The increase in operating lease income was also due to higher occupancy rates for same store net lease assets, which was 95.2% at December 31, 2014 as compared to 93.0% at December 31, 2013. We had two net lease assets which were sold to our Net Lease Venture in 2014 that, prior to their sale, contributed an additional $2.0 million of operating lease income in 2014 as compared to 2013.</w:t>
      </w:r>
    </w:p>
    <w:p>
      <w:pPr>
        <w:spacing w:after="0" w:line="18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Operating lease income from commercial operating properties increased to $87.7 million in 2014 from $86.4 million in 2013 as rental rates for new leases were greater than leases that terminated since December 31, 2013. Operating lease income for same store commercial operating properties, defined as commercial operating properties, excluding hotels, we owned on or prior to January 1, 2013 and were in service through December 31, 2014, decreased to $81.6 million in 2014 from $84.9 million in 2013 due primarily to a decline in rent per occupied square foot for same store commercial operating properties, which was $24.52 for 2014 and $26.06 for 2013. The decline was partially offset by an increase in occupancy rates for same store commercial operating properties, which increased to 65.0% at December 31, 2014 from 62.8% at December 31, 2013. In addition, we acquired title to additional commercial operating properties in 2014, which contributed $4.5 million to operating lease income in 2014. Ancillary operating lease income for residential operating properties increased $2.6 million in 2014 as compared to 2013.</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Interest income increased to $122.7 million in 2014 as compared to $108.0 million in 2013 due primarily to increases in the volume and interest rates of performing loans. New investment originations and additional fundings of existing loans raised our average balance of performing loans to $1.27 billion for 2014 from $1.23 billion for 2013. The weighted average yield of our performing loans increased to 9.1%, excluding $6.3 million amortization of discounts, for 2014 from 7.6% for 2013 due primarily to higher interest rates for new loan originations in 2014 and payoffs of loans with lower interest rates.</w:t>
      </w:r>
    </w:p>
    <w:p>
      <w:pPr>
        <w:spacing w:after="0" w:line="1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Other income increased to $81.0 million in 2014 as compared to $48.2 million in 2013. The increase was due to gains on sales of non-performing loans of $19.1 million as well as $16.5 million of income related to asset related settlements, $3.8 million of ancillary income from properties acquired in 2014 and $2.3 million of prior year tax refunds. The increases were offset in part by a decline of $7.2 million due primarily to the conversion of hotel rooms to residential units to be sold at a property and $4.0 million received for the settlement of a property-related lawsuit in 2013.</w:t>
      </w:r>
    </w:p>
    <w:p>
      <w:pPr>
        <w:spacing w:after="0" w:line="136"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Land sales and costs</w:t>
      </w:r>
      <w:r>
        <w:rPr>
          <w:rFonts w:ascii="Times New Roman" w:cs="Times New Roman" w:eastAsia="Times New Roman" w:hAnsi="Times New Roman"/>
          <w:sz w:val="18"/>
          <w:szCs w:val="18"/>
          <w:color w:val="auto"/>
        </w:rPr>
        <w:t>—In 2014, we sold residential lots from three of our master planned community properties for proceeds of $15.2 million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had associated cost of sales of $12.8 million.</w:t>
      </w:r>
    </w:p>
    <w:p>
      <w:pPr>
        <w:spacing w:after="0" w:line="114"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Costs and expenses</w:t>
      </w:r>
      <w:r>
        <w:rPr>
          <w:rFonts w:ascii="Times New Roman" w:cs="Times New Roman" w:eastAsia="Times New Roman" w:hAnsi="Times New Roman"/>
          <w:sz w:val="18"/>
          <w:szCs w:val="18"/>
          <w:color w:val="auto"/>
        </w:rPr>
        <w:t>—Interest expense decreased to $224.5 million in 2014 as compared to $266.2 million in 2013 due to a lower average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balance and a lower weighted average cost of debt. The average outstanding balance of our debt declined to $4.08 billion for 2014 from $4.46 billion for 2013. Our weighted average effective cost of debt decreased to 5.5% for 2014 from 5.9% for 2013. The decline was primarily a result of the refinancing of higher interest rate senior unsecured notes with lower interest rate senior unsecured notes during 2013.</w:t>
      </w:r>
    </w:p>
    <w:p>
      <w:pPr>
        <w:spacing w:after="0" w:line="14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Real estate expenses increased to $163.4 million in 2014 as compared to $157.4 million in 2013. Expenses for commercial operating properties increased to $87.9 million in 2014 from $81.1 million in 2013. In 2014, expenses for same store commercial operating properties, excluding hotels, increased to $53.3 million from $51.7 million in 2013 due primarily to higher operating expenses at two properties. We acquired title to additional commercial operating properties in 2014, which contributed $9.2 million to real estate expenses in 2014. Additionally, expenses for hotel properties decreased to $22.7 million in 2014 from $28.5 million in 2013 due primarily to the conversion of hotel rooms to residential units being sold at a hotel property. Costs associated with residential units increased to $25.6 million in 2014 from $19.8 million in 2013 due to sales assessments at one of our residential properties and carrying costs for additional residential units where construction was completed, offset by a reduction of expenses due to the sale of residential units since December 31, 2013. Carry costs and other expenses on our land assets decreased to $26.9 million in 2014 as compared to $33.8 million in 2013, primarily related to a decrease in costs incurred on certain land assets prior to development.</w:t>
      </w:r>
    </w:p>
    <w:p>
      <w:pPr>
        <w:spacing w:after="0" w:line="14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to $88.8 million in 2014 as compared to $92.1 million in 2013, primarily due to a reduction in stock-based compensation expense, based on the full amortization of certain previously issued awards, which were fully amortized in 2013.</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net recovery of loan losses was $1.7 million in 2014 as compared to a net provision for loan losses of $5.5 million in 2013. Included in the net recovery for 2014 were recoveries of previously recorded loan loss reserves of $10.1 million, provisions for specific reserves of $4.1 million and an increase of $4.3 million in the general reserve due primarily to new investment originations. Included in the net recovery for 2013 were specific reserves of $72.5 million, which were established on non-performing loans, offset by recoveries of previously recorded loan loss reserves of $63.1 million during the year.</w:t>
      </w:r>
    </w:p>
    <w:p>
      <w:pPr>
        <w:spacing w:after="0" w:line="14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2014, we recorded impairments on real estate assets totaling $34.6 million resulting from changes in business strategies for a residential property and a land asset, continued unfavorable local market conditions at two real estate properties and the sale of net lease assets. In 2013, we recorded $14.4 million of impairments on real estate assets, including $1.8 million recorded in discontinued operations, due primarily to a changes in local market conditions and a change in business strategy for a residential property.</w:t>
      </w:r>
    </w:p>
    <w:p>
      <w:pPr>
        <w:spacing w:after="0" w:line="17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 net</w:t>
      </w:r>
      <w:r>
        <w:rPr>
          <w:rFonts w:ascii="Times New Roman" w:cs="Times New Roman" w:eastAsia="Times New Roman" w:hAnsi="Times New Roman"/>
          <w:sz w:val="18"/>
          <w:szCs w:val="18"/>
          <w:color w:val="auto"/>
        </w:rPr>
        <w:t>—In 2014 and 2013, we incurred losses on early extinguishment of debt of $25.4 million and $33.2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Together with cash on hand, net proceeds from the 2014 issuances of our 4.00% senior unsecured notes due November 2017 and our 5.00% senior unsecured notes due July 2019 were used to fully repay and terminate our secured credit facility entered into in February 2013. As a result, in 2014, we expensed $22.8 million relating to accelerated amortization of discount and fees associated with the payoff of that secured credit facility. We also recorded $2.6 million of losses related to the accelerated amortization of discounts and fees in connection with amortization payments that we made on our secured credit facilities.</w:t>
      </w:r>
    </w:p>
    <w:p>
      <w:pPr>
        <w:spacing w:after="0" w:line="18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2013, we incurred $7.7 million of losses on the early extinguishment of debt due to the accelerated amortization of discounts and fees in connection with the refinancing of a secured credit facility. We also recorded $13.2 million of losses related to the accelerated amortization of discounts and fees in connection with amortization payments that we made on our secured credit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facilities. We also redeemed our 5.95% senior unsecured notes due October 2013 and 5.70% senior unsecured notes due March 2014 prior to maturity and incurred $12.3 million of losses related to prepayment penalties and the acceleration of amortization of discounts.</w:t>
      </w:r>
    </w:p>
    <w:p>
      <w:pPr>
        <w:spacing w:after="0" w:line="15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investments</w:t>
      </w:r>
      <w:r>
        <w:rPr>
          <w:rFonts w:ascii="Times New Roman" w:cs="Times New Roman" w:eastAsia="Times New Roman" w:hAnsi="Times New Roman"/>
          <w:sz w:val="18"/>
          <w:szCs w:val="18"/>
          <w:color w:val="auto"/>
        </w:rPr>
        <w:t>—Earnings from equity method investments increased to $94.9 million in 2014 as compared to $41.5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2013. In 2014, we recognized $56.8 million of income resulting from asset sales by two of our equity method investees and a legal settlement received by one of the investees. We also recognized $14.7 million of earnings related to sales activity from an equity method investee and $9.0 million of income related to carried interest from a previously held strategic investment. The increase was offset by $12.0 million of income primarily related to asset sales by one of our strategic investments in 2013 and the sale of our interest in LNR Property Corp. in April 2013. We had no equity in earnings from LNR during 2014 as compared to 2013 in which we recorded net equity in earnings of $14.5 million.</w:t>
      </w:r>
    </w:p>
    <w:p>
      <w:pPr>
        <w:spacing w:after="0" w:line="18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Loss on transfer of interest to unconsolidated subsidiary</w:t>
      </w:r>
      <w:r>
        <w:rPr>
          <w:rFonts w:ascii="Times New Roman" w:cs="Times New Roman" w:eastAsia="Times New Roman" w:hAnsi="Times New Roman"/>
          <w:sz w:val="18"/>
          <w:szCs w:val="18"/>
          <w:color w:val="auto"/>
        </w:rPr>
        <w:t>—In 2013, we entered into a venture with a national homebuilder to jointly develop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residential lots in the first phase of Spring Mountain Ranch, a 1,400-lot master planned community. We contributed the initial phase of land, which had a carrying value of $24.1 million, to the venture in exchange for a retained interest of $16.7 million, resulting in a $7.4 million loss.</w:t>
      </w:r>
    </w:p>
    <w:p>
      <w:pPr>
        <w:spacing w:after="0" w:line="17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r>
        <w:rPr>
          <w:rFonts w:ascii="Times New Roman" w:cs="Times New Roman" w:eastAsia="Times New Roman" w:hAnsi="Times New Roman"/>
          <w:sz w:val="18"/>
          <w:szCs w:val="18"/>
          <w:color w:val="auto"/>
        </w:rPr>
        <w:t>—Income taxes are primarily generated by assets held in our taxable REIT subsidiaries ("TRS's"). Income taxes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 net tax expense of $3.9 million in 2014 as compared to a tax benefit of $0.7 million in 2013. The period to period difference was due primarily to taxable income generated by sales of TRS properties.</w:t>
      </w:r>
    </w:p>
    <w:p>
      <w:pPr>
        <w:spacing w:after="0" w:line="17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Discontinued operations</w:t>
      </w:r>
      <w:r>
        <w:rPr>
          <w:rFonts w:ascii="Times New Roman" w:cs="Times New Roman" w:eastAsia="Times New Roman" w:hAnsi="Times New Roman"/>
          <w:sz w:val="18"/>
          <w:szCs w:val="18"/>
          <w:color w:val="auto"/>
        </w:rPr>
        <w:t>—In 2014, we adopted ASU 2014-08 (see Note 3), which raised the threshold for discontinued operations reporting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disposals of components that are considered strategic shifts in a company's business. There were no disposals that met this threshold during 2014. Income (loss) from discontinued operations in 2013 includes operating results from net lease assets and commercial operating properties held for sale or sold as of December 31, 2013. During 2013, we sold commercial operating properties with a total carrying value of $72.6 million, which resulted in a net gain of $18.6 million and net lease assets with a total carrying value of $18.7 million which resulted in a net gain of $2.2 million.</w:t>
      </w:r>
    </w:p>
    <w:p>
      <w:pPr>
        <w:spacing w:after="0" w:line="18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from sales of real estate</w:t>
      </w:r>
      <w:r>
        <w:rPr>
          <w:rFonts w:ascii="Times New Roman" w:cs="Times New Roman" w:eastAsia="Times New Roman" w:hAnsi="Times New Roman"/>
          <w:sz w:val="18"/>
          <w:szCs w:val="18"/>
          <w:color w:val="auto"/>
        </w:rPr>
        <w:t>—In 2014 and 2013, we sold residential condominiums for total net proceeds of $236.2 million and $269.7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that resulted in income of $79.1 million and $82.6 million, respectively. In 2014, we sold net lease assets with a carrying value of $8.0 million resulting in a net gain of $5.7 million and a commercial operating property with a carrying value of $29.4 million resulting in a gain of $4.6 million. In 2013, we sold land for proceeds of $36.7 million that resulted in income of $4.0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 Ended December 31, 2013 compared to the Year Ended December 31, 2012</w:t>
      </w:r>
    </w:p>
    <w:p>
      <w:pPr>
        <w:spacing w:after="0" w:line="344"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spacing w:after="0" w:line="6"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13335</wp:posOffset>
            </wp:positionV>
            <wp:extent cx="19380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234,567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216,291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18,276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133,410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48,208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47,838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7"/>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390,790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397,539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266,225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355,097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expenses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151,458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5,983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68,770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2,496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80,856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11,258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81,740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17,266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7"/>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613,174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768,965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(155,791)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4,626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equity method investments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41,520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103,009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transfer of interest to unconsolidated subsidiary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9,104</w:t>
            </w:r>
          </w:p>
        </w:tc>
        <w:tc>
          <w:tcPr>
            <w:tcW w:w="17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&gt;100%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18,125</w:t>
            </w:r>
          </w:p>
        </w:tc>
        <w:tc>
          <w:tcPr>
            <w:tcW w:w="1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&gt;100%</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27,257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sales of 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86,658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63,472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23,186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(111,233)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(241,430)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130,197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4"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—Operating lease income, which includes income from net lease assets and commercial operating properties, increased to $234.6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2013 from $216.3 million in 2012.</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Operating lease income from net lease assets decreased to $147.3 million in 2013 from $149.1 million in 2012. The net lease portfolio generated a weighted average effective yield of 7.2% for 2013 as compared to 7.5% for 2012 as rental rates for new leases were less than rental rates for leases that terminated since December 31, 2012. Operating lease income for same store net lease assets, defined as net lease assets we owned on or prior to January 1, 2012 and were in service through December 31, 2013, decreased to $146.8 million in 2013 from $149.1 million in 2012 due primarily to a decline in occupancy rates for same store net lease assets, which was 93.1% at December 31, 2013 as compared to 93.8% at December 31, 2012. The decrease was partially offset by an increase in rent per occupied square foot for same store net lease assets, which was $9.50 for 2013 as compared to $9.28 for 2012. Additionally, a new net lease asset commenced in 2013, which resulted in an additional $0.5 million of operating lease income in 2013 as compared to 2012.</w:t>
      </w:r>
    </w:p>
    <w:p>
      <w:pPr>
        <w:spacing w:after="0" w:line="14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Operating lease income from commercial operating properties increased to $86.4 million in 2013 from $65.7 million in 2012 due primarily to the acquisition of a commercial operating property at the end of 2012. Operating lease income for same store commercial operating properties, defined as commercial operating properties, excluding hotels, we owned on or prior to January 1, 2012 and were in service through December 31, 2013, increased to $70.2 million in 2013 from $64.5 million in 2012 due primarily to an increase in occupancy for same store commercial operating properties, which was 55.9% at December 31, 2013 and 50.1% at December 31, 2012. The increase was also due to higher rent per occupied square foot for same store commercial operating properties, which increased to $28.64 for 2013 from $27.12 at December 31, 2012. In addition, we acquired title to additional commercial operating properties at the end of 2012, which contributed $15.0 million to the increase in operating lease income in 2013.</w:t>
      </w:r>
    </w:p>
    <w:p>
      <w:pPr>
        <w:spacing w:after="0" w:line="14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Interest income declined to $108.0 million in 2013 as compared to $133.4 million in 2012 primarily due to a decrease in the average balance of performing loans to $1.23 billion for 2013 from $1.67 billion for 2012. The decrease in performing loans was primarily due to loan repayments received during 2013. Offsetting the decline were new investment originations that increased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weighted average effective yield and our interest income. For 2013, performing loans generated a weighted average effective yield of 7.6% as compared to 7.5% for 2012.</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Other income increased to $48.2 million in 2013 as compared to $47.8 million in 2012. The increase was due to $4.0 million received for the settlement of a property-related lawsuit and $3.5 million recognized for the termination of certain leases. Other income includes revenue related to hotel properties included in the operating property portfolio, which decreased to $29.3 million in 2013 from $32.6 million in 2012 due to a reduction in ancillary revenue related to a hotel property and the conversion of some hotel rooms to condo units within one property. In addition, there was a decline of $3.9 million in loan related income due primarily to the sale of a loan in 2012.</w:t>
      </w:r>
    </w:p>
    <w:p>
      <w:pPr>
        <w:spacing w:after="0" w:line="139"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Costs and expenses</w:t>
      </w:r>
      <w:r>
        <w:rPr>
          <w:rFonts w:ascii="Times New Roman" w:cs="Times New Roman" w:eastAsia="Times New Roman" w:hAnsi="Times New Roman"/>
          <w:sz w:val="18"/>
          <w:szCs w:val="18"/>
          <w:color w:val="auto"/>
        </w:rPr>
        <w:t>—Interest expense decreased $88.9 million to $266.2 million in 2013 as compared to $355.1 million in 2012 due to a lower average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debt balance and a lower weighted average cost of debt. The average outstanding balance of our debt declined to $4.46 billion for 2013 from $5.49 billion for 2012. Due to an upgrade in our credit ratings in late 2012 and strong credit markets in 2013, we refinanced our largest senior secured credit facility to a lower interest rate in February 2013 and refinanced higher rate senior unsecured notes with lower rate senior unsecured notes during 2013. As a result, our weighted average effective cost of debt decreased to 5.9% for 2013 as compared to 6.5% for 2012.</w:t>
      </w:r>
    </w:p>
    <w:p>
      <w:pPr>
        <w:spacing w:after="0" w:line="18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Real estate expenses increased to $157.4 million in 2013 as compared to $151.5 million in 2012. Expenses for commercial operating properties increased to $81.1 million in 2013 from $73.7 million in 2012. For 2013, expenses for same store commercial operating properties, excluding hotels, increased to $41.5 million from $41.0 million for 2012 due primarily to increased operating expenses at a property. At the end of 2012, we acquired title to a property, which contributed $10.3 million to real estate expenses for 2013. The increase was offset by a reduction in ancillary expenses related to a hotel property. Carrying costs and other expenses on our land assets increased to $33.8 million in 2013 from $27.3 million in 2012, primarily related to increased pre-development activities. The increases were offset by a decrease in costs associated with residential units to $19.8 million in 2013 from $26.6 million in 2012 due to continued unit sales, which reduced our homeowners' association fees and other related expenses. Additionally, operating expenses for net lease assets decreased to $22.7 million in 2013 from $23.9 million in 2012 due primarily to improvements in collectability of receivables in 2013. For 2013 and 2012, expenses for same store net lease assets were $22.7 million as there was no significant changes year over year.</w:t>
      </w:r>
    </w:p>
    <w:p>
      <w:pPr>
        <w:spacing w:after="0" w:line="14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to $71.3 million in 2013 from $68.8 million in 2012 primarily due to the acquisition of additional operating properties in late 2012 and during 2013.</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to $92.1 million in 2013 as compared to $80.9 million in 2012 primarily due to an increase in compensation related costs pertaining to annual performance based bonuses.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Provision for loan losses declined to $5.5 million in 2013 as compared to $81.7 million in 2012 as less specific reserves were required on a lower balance of non-performing loans. Included in the provision for the year ended December 31, 2013 were specific reserves totaling $72.5 million which were established on non-performing loans offset by recoveries of previously recorded loan loss reserves of $63.1 million.</w:t>
      </w:r>
    </w:p>
    <w:p>
      <w:pPr>
        <w:spacing w:after="0" w:line="13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Impairment of assets in 2013 resulted from changes in local market conditions and business strategy for certain assets and consisted of $14.4 million related to real estate properties. Of these amounts, $1.8 million of impairments related to real estate assets held for sale or sold and were therefore included in discontinued operations in 2013. In 2012, we recorded impairments of $27.7 million on operating properties and $7.7 million on net lease assets, which resulted from changes in local market conditions and business strategy for certain assets. Of these amounts, $22.6 million related to real estate assets held for sale or sold and therefore, were included in discontinued operations for the year ended December 31, 2012.</w:t>
      </w:r>
    </w:p>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expense decreased to $8.1 million in 2013 as compared to $17.3 million in 2012 due primarily to $8.1 million of third party expenses incurred in 2012 in connection with the refinancing of our 2011 Secured Credit Facilities with our October 2012 Credit Facility (see Liquidity and Capital Resources below).</w:t>
      </w:r>
    </w:p>
    <w:p>
      <w:pPr>
        <w:spacing w:after="0" w:line="132"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 net</w:t>
      </w:r>
      <w:r>
        <w:rPr>
          <w:rFonts w:ascii="Times New Roman" w:cs="Times New Roman" w:eastAsia="Times New Roman" w:hAnsi="Times New Roman"/>
          <w:sz w:val="18"/>
          <w:szCs w:val="18"/>
          <w:color w:val="auto"/>
        </w:rPr>
        <w:t>—In 2013, we incurred losses on the early extinguishment of debt due to accelerated amortization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discounts and fees of $7.7 million relating to the refinancing of our October 2012 Secured Credit Facility in February 2013 and $13.2 million relating to accelerated amortization of discount and fees associated with repayments on our 2012 and 2013 Secured Credit Facilities. We also redeemed our 5.95% senior unsecured notes due October 2013 and our 5.70% senior unsecured notes due March 2014 prior to maturity and incurred $12.3 million of losses related to a prepayment penalty and the acceleration of amortization of discounts (see Liquidity and Capital Resources below).</w:t>
      </w:r>
    </w:p>
    <w:p>
      <w:pPr>
        <w:spacing w:after="0" w:line="18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2012, net losses on the early extinguishment of debt included a $14.9 million prepayment fee on the early redemption of our 8.625% Senior Unsecured Notes due in June 2013 as well as $12.1 million related to the accelerated amortization of discounts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fees in connection with the refinancing of our 2011 Secured Credit Facilities in October 2012 (see Liquidity and Capital Resources below). We also recorded $13.8 million of losses in 2012 related to the accelerated amortization of discounts and fees in connection with amortization payments that we made on our 2011 and 2012 Secured Credit Facilities. These losses were partially offset by gains on the repurchases of unsecured notes during 2012.</w:t>
      </w:r>
    </w:p>
    <w:p>
      <w:pPr>
        <w:spacing w:after="0" w:line="17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investments</w:t>
      </w:r>
      <w:r>
        <w:rPr>
          <w:rFonts w:ascii="Times New Roman" w:cs="Times New Roman" w:eastAsia="Times New Roman" w:hAnsi="Times New Roman"/>
          <w:sz w:val="18"/>
          <w:szCs w:val="18"/>
          <w:color w:val="auto"/>
        </w:rPr>
        <w:t>—Earnings from equity method investments decreased to $41.5 million in 2013 as compared to $103.0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2012. For one of our real estate equity investments, our equity in earnings decreased to $4.3 million in 2013 from $25.2 million in 2012 due to lower income from sales of residential property units for a building that was approaching complete sell-out. Our equity in earnings from LNR decreased to $47.3 million in 2013 from $60.7 million in 2012 due to the sale of our interest in LNR in April 2013. Our equity in earnings in 2013 was offset by an other than temporary impairment of $30.9 million arising from the terms of the sale of the Company's investment in LNR. The Company and other owners of LNR entered into negotiations with potential purchasers of LNR beginning in September 2012. After an extensive due diligence and negotiation process, the LNR owners entered into a definitive contract to sell LNR in January 2013 at a fixed sale price which, from the Company's perspective, reflected in part the Company's then-current expectations about the future results of LNR and potential volatility in its business. The definitive sale contract provided that LNR would not make cash distributions to its owners during the fourth quarter of 2012 through the closing of the sale. Notwithstanding the fixed terms of the contract, our investment balance in LNR increased due to equity in earnings recorded which resulted in our recognition of other than temporary impairment on our investment during 2013.</w:t>
      </w:r>
    </w:p>
    <w:p>
      <w:pPr>
        <w:spacing w:after="0" w:line="18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Loss on transfer of interest to unconsolidated subsidiary</w:t>
      </w:r>
      <w:r>
        <w:rPr>
          <w:rFonts w:ascii="Times New Roman" w:cs="Times New Roman" w:eastAsia="Times New Roman" w:hAnsi="Times New Roman"/>
          <w:sz w:val="18"/>
          <w:szCs w:val="18"/>
          <w:color w:val="auto"/>
        </w:rPr>
        <w:t>—In 2013, we entered into a venture with a national homebuilder to jointly develop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residential lots in the first phase of Spring Mountain Ranch, a 1,400-lot master planned community. We contributed the initial phase of land, which had a carrying value of $24.1 million, to the venture in exchange for a retained interest of $16.7 million, resulting in a $7.4 million loss.</w:t>
      </w:r>
    </w:p>
    <w:p>
      <w:pPr>
        <w:spacing w:after="0" w:line="17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r>
        <w:rPr>
          <w:rFonts w:ascii="Times New Roman" w:cs="Times New Roman" w:eastAsia="Times New Roman" w:hAnsi="Times New Roman"/>
          <w:sz w:val="18"/>
          <w:szCs w:val="18"/>
          <w:color w:val="auto"/>
        </w:rPr>
        <w:t>—Income taxes are primarily generated by assets held in our taxable REIT subsidiaries (“TRS's”). Income taxes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 net benefit of $0.7 million in 2013 as compared to a net expense of $8.4 million in 2012 due primarily to a tax benefit generated by certain property level expenses as well as lower taxable income from LNR, which was sold in April 2013.</w:t>
      </w:r>
    </w:p>
    <w:p>
      <w:pPr>
        <w:spacing w:after="0" w:line="17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Discontinued operations</w:t>
      </w:r>
      <w:r>
        <w:rPr>
          <w:rFonts w:ascii="Times New Roman" w:cs="Times New Roman" w:eastAsia="Times New Roman" w:hAnsi="Times New Roman"/>
          <w:sz w:val="18"/>
          <w:szCs w:val="18"/>
          <w:color w:val="auto"/>
        </w:rPr>
        <w:t>—In 2013, we sold commercial operating properties with a total carrying value of $72.6 million which resulted in a gain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$18.6 million and net lease assets with a total carrying value of $18.7 million which resulted in a net gain of $2.2 million. In 2012, we sold net lease assets with a carrying value of $115.5 million and recorded gains of $27.3 million.</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Income (loss) from discontinued operations includes operating results from net lease assets and commercial operating properties held for sale or sold as of December 31, 2013. In 2013 and 2012, income (loss) from discontinued operations includes impairment of assets of $1.8 million and $22.6 million, respectively.</w:t>
      </w:r>
    </w:p>
    <w:p>
      <w:pPr>
        <w:spacing w:after="0" w:line="17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from sales of real estate</w:t>
      </w:r>
      <w:r>
        <w:rPr>
          <w:rFonts w:ascii="Times New Roman" w:cs="Times New Roman" w:eastAsia="Times New Roman" w:hAnsi="Times New Roman"/>
          <w:sz w:val="18"/>
          <w:szCs w:val="18"/>
          <w:color w:val="auto"/>
        </w:rPr>
        <w:t>—In 2013 and 2012, we sold residential condominiums for total net proceeds of $269.7 million and $319.3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that resulted in income from sales of residential properties totaling $82.6 million and $63.5 million, respectively. In 2013, we also sold land for proceeds of $36.7 million that resulted in income of $4.0 million.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income and Adjusted EBITDA</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addition to net income (loss), we use Adjusted income and Adjusted EBITDA to measure our operating performance. Adjusted income represents net income (loss) allocable to common shareholders, prior to the effect of depreciation and amortization, provision for (recovery of) loan losses, impairment of assets, loss on transfer of interest to unconsolidated subsidiary, stock-based compensation expense, and the non-cash portion of gain (loss) on early extinguishment of debt. Adjusted EBITDA represents net income (loss) plus the sum of interest expense, income taxes, depreciation and amortization, provision for (recovery of) loan losses, impairment of assets, loss on transfer of interest to unconsolidated subsidiary, stock-based compensation expense and gain (loss) on early extinguishment of debt.</w:t>
      </w:r>
    </w:p>
    <w:p>
      <w:pPr>
        <w:spacing w:after="0" w:line="18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believe Adjusted income and Adjusted EBITDA are useful measures to consider, in addition to net income (loss), as they may help investors evaluate our core operating performance prior to certain non-cash items.</w:t>
      </w:r>
    </w:p>
    <w:p>
      <w:pPr>
        <w:spacing w:after="0" w:line="16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Adjusted income and Adjusted EBITDA should be examined in conjunction with net income (loss) as shown in our Consolidated Statements of Operations. Adjusted income and Adjusted EBITDA should not be considered as an alternative to net income (loss) (determined in accordance with GAAP), as an indicator of our performance, or to cash flows from operating activities (determined in accordance with GAAP) as a measure of our liquidity, nor are Adjusted income and Adjusted EBITDA indicative of funds available to fund our cash needs or available for distribution to shareholders. Rather, Adjusted income and Adjusted EBITDA are additional measures for us to use to analyze how our business is performing. It should be noted that our manner of calculating Adjusted income and Adjusted EBITDA may differ from the calculations of similarly-titled measures by other companies.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2010</w:t>
            </w:r>
          </w:p>
        </w:tc>
      </w:tr>
      <w:tr>
        <w:trPr>
          <w:trHeight w:val="250"/>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income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allocable to common shareholders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(155,769)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(272,997)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36,279</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 Depreciation and amortization(1)</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76,287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72,439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70,786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63,928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70,786</w:t>
            </w:r>
          </w:p>
        </w:tc>
      </w:tr>
      <w:tr>
        <w:trPr>
          <w:trHeight w:val="243"/>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Add/Less: Provision for (recovery of) loan losses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81,740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46,412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331,487</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 Impairment of assets(2)</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34,634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14,353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36,354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22,381</w:t>
            </w:r>
          </w:p>
        </w:tc>
      </w:tr>
      <w:tr>
        <w:trPr>
          <w:trHeight w:val="243"/>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 Loss on transfer of interest to unconsolidated subsidiary</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19,261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15,293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29,702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19,355</w:t>
            </w:r>
          </w:p>
        </w:tc>
      </w:tr>
      <w:tr>
        <w:trPr>
          <w:trHeight w:val="243"/>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 Loss (gain) on early extinguishment of debt, net(3)</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25,369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19,655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22,405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(101,466)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(110,075)</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HPU/Participating Security allocation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r>
      <w:tr>
        <w:trPr>
          <w:trHeight w:val="25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income (loss) allocable to common shareholders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109,377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360,525</w:t>
            </w: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07" w:lineRule="exact"/>
        <w:rPr>
          <w:sz w:val="20"/>
          <w:szCs w:val="20"/>
          <w:color w:val="auto"/>
        </w:rPr>
      </w:pPr>
    </w:p>
    <w:p>
      <w:pPr>
        <w:jc w:val="both"/>
        <w:ind w:left="660" w:hanging="652"/>
        <w:spacing w:after="0" w:line="249" w:lineRule="auto"/>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2013, 2012, 2011 and 2010, depreciation and amortization includes $264, $2,016, $5,837 and $14,117, respectively, of depreciation and amortization reclassified to discontinued operations. Depreciation and amortization also includes our proportionate share of depreciation and amortization expense for equity method investments and excludes the portion of depreciation and amortization expense allocable to noncontrolling interests.</w:t>
      </w:r>
    </w:p>
    <w:p>
      <w:pPr>
        <w:spacing w:after="0" w:line="1" w:lineRule="exact"/>
        <w:rPr>
          <w:rFonts w:ascii="Times New Roman" w:cs="Times New Roman" w:eastAsia="Times New Roman" w:hAnsi="Times New Roman"/>
          <w:sz w:val="14"/>
          <w:szCs w:val="14"/>
          <w:color w:val="auto"/>
        </w:rPr>
      </w:pPr>
    </w:p>
    <w:p>
      <w:pPr>
        <w:ind w:left="660" w:hanging="652"/>
        <w:spacing w:after="0" w:line="241" w:lineRule="auto"/>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2013, 2012, 2011 and 2010, impairment of assets includes $1,764, $22,576, $9,147 and $9,572, respectively, of impairment of assets reclassified to discontinued operations.</w:t>
      </w:r>
    </w:p>
    <w:p>
      <w:pPr>
        <w:ind w:left="660" w:hanging="652"/>
        <w:spacing w:after="0"/>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2013, 2012 and 2010, loss on early extinguishment of debt excludes the portion of losses paid in cash of $13,535, $15,411 and $1,152, respectively.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526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650"/>
        </w:trPr>
        <w:tc>
          <w:tcPr>
            <w:tcW w:w="1020" w:type="dxa"/>
            <w:vAlign w:val="bottom"/>
            <w:tcBorders>
              <w:top w:val="single" w:sz="8" w:color="0000EE"/>
            </w:tcBorders>
          </w:tcPr>
          <w:p>
            <w:pPr>
              <w:spacing w:after="0"/>
              <w:rPr>
                <w:sz w:val="24"/>
                <w:szCs w:val="24"/>
                <w:color w:val="auto"/>
              </w:rPr>
            </w:pPr>
          </w:p>
        </w:tc>
        <w:tc>
          <w:tcPr>
            <w:tcW w:w="4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2010</w:t>
            </w:r>
          </w:p>
        </w:tc>
      </w:tr>
      <w:tr>
        <w:trPr>
          <w:trHeight w:val="196"/>
        </w:trPr>
        <w:tc>
          <w:tcPr>
            <w:tcW w:w="10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5"/>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15,765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(241,430)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80,206</w:t>
            </w:r>
          </w:p>
        </w:tc>
      </w:tr>
      <w:tr>
        <w:trPr>
          <w:trHeight w:val="27"/>
        </w:trPr>
        <w:tc>
          <w:tcPr>
            <w:tcW w:w="10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Interest expense(1)</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228,395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269,921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356,161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345,914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346,500</w:t>
            </w:r>
          </w:p>
        </w:tc>
      </w:tr>
      <w:tr>
        <w:trPr>
          <w:trHeight w:val="243"/>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 Income tax expense (benefit)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7,023</w:t>
            </w:r>
          </w:p>
        </w:tc>
      </w:tr>
      <w:tr>
        <w:trPr>
          <w:trHeight w:val="27"/>
        </w:trPr>
        <w:tc>
          <w:tcPr>
            <w:tcW w:w="10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Depreciation and amortization(2)</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79,042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74,673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70,786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63,928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70,786</w:t>
            </w:r>
          </w:p>
        </w:tc>
      </w:tr>
      <w:tr>
        <w:trPr>
          <w:trHeight w:val="237"/>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327,114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232,702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193,962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379,430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504,515</w:t>
            </w:r>
          </w:p>
        </w:tc>
      </w:tr>
      <w:tr>
        <w:trPr>
          <w:trHeight w:val="27"/>
        </w:trPr>
        <w:tc>
          <w:tcPr>
            <w:tcW w:w="10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Provision for (recovery of) loan losses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81,740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331,487</w:t>
            </w:r>
          </w:p>
        </w:tc>
      </w:tr>
      <w:tr>
        <w:trPr>
          <w:trHeight w:val="243"/>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 Impairment of assets(3)</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34,634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14,353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36,354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22,381</w:t>
            </w:r>
          </w:p>
        </w:tc>
      </w:tr>
      <w:tr>
        <w:trPr>
          <w:trHeight w:val="27"/>
        </w:trPr>
        <w:tc>
          <w:tcPr>
            <w:tcW w:w="10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Loss on transfer of interest to unconsolidated subsidiary</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19,261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15,293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19,355</w:t>
            </w:r>
          </w:p>
        </w:tc>
      </w:tr>
      <w:tr>
        <w:trPr>
          <w:trHeight w:val="27"/>
        </w:trPr>
        <w:tc>
          <w:tcPr>
            <w:tcW w:w="10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Loss (gain) on early extinguishment of debt, net(4)</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25,369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19,655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22,405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(101,466)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(110,075)</w:t>
            </w:r>
          </w:p>
        </w:tc>
      </w:tr>
      <w:tr>
        <w:trPr>
          <w:trHeight w:val="257"/>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398,717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298,833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349,754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376,464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767,663</w:t>
            </w:r>
          </w:p>
        </w:tc>
      </w:tr>
      <w:tr>
        <w:trPr>
          <w:trHeight w:val="20"/>
        </w:trPr>
        <w:tc>
          <w:tcPr>
            <w:tcW w:w="10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660" w:hanging="652"/>
        <w:spacing w:after="0" w:line="253"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2012, 2011 and 2010, interest expense includes $1,064, $3,728 and $32,734, respectively, of interest expense reclassified to discontinued operations. Interest expense includes our proportionate share of interest for equity method investments.</w:t>
      </w:r>
    </w:p>
    <w:p>
      <w:pPr>
        <w:ind w:left="660" w:hanging="652"/>
        <w:spacing w:after="0" w:line="241"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2013, 2012, 2011 and 2010 depreciation and amortization includes $264, $2,016, $5,837 and $14,117, respectively, of depreciation and amortization reclassified to discontinued operations. Depreciation and amortization also includes our proportionate share of depreciation and amortization expense for equity method investments.</w:t>
      </w:r>
    </w:p>
    <w:p>
      <w:pPr>
        <w:ind w:left="660" w:hanging="652"/>
        <w:spacing w:after="0" w:line="241"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2013, 2012, 2011 and 2010 impairment of assets includes $1,764, $22,576, $9,147 and $9,572, respectively, of impairment of assets reclassified to discontinued operations.</w:t>
      </w:r>
    </w:p>
    <w:p>
      <w:pPr>
        <w:ind w:left="660" w:hanging="652"/>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2013, 2012 and 2010, loss on early extinguishment of debt excludes the portion of losses paid in cash of $13,535, $15,411 and $1,152, respectively.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5"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Loan Credit Statistics</w:t>
      </w:r>
      <w:r>
        <w:rPr>
          <w:rFonts w:ascii="Times New Roman" w:cs="Times New Roman" w:eastAsia="Times New Roman" w:hAnsi="Times New Roman"/>
          <w:sz w:val="18"/>
          <w:szCs w:val="18"/>
          <w:color w:val="auto"/>
        </w:rPr>
        <w:t>—The table below summarizes our non-performing loans and the reserves for loan losses associated with our loans ($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Non-performing loans</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value(1)</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65,047</w:t>
            </w:r>
          </w:p>
        </w:tc>
        <w:tc>
          <w:tcPr>
            <w:tcW w:w="12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203,604</w:t>
            </w:r>
          </w:p>
        </w:tc>
      </w:tr>
      <w:tr>
        <w:trPr>
          <w:trHeight w:val="27"/>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percentage of total carrying value of loans</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Reserve for loan losses</w:t>
            </w: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Impaired loan asset-specific reserves for loan losses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64,990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348,004</w:t>
            </w:r>
          </w:p>
        </w:tc>
      </w:tr>
      <w:tr>
        <w:trPr>
          <w:trHeight w:val="243"/>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a percentage of gross carrying value of impaired loans</w:t>
            </w: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7"/>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reserve for loan losses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98,490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377,204</w:t>
            </w:r>
          </w:p>
        </w:tc>
      </w:tr>
      <w:tr>
        <w:trPr>
          <w:trHeight w:val="243"/>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a percentage of total loans before loan loss reserves</w:t>
            </w: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2014 and 2013, carrying values of non-performing loans are net of asset-specific reserves for loan losses of $64.2 million and $317.0 million, respectively.</w:t>
      </w:r>
    </w:p>
    <w:p>
      <w:pPr>
        <w:spacing w:after="0" w:line="164"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Non-Performing Loans</w:t>
      </w:r>
      <w:r>
        <w:rPr>
          <w:rFonts w:ascii="Times New Roman" w:cs="Times New Roman" w:eastAsia="Times New Roman" w:hAnsi="Times New Roman"/>
          <w:sz w:val="18"/>
          <w:szCs w:val="18"/>
          <w:color w:val="auto"/>
        </w:rPr>
        <w:t>—We designate loans as non-performing at such time as: (1) the loan becomes 90 days delinquent; (2) the loan has a maturity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default; or (3) management determines it is probable that it will be unable to collect all amounts due according to the contractual terms of the loan. All non-performing loans are placed on non-accrual status and income is only recognized in certain cases upon actual cash receipt. As of December 31, 2014, we had non-performing loans with an aggregate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4"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carrying value of $65.0 million compared to non-performing loans of $203.6 million at December 31, 2013. Our non-performing loans decreased during the year ended December 31, 2014 as we sold two non-performing loans with a total carrying value of $30.8 million and received title to and equity interests in properties that served as collateral in full satisfaction for other non-performing loans with a total carrying value of $103.7 million. We expect that our level of non-performing loans will fluctuate from period to period.</w:t>
      </w:r>
    </w:p>
    <w:p>
      <w:pPr>
        <w:spacing w:after="0" w:line="17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Reserve for Loan Losses</w:t>
      </w:r>
      <w:r>
        <w:rPr>
          <w:rFonts w:ascii="Times New Roman" w:cs="Times New Roman" w:eastAsia="Times New Roman" w:hAnsi="Times New Roman"/>
          <w:sz w:val="18"/>
          <w:szCs w:val="18"/>
          <w:color w:val="auto"/>
        </w:rPr>
        <w:t>—The reserve for loan losses was $98.5 million as of December 31, 2014, or 7.6% of total loans, compared to $377.2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23.5% at December 31, 2013. The reduction in the balance of the reserve was the result of $277.0 million of charge-offs associated with the resolutions of non-performing loans and $10.1 million of recoveries of loan losses during the year ended December 31, 2014. For the year ended December 31, 2014, the provision for loan losses includes recoveries of previously recorded loan loss reserves of $10.1 million offset by provisions for specific reserves of $4.1 million and an increase of $4.3 million in the general reserve due primarily to new investment originations. We expect that our level of reserve for loan losses will fluctuate from period to period. Due to the volatility of the commercial real estate market, the process of estimating collateral values and reserves requires the use of significant judgment. In addition, the process of estimating values and reserves for our European loan assets, which had a carrying value of $19.5 million as of December 31, 2014, is subject to additional risks related to the economic uncertainty in the Eurozone. We currently believe there are adequate collateral and reserves to support the carrying values of the loans.</w:t>
      </w:r>
    </w:p>
    <w:p>
      <w:pPr>
        <w:spacing w:after="0" w:line="18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December 31, 2014, asset-specific reserves decreased to $65.0 million compared to $348.0 million at December 31, 2013, primarily due to charge-offs on non-performing loans that were sold and non-performing loans where we received title to properties that served as collateral in full satisfaction of such loans.</w:t>
      </w:r>
    </w:p>
    <w:p>
      <w:pPr>
        <w:spacing w:after="0" w:line="18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8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general reserve increased to $33.5 million or 2.9% of performing loans as of December 31, 2014, compared to $29.2 million or 2.7% of performing loans at December 31, 2013. This increase was primarily attributable to the increase in the balance of performing loans, which was driven by new investment originations.</w:t>
      </w:r>
    </w:p>
    <w:p>
      <w:pPr>
        <w:spacing w:after="0" w:line="17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Risk concentrations</w:t>
      </w:r>
      <w:r>
        <w:rPr>
          <w:rFonts w:ascii="Times New Roman" w:cs="Times New Roman" w:eastAsia="Times New Roman" w:hAnsi="Times New Roman"/>
          <w:sz w:val="18"/>
          <w:szCs w:val="18"/>
          <w:color w:val="auto"/>
        </w:rPr>
        <w:t>—Concentrations of credit risks arise when a number of borrowers or tenants related to our investments are engaged in similar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activities, or activities in the same geographic region, or have similar economic features that would cause their ability to meet contractual obligations, including those to us, to be similarly affected by changes in economic conditions.</w:t>
      </w:r>
    </w:p>
    <w:p>
      <w:pPr>
        <w:spacing w:after="0" w:line="9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Substantially all of our real estate as well as assets collateralizing our loans receivable are located in the United States. As of December 31, 2014, the only states with a concentration greater than 10.0% were California with 14.6% and New York with 13.9%. As of that date, we also had approximately 26.3% of the carrying value of our assets related to properties located in the northeastern U.S., 19.2% related to properties located in the western U.S., 15.2% related to properties located in the mid-Atlantic U.S., 14.7% related to properties located in the southeastern U.S. and 13.4% related to properties located in the southwestern region of the U.S. In addition, as of December 31, 2014, we had $25.5 million of European assets. As of December 31, 2014, our portfolio contains concentrations in the following asset types: office/industrial 26.7%, land 21.7%, mixed use/mixed collateral 13.0% and entertainment/leisure 11.0%. Additional information regarding property/collateral type and geographical region for each segment is in Item 1—"Business."</w:t>
      </w:r>
    </w:p>
    <w:p>
      <w:pPr>
        <w:spacing w:after="0" w:line="24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underwrite the credit of prospective borrowers and tenants and often require them to provide some form of credit support such as corporate guarantees, letters of credit and/or cash security deposits. Although our loans and real estate assets are geographically diverse and the borrowers and tenants operate in a variety of industries, to the extent we have a significant concentration of interest or operating lease revenues from any single borrower or tenant, the inability of that borrower or tenant to make its payment could have an adverse effect on us. As of December 31, 2014, our five largest borrowers or tenants collectively accounted for approximately 21% of our 2014 revenues, of which no single customer accounts for more than 6%.</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2014, we committed to new investments totaling $1.27 billion, of which we funded $905.8 million. The fundings included $624.1 million in lending and other investments, $116.3 million to acquire and invest in net lease assets and $165.4 million of capital to reposition or redevelop our operating properties and develop our land assets. Also during the year ended December 31, 2014, we generated $1.10 billion of proceeds from loan repayments and asset sales within our portfolio, comprised of $584.2 million from real estate finance, $272.7 million from operating properties, $118.4 million from other investments, $103.6 million from net lease assets and $22.2 million from land. These amounts are inclusive of fundings and proceeds from both consolidated and equity method investments. As of December 31, 2014, we had unrestricted cash of $472.1 million.</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outlines our capital expenditures on real estate assets reflected in our Consolidated Statements of Cash Flows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and 2013, by segment ($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4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740" w:type="dxa"/>
            <w:vAlign w:val="bottom"/>
            <w:tcBorders>
              <w:bottom w:val="single" w:sz="8" w:color="auto"/>
            </w:tcBorders>
          </w:tcPr>
          <w:p>
            <w:pPr>
              <w:spacing w:after="0"/>
              <w:rPr>
                <w:sz w:val="22"/>
                <w:szCs w:val="22"/>
                <w:color w:val="auto"/>
              </w:rPr>
            </w:pP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74,323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36,346</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Properties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58,631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43,329</w:t>
            </w: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Lease</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9,833</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29,728</w:t>
            </w:r>
          </w:p>
        </w:tc>
      </w:tr>
      <w:tr>
        <w:trPr>
          <w:trHeight w:val="257"/>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capital expenditures on real estate assets</w:t>
            </w: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142,787</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109,403</w:t>
            </w:r>
          </w:p>
        </w:tc>
      </w:tr>
      <w:tr>
        <w:trPr>
          <w:trHeight w:val="20"/>
        </w:trPr>
        <w:tc>
          <w:tcPr>
            <w:tcW w:w="7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primary cash uses over the next 12 months are expected to be capital expenditures, repayments of debt, funding of investments and funding ongoing business operations. We have debt maturities of $105.8 million due before December 31, 2015. Over the next 12 months, we currently expect to fund in the range of $200 million to $275 million of capital expenditures within our portfolio. The majority of these amounts relate to our land, multifamily and residential development activities and operating properties. The amount spent will depend on the pace of our development activities as well as the extent to which we strategically partner with others to complete these projects. As of December 31, 2014, we also had approximately $630 million of maximum unfunded commitments under our investments, assuming borrowers and tenants meet all milestones and performance hurdles and all other conditions to fundings are met. See "Unfunded Commitments" below. Our capital sources to meet expected cash uses through the next 12 months will primarily include cash on hand, income from our portfolio, loan repayments from borrowers, proceeds from asset sales and capital raised through debt refinancings or equity capital transactions.</w:t>
      </w:r>
    </w:p>
    <w:p>
      <w:pPr>
        <w:spacing w:after="0" w:line="14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cannot predict with certainty the specific transactions we will undertake to generate sufficient liquidity to meet our obligations as they come due. We will adjust our plans as appropriate in response to changes in our expectations and changes in market conditions. While economic trends have continued to improve, it is not possible for us to predict whether the improving trends will continue or to quantify the impact of these or other trends on our financial results.</w:t>
      </w:r>
    </w:p>
    <w:p>
      <w:pPr>
        <w:spacing w:after="0" w:line="136"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Obligations</w:t>
      </w:r>
      <w:r>
        <w:rPr>
          <w:rFonts w:ascii="Times New Roman" w:cs="Times New Roman" w:eastAsia="Times New Roman" w:hAnsi="Times New Roman"/>
          <w:sz w:val="18"/>
          <w:szCs w:val="18"/>
          <w:color w:val="auto"/>
        </w:rPr>
        <w:t>—The following table outlines the contractual obligations related to our long-term debt agreements and operating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obligations as of December 31, 2014 (see Item 8—"Financial Statements and Supplemental Data—Note 8").</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Amounts Due By Period</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40" w:type="dxa"/>
            <w:vAlign w:val="bottom"/>
          </w:tcPr>
          <w:p>
            <w:pPr>
              <w:spacing w:after="0"/>
              <w:rPr>
                <w:sz w:val="12"/>
                <w:szCs w:val="12"/>
                <w:color w:val="auto"/>
              </w:rPr>
            </w:pPr>
          </w:p>
        </w:tc>
        <w:tc>
          <w:tcPr>
            <w:tcW w:w="960" w:type="dxa"/>
            <w:vAlign w:val="bottom"/>
          </w:tcPr>
          <w:p>
            <w:pPr>
              <w:jc w:val="right"/>
              <w:ind w:right="396"/>
              <w:spacing w:after="0" w:line="149"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ind w:right="434"/>
              <w:spacing w:after="0" w:line="149" w:lineRule="exact"/>
              <w:rPr>
                <w:sz w:val="20"/>
                <w:szCs w:val="20"/>
                <w:color w:val="auto"/>
              </w:rPr>
            </w:pPr>
            <w:r>
              <w:rPr>
                <w:rFonts w:ascii="Times New Roman" w:cs="Times New Roman" w:eastAsia="Times New Roman" w:hAnsi="Times New Roman"/>
                <w:sz w:val="14"/>
                <w:szCs w:val="14"/>
                <w:b w:val="1"/>
                <w:bCs w:val="1"/>
                <w:color w:val="auto"/>
              </w:rPr>
              <w:t>3 - 5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5 - 10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274"/>
              <w:spacing w:after="0" w:line="149" w:lineRule="exact"/>
              <w:rPr>
                <w:sz w:val="20"/>
                <w:szCs w:val="20"/>
                <w:color w:val="auto"/>
              </w:rPr>
            </w:pPr>
            <w:r>
              <w:rPr>
                <w:rFonts w:ascii="Times New Roman" w:cs="Times New Roman" w:eastAsia="Times New Roman" w:hAnsi="Times New Roman"/>
                <w:sz w:val="14"/>
                <w:szCs w:val="14"/>
                <w:b w:val="1"/>
                <w:bCs w:val="1"/>
                <w:color w:val="auto"/>
              </w:rPr>
              <w:t>After 10</w:t>
            </w: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 Obligations</w:t>
            </w: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credit facilities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358,504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358,504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3,326,890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105,765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1,851,125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1,370,000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term loans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248,955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19,132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49,427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169,296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7"/>
        </w:trPr>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principal maturities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4,034,349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114,488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2,228,761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1,419,427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169,296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102,377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Payable(1)</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704,202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207,079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324,699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126,711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26,203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19,510</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Obligations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32,065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10,580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4,770,616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327,165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2,564,040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1,553,759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202,308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123,344</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variable-rate debt assumes a 3-month LIBOR rate of 0.23%.</w:t>
      </w:r>
    </w:p>
    <w:p>
      <w:pPr>
        <w:spacing w:after="0" w:line="17" w:lineRule="exact"/>
        <w:rPr>
          <w:rFonts w:ascii="Times New Roman" w:cs="Times New Roman" w:eastAsia="Times New Roman" w:hAnsi="Times New Roman"/>
          <w:sz w:val="14"/>
          <w:szCs w:val="14"/>
          <w:color w:val="auto"/>
        </w:rPr>
      </w:pPr>
    </w:p>
    <w:p>
      <w:pPr>
        <w:ind w:left="660" w:hanging="652"/>
        <w:spacing w:after="0" w:line="258" w:lineRule="auto"/>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also have issued letters of credit totaling $3.7 million in connection with our investments. See Unfunded Commitments below, for a discussion of certain unfunded commitments related to our lending and net lease businesses.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February 2013 Secured Credit Facility</w:t>
      </w:r>
      <w:r>
        <w:rPr>
          <w:rFonts w:ascii="Times New Roman" w:cs="Times New Roman" w:eastAsia="Times New Roman" w:hAnsi="Times New Roman"/>
          <w:sz w:val="18"/>
          <w:szCs w:val="18"/>
          <w:color w:val="auto"/>
        </w:rPr>
        <w:t>—On February 11, 2013, we entered into a $1.71 billion senior secured credit facility due October 15,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"February 2013 Secured Credit Facility") that amended and restated our $1.82 billion senior secured credit facility, dated October 15, 2012 (the "October 2012 Secured Credit Facility"). The February 2013 Credit Facility amended the October 2012 Secured Credit Facility by: (i) reducing the interest rate from LIBOR plus 4.50%, with a 1.25% LIBOR floor, to LIBOR plus 3.50%, with a 1.00% LIBOR floor; and (ii) extending the call protection period for the lenders from October 15, 2013 to December 31, 2013.</w:t>
      </w:r>
    </w:p>
    <w:p>
      <w:pPr>
        <w:spacing w:after="0" w:line="14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February 2013 Secured Credit Facility transaction, we incurred $17.1 million of lender fees, of which $14.4 million was capitalized in "Debt obligations, net" on our Consolidated Balance Sheets and $2.7 million was recorded as a loss in "Loss on early extinguishment of debt, net" on our Consolidated Statements of Operations as it related to the lenders who did not participate in the new facility. We also incurred $3.8 million in third party fees, of which $3.6 million was recognized in “Other expense” on our Consolidated Statements of Operations, as it related primarily to those lenders from the original facility that modified their debt under the new facility, and $0.2 million was recorded in “Deferred expenses and other assets, net” on our Consolidated Balance Sheets, as it related to the new lenders.</w:t>
      </w:r>
    </w:p>
    <w:p>
      <w:pPr>
        <w:spacing w:after="0" w:line="14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2014, net proceeds from the issuances of our $550.0 million aggregate principal amount of 4.00% senior unsecured notes and $770.0 million aggregate principal amount of 5.00% senior unsecured notes, together with cash on hand, were used to fully repay and terminate the February 2013 Secured Credit Facility. The transaction supported our strategy to become primarily an unsecured borrower. The refinancing allowed us to reduce our percentage of secured debt outstanding down to 16% of total debt from 49% prior to the transaction. Through the transaction, we also unencumbered $2.0 billion of collateral, which included more than $1.5 billion of net lease assets and performing loans. Furthermore, the transaction provides us with additional liquidity as we will now retain 100% of proceeds from the sales and repayments of these previously encumbered assets rather than directing them to repay the February 2013 Secured Credit Facility.</w:t>
      </w:r>
    </w:p>
    <w:p>
      <w:pPr>
        <w:spacing w:after="0" w:line="14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From February 2013 through full payoff in June 2014, we made cumulative amortization repayments of $388.5 million. During the year ended December 31, 2014 and 2013, amortization repayments made by us resulted in losses on early extinguishment of debt of $1.1 million and $7.0 million, respectively, related to the accelerated amortization of discounts and unamortized deferred financing fees on the portion of the facility that was repaid. In connection with the repayment and termination of the facility in 2014, we recorded a loss on early extinguishment of debt of $22.8 million related to unamortized discounts and financing fees at the time of refinancing. These amounts were included in "Loss on early extinguishment of debt, net" on our Consolidated Statements of Operations.</w:t>
      </w:r>
    </w:p>
    <w:p>
      <w:pPr>
        <w:spacing w:after="0" w:line="14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March 2012 Secured Credit Facilities</w:t>
      </w:r>
      <w:r>
        <w:rPr>
          <w:rFonts w:ascii="Times New Roman" w:cs="Times New Roman" w:eastAsia="Times New Roman" w:hAnsi="Times New Roman"/>
          <w:sz w:val="18"/>
          <w:szCs w:val="18"/>
          <w:color w:val="auto"/>
        </w:rPr>
        <w:t>—In March 2012, we entered into an $880.0 million senior secured credit agreement providing for two tranches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term loans: a $410.0 million 2012 A-1 tranche due March 2016, which bears interest at a rate of LIBOR + 4.00% (the "2012 Tranche A-1 Facility"), and a $470.0 million 2012 A-2 tranche due March 2017, which bears interest at a rate of LIBOR + 5.75% (the "2012 Tranche A-2 Facility," together the "March 2012 Secured Credit Facilities"). The 2012 A-1 and A-2 tranches were issued at 98.0% of par and 98.5% of par, respectively, and both tranches include a LIBOR floor of 1.25%. Proceeds from the March 2012 Secured Credit Facilities, together with cash on hand, were used to repurchase and repay at maturity $606.7 million aggregate principal amount of our convertible notes due October 2012, to fully repay the $244.0 million balance on our unsecured credit facility due June 2012, and to repay, upon maturity, $90.3 million outstanding principal balance of our 5.50% senior unsecured notes.</w:t>
      </w:r>
    </w:p>
    <w:p>
      <w:pPr>
        <w:spacing w:after="0" w:line="18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March 2012 Secured Credit Facilities are collateralized by a first lien on a fixed pool of assets. Proceeds from principal repayments and sales of collateral are applied to amortize the March 2012 Secured Credit Facilities. Proceeds received for interest, rent, lease payments and fee income are retained by us. We may also make optional prepayments, subject to prepayment fees. The 2012 Tranche A-1 Facility was fully repaid in August 2013. Additionally, through December 31, 2014, we made cumulative amortization repayments of $111.5 million on the 2012 Tranche A-2 Facility. For the years ended December 31, 2014 and 2013, repayments of the 2012 Tranche A-2 Facility prior to maturity resulted in losses on early extinguishment of debt of $1.5 million and $1.0 million, respectively, related to the accelerated amortization of discounts and unamortized deferred financing fees on the portion of the facility that was repaid. These amounts were included in "Loss on early extinguishment of debt, net" on our Consolidated Statements of Operations.</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Repayments of the 2012 Tranche A-1 Facility prior to scheduled amortization dates resulted in losses on early extinguishment of debt of $4.4 million and $8.1 million during the years ended December 31, 2013 and 2012, respectively, related to the accelerated amortization of discounts and unamortized deferred financing fees on the portion of the facility that was repaid. These amounts were included in "Loss on early extinguishment of debt, net" on our Consolidated Statements of Operations.</w:t>
      </w:r>
    </w:p>
    <w:p>
      <w:pPr>
        <w:spacing w:after="0" w:line="176"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Unsecured Notes</w:t>
      </w:r>
      <w:r>
        <w:rPr>
          <w:rFonts w:ascii="Times New Roman" w:cs="Times New Roman" w:eastAsia="Times New Roman" w:hAnsi="Times New Roman"/>
          <w:sz w:val="18"/>
          <w:szCs w:val="18"/>
          <w:color w:val="auto"/>
        </w:rPr>
        <w:t>—In June 2014, we issued $550.0 million aggregate principal amount of 4.00% senior unsecured notes due November 2017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$770.0 million aggregate principal amount of 5.00% senior unsecured notes due July 2019. Net proceeds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these transactions, together with cash on hand, were used to fully repay and terminate the February 2013 Secured Credit Facility which had an outstanding balance of $1.32 billion.</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November 2013, we issued $200.0 million aggregate principal of 1.50% convertible senior unsecured notes due November 2016. Proceeds from the transaction, together with cash on hand, were used to fully repay the remaining $200.6 million of outstanding 5.70% senior unsecured notes due March 2014. In connection with the repayment of the 5.70% senior unsecured notes, we incurred $2.8 million of losses related to a prepayment penalty and the accelerated amortization of discounts, which was recorded in "Loss on early extinguishment of debt, net" on our Consolidated Statements of Operations for the year ended December 31, 2013.</w:t>
      </w:r>
    </w:p>
    <w:p>
      <w:pPr>
        <w:spacing w:after="0" w:line="18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May 2013, we issued $265.0 million aggregate principal of 3.875% senior unsecured notes due July 2016 and issued $300.0 million aggregate principal of 4.875% senior unsecured notes due July 2018. Net proceeds from these transactions, together with cash on hand, were used to fully repay the remaining $96.8 million of outstanding 8.625% senior unsecured notes due June 2013 and the remaining $448.5 million of outstanding 5.95% senior unsecured notes due in October 2013. In connection with the repayment of the 5.95% senior unsecured notes, we incurred $9.5 million of losses related to a prepayment penalty and the accelerated amortization of discounts, which was recorded in "Loss on early extinguishment of debt, net" on the our Consolidated Statements of Operations for the year ended December 31, 2013.</w:t>
      </w:r>
    </w:p>
    <w:p>
      <w:pPr>
        <w:spacing w:after="0" w:line="18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Encumbered/Unencumbered Assets</w:t>
      </w:r>
      <w:r>
        <w:rPr>
          <w:rFonts w:ascii="Times New Roman" w:cs="Times New Roman" w:eastAsia="Times New Roman" w:hAnsi="Times New Roman"/>
          <w:sz w:val="18"/>
          <w:szCs w:val="18"/>
          <w:color w:val="auto"/>
        </w:rPr>
        <w:t>—As of December 31, 2014 and 2013, the carrying value of our encumbered and unencumbered assets by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type are as follows ($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Encumbered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Unencumbered</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Encumbered Assets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Unencumbered</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net</w:t>
            </w: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2,056,336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1,644,463</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1,151,718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275,486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152,604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207,913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receivable and other lending investments, net(1)</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1,364,828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860,557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538,752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336,411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183,116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other assets</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768,475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907,995</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695,097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4,801,536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2,681,717</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2,989,494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2014 and 2013, the amounts presented exclude general reserves for loan losses of $33.5 million and $29.2 million,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8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outstanding unsecured debt securities contain corporate level covenants that include a covenant to maintain a ratio of unencumbered assets to unsecured indebtedness of at least 1.2x and a restriction on debt incurrence based upon the effect of the debt incurrence on our fixed charge coverage ratio. If any of our covenants are breached and not cured within applicable cure periods, the breach could result in acceleration of our debt securities unless a waiver or modification is agreed upon with the requisite percentage of the bondholders. While our ability to incur new indebtedness under the fixed charge coverage ratio is currently limited, which may put limitations on our ability to make new investments, we are permitted to incur indebtedness for the purpose of refinancing existing indebtedness and for other permitted purposes under the indentures.</w:t>
      </w:r>
    </w:p>
    <w:p>
      <w:pPr>
        <w:spacing w:after="0" w:line="18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March 2012 Secured Credit Facilities contain certain covenants, including covenants relating to collateral coverage, dividend payments, restrictions on fundamental changes, transactions with affiliates, matters relating to the liens granted to the lenders and the delivery of information to the lenders. In particular, we are required to maintain collateral coverage of 1.25x outstanding borrowings. In addition, for so long as we maintain our qualification as a REIT, the March 2012 Secured Credit Facilities permit us to distribute 100% of our REIT taxable income on an annual basis. We may not pay common dividends if we cease to qualify as a REIT.</w:t>
      </w:r>
    </w:p>
    <w:p>
      <w:pPr>
        <w:spacing w:after="0" w:line="18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March 2012 Secured Credit Facilities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Derivatives</w:t>
      </w:r>
      <w:r>
        <w:rPr>
          <w:rFonts w:ascii="Times New Roman" w:cs="Times New Roman" w:eastAsia="Times New Roman" w:hAnsi="Times New Roman"/>
          <w:sz w:val="18"/>
          <w:szCs w:val="18"/>
          <w:color w:val="auto"/>
        </w:rPr>
        <w:t>—Our use of derivative financial instruments is primarily limited to the utilization of interest rate swaps, interest rate caps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to manage interest rate risk exposure and foreign exchange contracts to manage our risk to changes in foreign currencies. In 2013, we entered into a $500 million notional interest rate cap agreement to reduce exposure to expected increases in future interest rates and the resulting payments associated with variable interest rate debt. The agreement was effective in July 2014, matures in July 2017 and has a LIBOR interest rate cap of 1.00%. See Item 8 —"Financial Statements and Supplemental Data—Note 10."</w:t>
      </w:r>
    </w:p>
    <w:p>
      <w:pPr>
        <w:spacing w:after="0" w:line="18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Off-Balance Sheet Arrangements</w:t>
      </w:r>
      <w:r>
        <w:rPr>
          <w:rFonts w:ascii="Times New Roman" w:cs="Times New Roman" w:eastAsia="Times New Roman" w:hAnsi="Times New Roman"/>
          <w:sz w:val="18"/>
          <w:szCs w:val="18"/>
          <w:color w:val="auto"/>
        </w:rPr>
        <w:t>—We are not dependent on the use of any off-balance sheet financing arrangements for liquidity. We have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in various unconsolidated ventures. See Item 8—"Financial Statements and Supplemental Data—Note 6" for further details of our unconsolidated investments. Our maximum exposure to loss from these investments is limited to the carrying value of our investments and any unfunded commitments (see below).</w:t>
      </w:r>
    </w:p>
    <w:p>
      <w:pPr>
        <w:spacing w:after="0" w:line="17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Unfunded Commitments</w:t>
      </w:r>
      <w:r>
        <w:rPr>
          <w:rFonts w:ascii="Times New Roman" w:cs="Times New Roman" w:eastAsia="Times New Roman" w:hAnsi="Times New Roman"/>
          <w:sz w:val="18"/>
          <w:szCs w:val="18"/>
          <w:color w:val="auto"/>
        </w:rPr>
        <w:t>—We generally fund construction and development loans and build-outs of space in net lease assets over a period of time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when the borrowers and tenants meet established milestones and 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December 31, 2014, the maximum amounts of the fundings we may make under each category, assuming all performance hurdles and milestones are met under the Performance-Based Commitments, that we approve all Discretionary Fundings and that 100% of our capital committed to Strategic Investments is drawn down, are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Loans and Other</w:t>
            </w:r>
          </w:p>
        </w:tc>
        <w:tc>
          <w:tcPr>
            <w:tcW w:w="22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Lending Investments</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Performance-Based Commitments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537,924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27,004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579,595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Strategic Investments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45,714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45,714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Discretionary Fundings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542,924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14,667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72,718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630,309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Stock Repurchase Programs</w:t>
      </w:r>
      <w:r>
        <w:rPr>
          <w:rFonts w:ascii="Times New Roman" w:cs="Times New Roman" w:eastAsia="Times New Roman" w:hAnsi="Times New Roman"/>
          <w:sz w:val="18"/>
          <w:szCs w:val="18"/>
          <w:color w:val="auto"/>
        </w:rPr>
        <w:t>—In September 2013, our Board of Directors approved an increase in the repurchase limit under our previously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repurchase program to $50.0 million. The program authorizes the repurchase of Common Stock from time to time in open market and privately negotiated purchases, including pursuant to one or more trading plans. During the year ended December 31, 2013, we repurchased 1.7 million shares of our outstanding Common Stock for $21.0 million, at an average cost of $12.35 per share. There were no stock repurchases during the year ended December 31, 2014. As of December 31, 2014, we had up to $29.0 million of Common Stock available to repurchase under our Board authorized stock repurchase program.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8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23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2014, management reviewed and evaluated these critical accounting estimates and believes they are appropriate. Our significant accounting policies are described in Item 8—"Financial Statements and Supplemental Data—Note 3." The following is a summary of accounting policies that require more significant management estimates and judgments:</w:t>
      </w:r>
    </w:p>
    <w:p>
      <w:pPr>
        <w:spacing w:after="0" w:line="9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Reserve for loan losses—</w:t>
      </w:r>
      <w:r>
        <w:rPr>
          <w:rFonts w:ascii="Times New Roman" w:cs="Times New Roman" w:eastAsia="Times New Roman" w:hAnsi="Times New Roman"/>
          <w:sz w:val="18"/>
          <w:szCs w:val="18"/>
          <w:color w:val="auto"/>
        </w:rPr>
        <w:t>The reserve for loan losses reflects management's estimate of loan losses inherent in the loan portfolio as of the balance sheet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If we determine that the collateral value is less than the carrying value of a collateral-dependent loan, we will record a reserve. The reserve is increased (decreased) through "Provision for (recovery of) loan losses" on our Consolidated Statements of Operations and is decreased by charge-offs. During delinquency and the foreclosure process, there are typically numerous points of negotiation with the borrower as we work toward a settlement or other alternative resolution, which can impact the potential for loan repayment or receipt of collateral. Our policy is to charge off a loan when we determine, based on a variety of factors, that all commercially reasonable means of recovering the loan balance have been exhausted. This may occur at different times, including when we receive cash or other assets in a pre-foreclosure sale or take control of the underlying collateral in full satisfaction of the loan upon foreclosure or deed-in-lieu, or when we have otherwise ceased significant collection efforts. We consider circumstances such as the foregoing to be indicators that the final steps in the loan collection process have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occurred and that a loan is uncollectible. At this point, a loss is confirmed and the loan and related reserve will be charged off. We have one portfolio segment, represented by commercial real estate lending, whereby we utilize a uniform process for determining our reserves for loan losses. The reserve for loan losses includes a general, formula-based component and an asset-specific component.</w:t>
      </w:r>
    </w:p>
    <w:p>
      <w:pPr>
        <w:spacing w:after="0" w:line="13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general reserve component covers performing loans and reserves for loan losses are recorded when (i) available information as of each balance sheet date indicates that it is probable a loss has occurred in the portfolio and (ii) the amount of the loss can be reasonably estimated. The formula-based general reserve is derived from estimated principal default probabilities and loss severities applied to groups of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internal and external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Ratings range from "1" to "5" with "1" representing the lowest risk of loss and "5" representing the highest risk of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5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asset-specific reserve component relates to reserves for losses on impaired loans. We consider a loan to be impaired when, based upon current information and events, we believe that it is probable that we will be unable to collect all amounts due under the contractual terms of the loan agreement. This assessment is made on a loan-by-loan basis each quarter based on such factors as payment status, lien position, borrower financial resources and investment in collateral, collateral type, project economics and geographical location as well as national and regional economic factors. A reserve is established for an impaired loan when the present value of payments expected to be received, observable market prices, or the estimated fair value of the collateral (for loans that are dependent on the collateral for repayment) is lower than the carrying value of that loan.</w:t>
      </w:r>
    </w:p>
    <w:p>
      <w:pPr>
        <w:spacing w:after="0" w:line="14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Substantially all of our impaired loans are collateral dependent and impairment is measured using the estimated fair value of collateral, less costs to sell. We generally use the income approach through internally developed valuation models to estimate the fair value of the collateral for such loans. In more limited cases, we obtain external "as is" appraisals for loan collateral, generally when third party participations exist. Valuations are performed or obtained at the time a loan is determined to be impaired and designated non-performing, and they are updated if circumstances indicate that a significant change in value has occurred. In limited cases, appraised values may be discounted when real estate markets rapidly deteriorate.</w:t>
      </w:r>
    </w:p>
    <w:p>
      <w:pPr>
        <w:spacing w:after="0" w:line="14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 loan is also considered impaired if its terms are modified in a troubled debt restructuring ("TDR"). A TDR occurs when we grant a concession to a debtor that is experiencing financial difficulties. Impairments on TDR loans are generally measured based on the present value of expected future cash flows discounted at the effective interest rate of the original loan.</w:t>
      </w:r>
    </w:p>
    <w:p>
      <w:pPr>
        <w:spacing w:after="0" w:line="27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provision for (recovery of) loan losses for the years ended December 31, 2014, 2013 and 2012 were $(1.7) million, $5.5 million and $81.7 million, respectively. The total reserve for loan losses at December 31, 2014 and 2013, included asset specific reserves of $65.0 million and $348.0 million, respectively, and general reserves of $33.5 million and $29.2 million, respectively.</w:t>
      </w:r>
    </w:p>
    <w:p>
      <w:pPr>
        <w:spacing w:after="0" w:line="2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Acquisition of real estate</w:t>
      </w:r>
      <w:r>
        <w:rPr>
          <w:rFonts w:ascii="Times New Roman" w:cs="Times New Roman" w:eastAsia="Times New Roman" w:hAnsi="Times New Roman"/>
          <w:sz w:val="18"/>
          <w:szCs w:val="18"/>
          <w:color w:val="auto"/>
        </w:rPr>
        <w:t>—We generally acquire real estate assets through cash purchases or through foreclosure or deed-in-lieu of foreclosure in full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partial satisfaction of non-performing loans. When we acquire assets through foreclosure or deed in lieu of foreclosure, based on our strategic plan to realize the maximum value from the collateral received, these properties are classified as "Real estate, net" or "Real estate available and held for sale" on our Consolidated Balance Sheets. When we intend to hold, operate or develop the property for a period of at least 12 months, assets are classified as "Real estate, net," and when we intend to market these properties for sale in the near term, assets are classified as "Real estate available and held for sale." Assets classified as real estate are initially recorded at their estimated fair value and assets classified as assets held for sale are recorded at their estimated fair value less costs to sell. The excess of the carrying value of the loan over these amounts is charged-off against the reserve for loan losses. In both cases, upon acquisition, tangible and intangible assets and liabilities acquired are recorded at their estimated fair values.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2014, 2013 and 2012, we received title to properties in satisfaction of senior mortgage loans with fair values of $77.9 million, $31.1 million and $267.5 million, respectively, for which those properties had served as collateral.</w:t>
      </w:r>
    </w:p>
    <w:p>
      <w:pPr>
        <w:spacing w:after="0" w:line="77"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Impairment or disposal of long-lived assets</w:t>
      </w:r>
      <w:r>
        <w:rPr>
          <w:rFonts w:ascii="Times New Roman" w:cs="Times New Roman" w:eastAsia="Times New Roman" w:hAnsi="Times New Roman"/>
          <w:sz w:val="18"/>
          <w:szCs w:val="18"/>
          <w:color w:val="auto"/>
        </w:rPr>
        <w:t>—Real estate assets to be disposed of are reported at the lower of their carrying amount or estimated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less costs to sell and are included in "Real estate available and held for sale" on our Consolidated Balance Sheets. The difference between the estimated fair value less costs to sell and the carrying value will be recorded as an impairment charge. Impairment for real estate assets disposed of or classified as held for sale on or before December 31, 2013 are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included in "Income (loss) from discontinued operations" on our Consolidated Statements of Operations. Impairment for real estate assets disposed of or classified as held for sale after December 31, 2013 are included in "Impairment of assets" on our Consolidated Statements of Operations. Once the asset is classified as held for sale and represents a strategic shift, depreciation expense is no longer recorded and historical operating results are reclassified to "Income (loss) from discontinued operations" on our Consolidated Statements of Operations.</w:t>
      </w:r>
    </w:p>
    <w:p>
      <w:pPr>
        <w:spacing w:after="0" w:line="23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periodically review long-lived assets to be held and used for impairment in value whenever events or changes in circumstances indicate that the carrying amount of such assets may not be recoverable. A held for use long-lived asset's value is impaired only if management's estimate of the aggregate future cash flows (undiscounted and without interest charges) to be generated by the asset (taking into account the anticipated holding period of the asset) is less than the carrying value. Such estimate of cash flows considers factors such as expected future operating income, trends and prospects, as well as the effects of demand, competition and other economic factors. To the extent impairment has occurred, the loss will be measured as the excess of the carrying amount of the property over the fair value of the asset and reflected as an adjustment to the basis of the asset. Impairments of real estate assets are recorded in "Impairment of assets," on our Consolidated Statements of Operations.</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2014, the Company recorded impairments on real estate assets totaling $34.6 million resulting from continued unfavorable local market conditions, changes in business strategy and the sale of a property. During the years ended December 31, 2013 and 2012, the Company recorded impairments on real estate assets totaling $14.4 million and $35.4 million, respectively, resulting from changes in local market conditions and business strategy for certain assets. Of these amounts, $1.8 million and $22.6 million for the years ended December 31, 2013 and 2012, respectively, have been recorded in "Income (loss) from discontinued operations" on the Company's Consolidated Statements of Operations due to the assets being disposed of or classified as held for sale as of December 31, 2013.</w:t>
      </w:r>
    </w:p>
    <w:p>
      <w:pPr>
        <w:spacing w:after="0" w:line="31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Identified intangible assets and liabilities</w:t>
      </w:r>
      <w:r>
        <w:rPr>
          <w:rFonts w:ascii="Times New Roman" w:cs="Times New Roman" w:eastAsia="Times New Roman" w:hAnsi="Times New Roman"/>
          <w:sz w:val="18"/>
          <w:szCs w:val="18"/>
          <w:color w:val="auto"/>
        </w:rPr>
        <w:t>—We record intangible assets and liabilities acquired at their estimated fair values, and determine whether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intangible assets and liabilities have finite or indefinite lives. As of December 31, 2014, all such acquired intangible assets and liabilities have finite lives. We amortize finite lived intangible assets and liabilities based on the period over which the assets and liabilities are expected to contribute directly or indirectly to the future cash flows of the business acquired. We review finite lived intangible assets for impairment whenever events or changes in circumstances indicate that their carrying amount may not be recoverable. If we determine the carrying value of an intangible asset is not recoverable we will record an impairment charge to the extent its carrying value exceeds its estimated fair value. Impairments of intangibles are recorded in "Impairment of assets" on our Consolidated Statements of Operations.</w:t>
      </w:r>
    </w:p>
    <w:p>
      <w:pPr>
        <w:spacing w:after="0" w:line="23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Valuation of deferred tax assets</w:t>
      </w:r>
      <w:r>
        <w:rPr>
          <w:rFonts w:ascii="Times New Roman" w:cs="Times New Roman" w:eastAsia="Times New Roman" w:hAnsi="Times New Roman"/>
          <w:sz w:val="18"/>
          <w:szCs w:val="18"/>
          <w:color w:val="auto"/>
        </w:rPr>
        <w:t>—Deferred income taxes reflect the net tax effects of temporary differences between the carrying amount of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for financial reporting purposes and the amounts used for income tax purposes, as well as operating loss and tax credit carryforwards. We evaluate the realizability of our deferred tax assets and recognize a valuation allowance if, based on the available evidence, both positive and negative, it is more likely than not that some portion or all of our deferred tax assets will not be realized. When evaluating the realizability of our deferred tax assets, we consider, among other matters, estimates of expected future taxable income, nature of current and cumulative losses, existing and projected book/tax differences, tax planning strategies available, and the general and industry specific economic outlook. This realizability analysis is inherently subjective, as it requires us to forecast our business and general economic environment in future periods. Changes in estimate of deferred tax asset realizability, if any are included in "Income tax (expense) benefit" on the Consolidated Statements of Operations.</w:t>
      </w:r>
    </w:p>
    <w:p>
      <w:pPr>
        <w:spacing w:after="0" w:line="243"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While certain entities with net operating losses ("NOLs") may generate profits in the future, which may allow us to utilize the NOLs, we continue to record a full valuation allowance on the net deferred tax asset due to the history of losses and the uncertainty of the entities' ability to generate such profits. We recorded a full valuation allowance of $54.3 million and $56.0 million as of December 31, 2014 and 2013, respectively.</w:t>
      </w:r>
    </w:p>
    <w:p>
      <w:pPr>
        <w:spacing w:after="0" w:line="22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r>
        <w:rPr>
          <w:rFonts w:ascii="Times New Roman" w:cs="Times New Roman" w:eastAsia="Times New Roman" w:hAnsi="Times New Roman"/>
          <w:sz w:val="18"/>
          <w:szCs w:val="18"/>
          <w:color w:val="auto"/>
        </w:rPr>
        <w:t>—We evaluate our investments and other contractual arrangements to determine if our interests constitute variable interests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variable interest entity ("VIE") and if we are the primary beneficiary. There is a significant amount of judgment required to determine if an entity is considered a VIE and if we are the primary beneficiary. We first perform a qualitative analysis, which requires certain subjective decisions regarding our assessment, including, but not limited to, which interests create or absorb variability, the contractual terms, the key decision making powers, impact on the VIE's economic performance and related party relationships. An iterative quantitative analysis is required if our qualitative analysis proves inconclusive as to whether the entity is a VIE or we are the primary beneficiary and consolidation is required.</w:t>
      </w:r>
    </w:p>
    <w:p>
      <w:pPr>
        <w:spacing w:after="0" w:line="23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Fair value of assets and liabilities</w:t>
      </w:r>
      <w:r>
        <w:rPr>
          <w:rFonts w:ascii="Times New Roman" w:cs="Times New Roman" w:eastAsia="Times New Roman" w:hAnsi="Times New Roman"/>
          <w:sz w:val="18"/>
          <w:szCs w:val="18"/>
          <w:color w:val="auto"/>
        </w:rPr>
        <w:t>—The degree of management judgment involved in determining the fair value of assets and liabilities is 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availability of quoted market prices or observable market parameters. For financial and nonfinancial assets and liabilities that trade actively and have quoted market prices or observable market parameters, there is minimal subjectivity involved in measuring fair value. When observable market prices and parameters are not fully available, management judgment is necessary to estimate fair value. In addition, changes in market conditions may reduce the availability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quoted prices or observable data. For example, reduced liquidity in the capital markets or changes in secondary market activities could result in observable market inputs becoming unavailable. Therefore, when market data is not available, we would use valuation techniques requiring more management judgment to estimate the appropriate fair value measurement.</w:t>
      </w:r>
    </w:p>
    <w:p>
      <w:pPr>
        <w:spacing w:after="0" w:line="23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See Item 8—"Financial Statements and Supplemental Data—Note 14" for a complete discussion on how we determine fair value of financial and non-financial assets and financial liabilities and the related measurement techniques and estimates involved.</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Risks</w:t>
      </w:r>
    </w:p>
    <w:p>
      <w:pPr>
        <w:spacing w:after="0" w:line="28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interest rates, foreign currency exchange rates, commodity prices and equity prices. In pursuing our business plan, the primary market risk to which we are exposed is interest rate risk. Our operating results will depend in part on the difference between the interest and related income earned on our assets and the interest expense incurred in connection with our interest-bearing liabilities. Changes in the general level of interest rates prevailing in the financial markets will affect the spread between our floating rate assets and liabilities subject to the net amount of floating rate assets/liabilities and the impact of interest rate floors and caps. Any significant compression of the spreads between interest-earning assets and interest-bearing liabilities could have a material adverse effect on us.</w:t>
      </w:r>
    </w:p>
    <w:p>
      <w:pPr>
        <w:spacing w:after="0" w:line="24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the event of a significant rising interest rate environment or economic downturn, defaults could increase and cause us to incur additional credit losses which would adversely affect our liquidity and operating results. Such delinquencies or defaults would likely have an adverse effect on the spreads between interest-earning assets and interest-bearing liabilities. In addition, an increase in interest rates could, among other things, reduce the value of our fixed-rate interest-bearing assets and our ability to realize gains from the sale of such assets.</w:t>
      </w:r>
    </w:p>
    <w:p>
      <w:pPr>
        <w:spacing w:after="0" w:line="23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governmental monetary and tax policies, domestic and international economic and political conditions, and other factors beyond our control. We monitor the spreads between our interest-earning assets and interest-bearing liabilities and may implement hedging strategies to limit the effects of changes in interest rates on our operations, including engaging in interest rate swaps, interest rate caps and other interest rate-related derivative contracts. Such strategies are designed to reduce our exposure, on specific transactions or on a portfolio basis, to changes in cash flows as a result of interest rate movements in the market. We do not enter into derivative contracts for speculative purposes or as a hedge against changes in our credit risk or the credit risk of our borrowers.</w:t>
      </w:r>
    </w:p>
    <w:p>
      <w:pPr>
        <w:spacing w:after="0" w:line="24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While a REIT may utilize derivative instruments to hedge interest rate risk on its liabilities incurred to acquire or carry real estate assets without generating non-qualifying income, use of derivatives for other purposes will generate non-qualified income for REIT income test purposes. This includes hedging asset related risks such as credit, foreign exchange and prepayment or interest rate exposure on our loan assets. As a result our ability to hedge these types of risks is limited. There can be no assurance that our profitability will not be adversely affected during any period as a result of changing interest rates.</w:t>
      </w:r>
    </w:p>
    <w:p>
      <w:pPr>
        <w:spacing w:after="0" w:line="23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quantifies the potential changes in net income should interest rates increase by 50 or 100 basis points and decrease by 10 basis points, assuming no change in the shape of the yield curve (i.e., relative interest rates). The base interest rate scenario assumes the one-month LIBOR rate of 0.17% as of December 31, 2014. Actual results could differ significantly from those estimated in the table.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6940" w:type="dxa"/>
            <w:vAlign w:val="bottom"/>
            <w:gridSpan w:val="3"/>
          </w:tcPr>
          <w:p>
            <w:pPr>
              <w:jc w:val="right"/>
              <w:ind w:right="2280"/>
              <w:spacing w:after="0"/>
              <w:rPr>
                <w:sz w:val="20"/>
                <w:szCs w:val="20"/>
                <w:color w:val="auto"/>
              </w:rPr>
            </w:pPr>
            <w:r>
              <w:rPr>
                <w:rFonts w:ascii="Times New Roman" w:cs="Times New Roman" w:eastAsia="Times New Roman" w:hAnsi="Times New Roman"/>
                <w:sz w:val="18"/>
                <w:szCs w:val="18"/>
                <w:b w:val="1"/>
                <w:bCs w:val="1"/>
                <w:color w:val="auto"/>
              </w:rPr>
              <w:t>Estimated Percentage Change In Net Income</w:t>
            </w:r>
          </w:p>
        </w:tc>
        <w:tc>
          <w:tcPr>
            <w:tcW w:w="1700" w:type="dxa"/>
            <w:vAlign w:val="bottom"/>
          </w:tcPr>
          <w:p>
            <w:pPr>
              <w:spacing w:after="0"/>
              <w:rPr>
                <w:sz w:val="20"/>
                <w:szCs w:val="20"/>
                <w:color w:val="auto"/>
              </w:rPr>
            </w:pPr>
          </w:p>
        </w:tc>
      </w:tr>
      <w:tr>
        <w:trPr>
          <w:trHeight w:val="535"/>
        </w:trPr>
        <w:tc>
          <w:tcPr>
            <w:tcW w:w="2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Change in Interest Rates</w:t>
            </w:r>
          </w:p>
        </w:tc>
        <w:tc>
          <w:tcPr>
            <w:tcW w:w="6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Net Income(1)</w:t>
            </w:r>
          </w:p>
        </w:tc>
      </w:tr>
      <w:tr>
        <w:trPr>
          <w:trHeight w:val="249"/>
        </w:trPr>
        <w:tc>
          <w:tcPr>
            <w:tcW w:w="2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 Basis Points</w:t>
            </w:r>
          </w:p>
        </w:tc>
        <w:tc>
          <w:tcPr>
            <w:tcW w:w="6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43"/>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Base Interest Rate</w:t>
            </w:r>
          </w:p>
        </w:tc>
        <w:tc>
          <w:tcPr>
            <w:tcW w:w="6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+50 Basis Points</w:t>
            </w:r>
          </w:p>
        </w:tc>
        <w:tc>
          <w:tcPr>
            <w:tcW w:w="6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4,680</w:t>
            </w:r>
          </w:p>
        </w:tc>
      </w:tr>
      <w:tr>
        <w:trPr>
          <w:trHeight w:val="243"/>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+100 Basis Points</w:t>
            </w:r>
          </w:p>
        </w:tc>
        <w:tc>
          <w:tcPr>
            <w:tcW w:w="6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10,438</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jc w:val="both"/>
        <w:ind w:left="420" w:hanging="412"/>
        <w:spacing w:after="0" w:line="261" w:lineRule="auto"/>
        <w:tabs>
          <w:tab w:leader="none" w:pos="4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an overall net variable-rate asset position, which results in an increase in net income when rates increase and a decrease in net income when rates decrease. As of December 31, 2014, $282.5 million of our floating rate loans have a cumulative weighted average interest rate floor of 0.4% and $358.5 million of our floating rate debt has a cumulative weighted average interest rate floor of 1.25%.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Supplemental Data</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8"/>
        </w:trPr>
        <w:tc>
          <w:tcPr>
            <w:tcW w:w="10320" w:type="dxa"/>
            <w:vAlign w:val="bottom"/>
            <w:gridSpan w:val="13"/>
            <w:shd w:val="clear" w:color="auto" w:fill="CCEEFF"/>
          </w:tcPr>
          <w:p>
            <w:pPr>
              <w:ind w:left="40"/>
              <w:spacing w:after="0" w:line="168"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Report of Independent Registered Public Accounting Firm</w:t>
              </w:r>
            </w:hyperlink>
          </w:p>
        </w:tc>
        <w:tc>
          <w:tcPr>
            <w:tcW w:w="640" w:type="dxa"/>
            <w:vAlign w:val="bottom"/>
            <w:gridSpan w:val="4"/>
            <w:shd w:val="clear" w:color="auto" w:fill="CCEEFF"/>
          </w:tcPr>
          <w:p>
            <w:pPr>
              <w:jc w:val="right"/>
              <w:ind w:right="20"/>
              <w:spacing w:after="0" w:line="170"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45</w:t>
              </w:r>
            </w:hyperlink>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0000EE"/>
              <w:right w:val="single" w:sz="8" w:color="CCEEFF"/>
            </w:tcBorders>
            <w:shd w:val="clear" w:color="auto" w:fill="CCEEFF"/>
          </w:tcPr>
          <w:p>
            <w:pPr>
              <w:spacing w:after="0"/>
              <w:rPr>
                <w:sz w:val="3"/>
                <w:szCs w:val="3"/>
                <w:color w:val="auto"/>
              </w:rPr>
            </w:pPr>
          </w:p>
        </w:tc>
        <w:tc>
          <w:tcPr>
            <w:tcW w:w="312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66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2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17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243"/>
        </w:trPr>
        <w:tc>
          <w:tcPr>
            <w:tcW w:w="10320" w:type="dxa"/>
            <w:vAlign w:val="bottom"/>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40" w:type="dxa"/>
            <w:vAlign w:val="bottom"/>
            <w:gridSpan w:val="11"/>
            <w:shd w:val="clear" w:color="auto" w:fill="CCEEFF"/>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Consolidated Balance Sheets as of December 31, 2014 and 2013</w:t>
              </w:r>
            </w:hyperlink>
          </w:p>
        </w:tc>
        <w:tc>
          <w:tcPr>
            <w:tcW w:w="64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3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40" w:type="dxa"/>
            <w:vAlign w:val="bottom"/>
            <w:gridSpan w:val="11"/>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Consolidated Statements of Operations for the years ended December 31, 2014, 2013 and 2012</w:t>
              </w:r>
            </w:hyperlink>
          </w:p>
        </w:tc>
        <w:tc>
          <w:tcPr>
            <w:tcW w:w="64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47</w:t>
              </w:r>
            </w:hyperlink>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40" w:type="dxa"/>
            <w:vAlign w:val="bottom"/>
            <w:gridSpan w:val="11"/>
            <w:shd w:val="clear" w:color="auto" w:fill="CCEEFF"/>
          </w:tcPr>
          <w:p>
            <w:pPr>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Consolidated Statements of Comprehensive Income (Loss) for the years ended December 31, 2014, 2013 and 2012</w:t>
              </w:r>
            </w:hyperlink>
          </w:p>
        </w:tc>
        <w:tc>
          <w:tcPr>
            <w:tcW w:w="64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3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40" w:type="dxa"/>
            <w:vAlign w:val="bottom"/>
            <w:gridSpan w:val="11"/>
          </w:tcPr>
          <w:p>
            <w:pPr>
              <w:spacing w:after="0" w:line="202"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Consolidated Statements of Changes in Equity for the years ended December 31, 2014, 2013 and 2012</w:t>
              </w:r>
            </w:hyperlink>
          </w:p>
        </w:tc>
        <w:tc>
          <w:tcPr>
            <w:tcW w:w="64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49</w:t>
              </w:r>
            </w:hyperlink>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40" w:type="dxa"/>
            <w:vAlign w:val="bottom"/>
            <w:gridSpan w:val="11"/>
            <w:shd w:val="clear" w:color="auto" w:fill="CCEEFF"/>
          </w:tcPr>
          <w:p>
            <w:pPr>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Consolidated Statements of Cash Flows for the years ended December 31, 2014, 2013 and 2012</w:t>
              </w:r>
            </w:hyperlink>
          </w:p>
        </w:tc>
        <w:tc>
          <w:tcPr>
            <w:tcW w:w="64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3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gridSpan w:val="8"/>
          </w:tcPr>
          <w:p>
            <w:pPr>
              <w:spacing w:after="0" w:line="202"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Notes to Consolidated Financial Statements</w:t>
              </w:r>
            </w:hyperlink>
          </w:p>
        </w:tc>
        <w:tc>
          <w:tcPr>
            <w:tcW w:w="3160" w:type="dxa"/>
            <w:vAlign w:val="bottom"/>
            <w:gridSpan w:val="3"/>
          </w:tcPr>
          <w:p>
            <w:pPr>
              <w:spacing w:after="0"/>
              <w:rPr>
                <w:sz w:val="17"/>
                <w:szCs w:val="17"/>
                <w:color w:val="auto"/>
              </w:rPr>
            </w:pPr>
          </w:p>
        </w:tc>
        <w:tc>
          <w:tcPr>
            <w:tcW w:w="64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52</w:t>
              </w:r>
            </w:hyperlink>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1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320" w:type="dxa"/>
            <w:vAlign w:val="bottom"/>
            <w:tcBorders>
              <w:bottom w:val="single" w:sz="8" w:color="CCEEFF"/>
            </w:tcBorders>
            <w:gridSpan w:val="1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40" w:type="dxa"/>
            <w:vAlign w:val="bottom"/>
            <w:gridSpan w:val="11"/>
          </w:tcPr>
          <w:p>
            <w:pPr>
              <w:spacing w:after="0" w:line="202"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Schedule II—Valuation and Qualifying Accounts and Reserves</w:t>
              </w:r>
            </w:hyperlink>
          </w:p>
        </w:tc>
        <w:tc>
          <w:tcPr>
            <w:tcW w:w="64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95</w:t>
              </w:r>
            </w:hyperlink>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40" w:type="dxa"/>
            <w:vAlign w:val="bottom"/>
            <w:gridSpan w:val="11"/>
            <w:shd w:val="clear" w:color="auto" w:fill="CCEEFF"/>
          </w:tcPr>
          <w:p>
            <w:pPr>
              <w:spacing w:after="0" w:line="202"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Schedule III—Real Estate and Accumulated Depreciation</w:t>
              </w:r>
            </w:hyperlink>
          </w:p>
        </w:tc>
        <w:tc>
          <w:tcPr>
            <w:tcW w:w="64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96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3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40" w:type="dxa"/>
            <w:vAlign w:val="bottom"/>
            <w:gridSpan w:val="4"/>
          </w:tcPr>
          <w:p>
            <w:pPr>
              <w:spacing w:after="0" w:line="202"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Schedule IV—Mortgage Loans on Real Estate</w:t>
              </w:r>
            </w:hyperlink>
          </w:p>
        </w:tc>
        <w:tc>
          <w:tcPr>
            <w:tcW w:w="5900" w:type="dxa"/>
            <w:vAlign w:val="bottom"/>
            <w:gridSpan w:val="7"/>
          </w:tcPr>
          <w:p>
            <w:pPr>
              <w:spacing w:after="0"/>
              <w:rPr>
                <w:sz w:val="17"/>
                <w:szCs w:val="17"/>
                <w:color w:val="auto"/>
              </w:rPr>
            </w:pPr>
          </w:p>
        </w:tc>
        <w:tc>
          <w:tcPr>
            <w:tcW w:w="64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107</w:t>
              </w:r>
            </w:hyperlink>
          </w:p>
        </w:tc>
      </w:tr>
      <w:tr>
        <w:trPr>
          <w:trHeight w:val="20"/>
        </w:trPr>
        <w:tc>
          <w:tcPr>
            <w:tcW w:w="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0"/>
          </w:cols>
          <w:pgMar w:left="240" w:top="118" w:right="69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iStar Financial Inc.:</w:t>
      </w:r>
    </w:p>
    <w:p>
      <w:pPr>
        <w:spacing w:after="0" w:line="144"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listed in the accompanying index present fairly, in all material respects, the financial position of iStar Financial Inc. and its subsidiaries (collectively, the ‘‘Company’’) at December 31, 2014 and December 31, 2013, and the results of their operations and their cash flows for each of the three years in the period ended December 31, 2014 in conformity with accounting principles generally accepted in the United States of America. In addition, in our opinion, the financial statement schedules listed in the accompanying index present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2014, based on criteria established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 (COSO). The Company’s management is responsible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these financial statements and financial statement schedules,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the Company adopted accounting standards update (“ASU”) No. 2014-08, "Reporting Discontinued Operations and Disclosures of Disposals of Components of an Entity", which changed the criteria for reporting discontinued operations in 2014.</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95" w:right="2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at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3,145,563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3,220,634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(468,849)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2,676,714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2,796,181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285,982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360,517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2,962,696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3,156,698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receivable and other lending investments,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1,377,843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1,370,109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354,119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207,209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472,061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513,568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19,283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48,769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interest and operating lease income receivable,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16,367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operating lease income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98,262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92,737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expenses and other assets,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162,502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237,980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5,463,133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5,642,011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0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180,902</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170,831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obligations,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4,022,684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4,158,125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4,203,586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4,328,956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11,199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iStar Financial Inc. shareholders'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Series D, E, F, G and I, liquidation preference $25.00 per share (see Note 11)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Preferred Stock Series J, liquidation preference $50.00 per share (see Note 11)</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High Performance Units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9,800</w:t>
            </w:r>
          </w:p>
        </w:tc>
        <w:tc>
          <w:tcPr>
            <w:tcW w:w="0" w:type="dxa"/>
            <w:vAlign w:val="bottom"/>
          </w:tcPr>
          <w:p>
            <w:pPr>
              <w:spacing w:after="0"/>
              <w:rPr>
                <w:sz w:val="1"/>
                <w:szCs w:val="1"/>
                <w:color w:val="auto"/>
              </w:rPr>
            </w:pPr>
          </w:p>
        </w:tc>
      </w:tr>
      <w:tr>
        <w:trPr>
          <w:trHeight w:val="225"/>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$0.001 par value, 200,000 shares authorized, 145,807 issued and 85,191 outstanding at December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 2014 and 144,334 issued and 83,717 outstanding at December 31, 2013</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4,007,514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4,022,138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(2,556,469)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(2,521,618)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income (loss) (see Note 11)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Treasury stock, at cost, $0.001 par value, 60,617 shares at December 31, 2014 and December 31, 2013</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(262,954)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(262,954)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iStar Financial Inc.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1,197,092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1,243,260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51,256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58,205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1,248,348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1,301,465</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5,463,133</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5,642,011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420"/>
          </w:cols>
          <w:pgMar w:left="240" w:top="576"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76" w:right="239" w:bottom="1440" w:gutter="0" w:footer="0" w:header="0"/>
          <w:type w:val="continuous"/>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income</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243,100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234,567</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216,291</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122,704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108,015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133,410</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81,033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48,208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47,838</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Land sales revenue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15,191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462,028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390,790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397,539</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224,483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266,225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355,097</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 estate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163,389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157,441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151,458</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Land cost of sales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73,571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71,266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68,770</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88,806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92,114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80,856</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(recovery of) loan losses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81,740</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of assets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12,589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13,778</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17,266</w:t>
            </w:r>
          </w:p>
        </w:tc>
      </w:tr>
      <w:tr>
        <w:trPr>
          <w:trHeight w:val="21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601,830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613,174</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768,965</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earnings from equity method investments and other items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(222,384)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(371,426)</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early extinguishment of debt, net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(33,190)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(37,816)</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Earnings from equity method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94,905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41,520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103,009</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transfer of interest to unconsolidated subsidiary</w:t>
            </w:r>
          </w:p>
        </w:tc>
        <w:tc>
          <w:tcPr>
            <w:tcW w:w="3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(70,266)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(221,427)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(306,233)</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(8,445)</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operations(1)</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(220,768)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(314,678)</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3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(17,481)</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from 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22,233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27,257</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sales of real estate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89,943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86,658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63,472</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15,765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(111,233)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(241,430)</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1,500</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iStar Financial Inc.</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16,469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(111,951)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(239,930)</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dividends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(42,320)</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allocable to HPU holders and Participating Security holders(2)(3)</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9,253</w:t>
            </w:r>
          </w:p>
        </w:tc>
      </w:tr>
      <w:tr>
        <w:trPr>
          <w:trHeight w:val="284"/>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 (loss) allocable to common shareholders</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(33,722)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(155,769)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(272,997)</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Per common share data(1):</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(loss) attributable to iStar Financial Inc. from continuing operations—Basic and diluted</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iStar Financial Inc.—Basic and diluted</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number of common shares—Basic and diluted</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85,031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84,990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83,742</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Per HPU share data(1)(2):</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(loss) attributable to iStar Financial Inc. from continuing operations—Basic and diluted</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(396.07)</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(638.27)</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iStar Financial Inc.—Basic and diluted</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(616.87)</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number of HPU share—Basic and diluted</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07" w:lineRule="exact"/>
        <w:rPr>
          <w:sz w:val="20"/>
          <w:szCs w:val="20"/>
          <w:color w:val="auto"/>
        </w:rPr>
      </w:pPr>
    </w:p>
    <w:p>
      <w:pPr>
        <w:ind w:left="660" w:hanging="652"/>
        <w:spacing w:after="0" w:line="253" w:lineRule="auto"/>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(loss) from continuing operations attributable to iStar Financial Inc. was $(73.5) million, $(221.5) million and $(313.2) million for the years ended December 31, 2014, 2013 and 2012, respectively. See Note 13 for details on the calculation of earnings per share.</w:t>
      </w:r>
    </w:p>
    <w:p>
      <w:pPr>
        <w:ind w:left="660" w:hanging="652"/>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HPU holders are current and former Company employees who purchased high performance common stock units under the Company's High Performance Unit Program.</w:t>
      </w:r>
    </w:p>
    <w:p>
      <w:pPr>
        <w:spacing w:after="0" w:line="1" w:lineRule="exact"/>
        <w:rPr>
          <w:rFonts w:ascii="Times New Roman" w:cs="Times New Roman" w:eastAsia="Times New Roman" w:hAnsi="Times New Roman"/>
          <w:sz w:val="14"/>
          <w:szCs w:val="14"/>
          <w:color w:val="auto"/>
        </w:rPr>
      </w:pPr>
    </w:p>
    <w:p>
      <w:pPr>
        <w:ind w:left="660" w:hanging="652"/>
        <w:spacing w:after="0" w:line="258" w:lineRule="auto"/>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Participating Security holders are non-employee directors who hold common stock equivalents granted under the Company's Long Term Incentive Plans that are eligible to participate in dividends (see Note 12 and Note 13).</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type w:val="continuous"/>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15,765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(241,430)</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(gains)/losses on available-for-sale securities into earnings upon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realization(1)</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(gains)/losses on cash flow hedges into earnings upon realization(2)</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Realization of (gains)/losses on cumulative translation adjustment into earnings upon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realization(3)</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gains/(losses) on available-for-sale securities</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gains/(losses) on cash flow hedges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gains/(losses) on cumulative translation adjustment</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19,070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(114,324)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(242,287)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1,500</w:t>
            </w:r>
          </w:p>
        </w:tc>
      </w:tr>
      <w:tr>
        <w:trPr>
          <w:trHeight w:val="25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iStar Financial Inc.</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19,780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(115,042)</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(240,787)</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660" w:right="20" w:hanging="652"/>
        <w:spacing w:after="0" w:line="253"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2014 and 2013, $90 and $266, respectively, are included in "Other income" on the Company's Consolidated Statements of Operations. For the year ended December 31, 2013, $593 is included in "Earnings from equity method investments" on the Company's Consolidated Statements of Operations.</w:t>
      </w:r>
    </w:p>
    <w:p>
      <w:pPr>
        <w:jc w:val="both"/>
        <w:ind w:left="660" w:hanging="652"/>
        <w:spacing w:after="0" w:line="241"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2014, $3,634 is included in "Other expense" on the Company's Consolidated Statements of Operations (see Note 10) and $420 is included in "Earnings from equity method investments" on the Company's Consolidated Statements of Operations. Included in "Interest expense" on the Company's Consolidated Statements of Operations are $62, $310 and $(44) for years ended December 31, 2014, 2013 and 2012, respectively.</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"Earnings from equity method investments" on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iStar Financial Inc. Shareholders' Equity</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vMerge w:val="continue"/>
          </w:tcPr>
          <w:p>
            <w:pPr>
              <w:spacing w:after="0"/>
              <w:rPr>
                <w:sz w:val="12"/>
                <w:szCs w:val="12"/>
                <w:color w:val="auto"/>
              </w:rPr>
            </w:pPr>
          </w:p>
        </w:tc>
        <w:tc>
          <w:tcPr>
            <w:tcW w:w="110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9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Series</w:t>
            </w: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HPU's</w:t>
            </w:r>
          </w:p>
        </w:tc>
        <w:tc>
          <w:tcPr>
            <w:tcW w:w="7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1100" w:type="dxa"/>
            <w:vAlign w:val="bottom"/>
            <w:tcBorders>
              <w:right w:val="single" w:sz="8" w:color="auto"/>
            </w:tcBorders>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2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Stock(1)</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J(1)</w:t>
            </w: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2011</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$3,834,460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$(2,078,397)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45,248</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$1,573,604</w:t>
            </w:r>
          </w:p>
        </w:tc>
        <w:tc>
          <w:tcPr>
            <w:tcW w:w="0" w:type="dxa"/>
            <w:vAlign w:val="bottom"/>
          </w:tcPr>
          <w:p>
            <w:pPr>
              <w:spacing w:after="0"/>
              <w:rPr>
                <w:sz w:val="1"/>
                <w:szCs w:val="1"/>
                <w:color w:val="auto"/>
              </w:rPr>
            </w:pPr>
          </w:p>
        </w:tc>
      </w:tr>
      <w:tr>
        <w:trPr>
          <w:trHeight w:val="22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(42,320)</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stock</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0" w:type="dxa"/>
            <w:vAlign w:val="bottom"/>
          </w:tcPr>
          <w:p>
            <w:pPr>
              <w:spacing w:after="0"/>
              <w:rPr>
                <w:sz w:val="1"/>
                <w:szCs w:val="1"/>
                <w:color w:val="auto"/>
              </w:rPr>
            </w:pPr>
          </w:p>
        </w:tc>
      </w:tr>
      <w:tr>
        <w:trPr>
          <w:trHeight w:val="22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stock/restricted stock unit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net</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2,705</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2,708</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for the period(2)</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(240,618)</w:t>
            </w:r>
          </w:p>
        </w:tc>
        <w:tc>
          <w:tcPr>
            <w:tcW w:w="0" w:type="dxa"/>
            <w:vAlign w:val="bottom"/>
          </w:tcPr>
          <w:p>
            <w:pPr>
              <w:spacing w:after="0"/>
              <w:rPr>
                <w:sz w:val="1"/>
                <w:szCs w:val="1"/>
                <w:color w:val="auto"/>
              </w:rPr>
            </w:pPr>
          </w:p>
        </w:tc>
      </w:tr>
      <w:tr>
        <w:trPr>
          <w:trHeight w:val="22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accumulated</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2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interests(3)</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32,654</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32,654</w:t>
            </w:r>
          </w:p>
        </w:tc>
        <w:tc>
          <w:tcPr>
            <w:tcW w:w="0" w:type="dxa"/>
            <w:vAlign w:val="bottom"/>
          </w:tcPr>
          <w:p>
            <w:pPr>
              <w:spacing w:after="0"/>
              <w:rPr>
                <w:sz w:val="1"/>
                <w:szCs w:val="1"/>
                <w:color w:val="auto"/>
              </w:rPr>
            </w:pPr>
          </w:p>
        </w:tc>
      </w:tr>
      <w:tr>
        <w:trPr>
          <w:trHeight w:val="22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40" w:type="dxa"/>
            <w:vAlign w:val="bottom"/>
            <w:tcBorders>
              <w:right w:val="single" w:sz="8" w:color="auto"/>
            </w:tcBorders>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0" w:type="dxa"/>
            <w:vAlign w:val="bottom"/>
          </w:tcPr>
          <w:p>
            <w:pPr>
              <w:spacing w:after="0"/>
              <w:rPr>
                <w:sz w:val="1"/>
                <w:szCs w:val="1"/>
                <w:color w:val="auto"/>
              </w:rPr>
            </w:pPr>
          </w:p>
        </w:tc>
      </w:tr>
      <w:tr>
        <w:trPr>
          <w:trHeight w:val="27"/>
        </w:trPr>
        <w:tc>
          <w:tcPr>
            <w:tcW w:w="2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at December 31,</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2012</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$3,832,780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$(2,360,647)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74,210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$1,313,154</w:t>
            </w:r>
          </w:p>
        </w:tc>
        <w:tc>
          <w:tcPr>
            <w:tcW w:w="0" w:type="dxa"/>
            <w:vAlign w:val="bottom"/>
          </w:tcPr>
          <w:p>
            <w:pPr>
              <w:spacing w:after="0"/>
              <w:rPr>
                <w:sz w:val="1"/>
                <w:szCs w:val="1"/>
                <w:color w:val="auto"/>
              </w:rPr>
            </w:pPr>
          </w:p>
        </w:tc>
      </w:tr>
      <w:tr>
        <w:trPr>
          <w:trHeight w:val="22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Preferred</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193,506</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193,510</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(49,020)</w:t>
            </w:r>
          </w:p>
        </w:tc>
        <w:tc>
          <w:tcPr>
            <w:tcW w:w="0" w:type="dxa"/>
            <w:vAlign w:val="bottom"/>
          </w:tcPr>
          <w:p>
            <w:pPr>
              <w:spacing w:after="0"/>
              <w:rPr>
                <w:sz w:val="1"/>
                <w:szCs w:val="1"/>
                <w:color w:val="auto"/>
              </w:rPr>
            </w:pP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stock</w:t>
            </w:r>
          </w:p>
        </w:tc>
        <w:tc>
          <w:tcPr>
            <w:tcW w:w="2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(20,985)</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stock/restricted stock unit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net</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2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for the</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period(2)</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3,837</w:t>
            </w:r>
          </w:p>
        </w:tc>
        <w:tc>
          <w:tcPr>
            <w:tcW w:w="140" w:type="dxa"/>
            <w:vAlign w:val="bottom"/>
            <w:tcBorders>
              <w:right w:val="single" w:sz="8" w:color="auto"/>
            </w:tcBorders>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(108,114)</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accumulated</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0" w:type="dxa"/>
            <w:vAlign w:val="bottom"/>
          </w:tcPr>
          <w:p>
            <w:pPr>
              <w:spacing w:after="0"/>
              <w:rPr>
                <w:sz w:val="1"/>
                <w:szCs w:val="1"/>
                <w:color w:val="auto"/>
              </w:rPr>
            </w:pPr>
          </w:p>
        </w:tc>
      </w:tr>
      <w:tr>
        <w:trPr>
          <w:trHeight w:val="22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interest(4)</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interests(5)</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10,264</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10,264</w:t>
            </w:r>
          </w:p>
        </w:tc>
        <w:tc>
          <w:tcPr>
            <w:tcW w:w="0" w:type="dxa"/>
            <w:vAlign w:val="bottom"/>
          </w:tcPr>
          <w:p>
            <w:pPr>
              <w:spacing w:after="0"/>
              <w:rPr>
                <w:sz w:val="1"/>
                <w:szCs w:val="1"/>
                <w:color w:val="auto"/>
              </w:rPr>
            </w:pPr>
          </w:p>
        </w:tc>
      </w:tr>
      <w:tr>
        <w:trPr>
          <w:trHeight w:val="22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interests(4)</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(30,106)</w:t>
            </w:r>
          </w:p>
        </w:tc>
        <w:tc>
          <w:tcPr>
            <w:tcW w:w="140" w:type="dxa"/>
            <w:vAlign w:val="bottom"/>
            <w:tcBorders>
              <w:right w:val="single" w:sz="8" w:color="auto"/>
            </w:tcBorders>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(30,106)</w:t>
            </w:r>
          </w:p>
        </w:tc>
        <w:tc>
          <w:tcPr>
            <w:tcW w:w="0" w:type="dxa"/>
            <w:vAlign w:val="bottom"/>
          </w:tcPr>
          <w:p>
            <w:pPr>
              <w:spacing w:after="0"/>
              <w:rPr>
                <w:sz w:val="1"/>
                <w:szCs w:val="1"/>
                <w:color w:val="auto"/>
              </w:rPr>
            </w:pPr>
          </w:p>
        </w:tc>
      </w:tr>
      <w:tr>
        <w:trPr>
          <w:trHeight w:val="27"/>
        </w:trPr>
        <w:tc>
          <w:tcPr>
            <w:tcW w:w="2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at December 31,</w:t>
            </w: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$4,022,138</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$(2,521,618)</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$(262,954)</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58,205</w:t>
            </w:r>
          </w:p>
        </w:tc>
        <w:tc>
          <w:tcPr>
            <w:tcW w:w="140" w:type="dxa"/>
            <w:vAlign w:val="bottom"/>
            <w:tcBorders>
              <w:right w:val="single" w:sz="8" w:color="CCEEFF"/>
            </w:tcBorders>
            <w:shd w:val="clear" w:color="auto" w:fill="CCEEFF"/>
          </w:tcPr>
          <w:p>
            <w:pPr>
              <w:spacing w:after="0"/>
              <w:rPr>
                <w:sz w:val="17"/>
                <w:szCs w:val="17"/>
                <w:color w:val="auto"/>
              </w:rPr>
            </w:pPr>
          </w:p>
        </w:tc>
        <w:tc>
          <w:tcPr>
            <w:tcW w:w="9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5"/>
              </w:rPr>
              <w:t>$ 1,301,465</w:t>
            </w:r>
          </w:p>
        </w:tc>
        <w:tc>
          <w:tcPr>
            <w:tcW w:w="0" w:type="dxa"/>
            <w:vAlign w:val="bottom"/>
          </w:tcPr>
          <w:p>
            <w:pPr>
              <w:spacing w:after="0"/>
              <w:rPr>
                <w:sz w:val="1"/>
                <w:szCs w:val="1"/>
                <w:color w:val="auto"/>
              </w:rPr>
            </w:pPr>
          </w:p>
        </w:tc>
      </w:tr>
      <w:tr>
        <w:trPr>
          <w:trHeight w:val="241"/>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2013</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441" w:right="259" w:bottom="738"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60" w:top="441" w:right="259" w:bottom="738" w:gutter="0" w:footer="0" w:header="0"/>
          <w:type w:val="continuous"/>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iStar Financial Inc. Shareholders' Equity</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vMerge w:val="continue"/>
          </w:tcPr>
          <w:p>
            <w:pPr>
              <w:spacing w:after="0"/>
              <w:rPr>
                <w:sz w:val="12"/>
                <w:szCs w:val="12"/>
                <w:color w:val="auto"/>
              </w:rPr>
            </w:pPr>
          </w:p>
        </w:tc>
        <w:tc>
          <w:tcPr>
            <w:tcW w:w="110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9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Series</w:t>
            </w: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HPU's</w:t>
            </w:r>
          </w:p>
        </w:tc>
        <w:tc>
          <w:tcPr>
            <w:tcW w:w="7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1100" w:type="dxa"/>
            <w:vAlign w:val="bottom"/>
            <w:tcBorders>
              <w:right w:val="single" w:sz="8" w:color="auto"/>
            </w:tcBorders>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2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Stock(1)</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J(1)</w:t>
            </w: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$4,022,138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$(2,521,618)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58,205</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$1,301,465</w:t>
            </w:r>
          </w:p>
        </w:tc>
        <w:tc>
          <w:tcPr>
            <w:tcW w:w="0" w:type="dxa"/>
            <w:vAlign w:val="bottom"/>
          </w:tcPr>
          <w:p>
            <w:pPr>
              <w:spacing w:after="0"/>
              <w:rPr>
                <w:sz w:val="1"/>
                <w:szCs w:val="1"/>
                <w:color w:val="auto"/>
              </w:rPr>
            </w:pPr>
          </w:p>
        </w:tc>
      </w:tr>
      <w:tr>
        <w:trPr>
          <w:trHeight w:val="22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(51,320)</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stock/restricted stock unit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net</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0" w:type="dxa"/>
            <w:vAlign w:val="bottom"/>
          </w:tcPr>
          <w:p>
            <w:pPr>
              <w:spacing w:after="0"/>
              <w:rPr>
                <w:sz w:val="1"/>
                <w:szCs w:val="1"/>
                <w:color w:val="auto"/>
              </w:rPr>
            </w:pPr>
          </w:p>
        </w:tc>
      </w:tr>
      <w:tr>
        <w:trPr>
          <w:trHeight w:val="22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the</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period(2)</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16,469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1,221</w:t>
            </w:r>
          </w:p>
        </w:tc>
        <w:tc>
          <w:tcPr>
            <w:tcW w:w="140" w:type="dxa"/>
            <w:vAlign w:val="bottom"/>
            <w:tcBorders>
              <w:right w:val="single" w:sz="8" w:color="auto"/>
            </w:tcBorders>
          </w:tcPr>
          <w:p>
            <w:pPr>
              <w:spacing w:after="0"/>
              <w:rPr>
                <w:sz w:val="20"/>
                <w:szCs w:val="20"/>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17,690</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accumulated</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22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25"/>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40" w:type="dxa"/>
            <w:vAlign w:val="bottom"/>
            <w:tcBorders>
              <w:right w:val="single" w:sz="8" w:color="auto"/>
            </w:tcBorders>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noncontrolling</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interests(6)</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0" w:type="dxa"/>
            <w:vAlign w:val="bottom"/>
          </w:tcPr>
          <w:p>
            <w:pPr>
              <w:spacing w:after="0"/>
              <w:rPr>
                <w:sz w:val="1"/>
                <w:szCs w:val="1"/>
                <w:color w:val="auto"/>
              </w:rPr>
            </w:pPr>
          </w:p>
        </w:tc>
      </w:tr>
      <w:tr>
        <w:trPr>
          <w:trHeight w:val="205"/>
        </w:trPr>
        <w:tc>
          <w:tcPr>
            <w:tcW w:w="2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at December 31,</w:t>
            </w:r>
          </w:p>
        </w:tc>
        <w:tc>
          <w:tcPr>
            <w:tcW w:w="2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7"/>
                <w:szCs w:val="17"/>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7"/>
                <w:szCs w:val="17"/>
                <w:color w:val="auto"/>
              </w:rPr>
            </w:pPr>
          </w:p>
        </w:tc>
        <w:tc>
          <w:tcPr>
            <w:tcW w:w="96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$4,007,514</w:t>
            </w:r>
          </w:p>
        </w:tc>
        <w:tc>
          <w:tcPr>
            <w:tcW w:w="120" w:type="dxa"/>
            <w:vAlign w:val="bottom"/>
          </w:tcPr>
          <w:p>
            <w:pPr>
              <w:spacing w:after="0"/>
              <w:rPr>
                <w:sz w:val="17"/>
                <w:szCs w:val="17"/>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$(2,556,469)</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7"/>
                <w:szCs w:val="17"/>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$(262,954)</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51,256</w:t>
            </w:r>
          </w:p>
        </w:tc>
        <w:tc>
          <w:tcPr>
            <w:tcW w:w="140" w:type="dxa"/>
            <w:vAlign w:val="bottom"/>
          </w:tcPr>
          <w:p>
            <w:pPr>
              <w:spacing w:after="0"/>
              <w:rPr>
                <w:sz w:val="17"/>
                <w:szCs w:val="17"/>
                <w:color w:val="auto"/>
              </w:rPr>
            </w:pPr>
          </w:p>
        </w:tc>
        <w:tc>
          <w:tcPr>
            <w:tcW w:w="94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w w:val="95"/>
              </w:rPr>
              <w:t>$ 1,248,348</w:t>
            </w:r>
          </w:p>
        </w:tc>
        <w:tc>
          <w:tcPr>
            <w:tcW w:w="0" w:type="dxa"/>
            <w:vAlign w:val="bottom"/>
          </w:tcPr>
          <w:p>
            <w:pPr>
              <w:spacing w:after="0"/>
              <w:rPr>
                <w:sz w:val="1"/>
                <w:szCs w:val="1"/>
                <w:color w:val="auto"/>
              </w:rPr>
            </w:pPr>
          </w:p>
        </w:tc>
      </w:tr>
      <w:tr>
        <w:trPr>
          <w:trHeight w:val="24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11 for details on the Company's Cumulative Redeemable Preferred Stock.</w:t>
      </w:r>
    </w:p>
    <w:p>
      <w:pPr>
        <w:spacing w:after="0" w:line="17" w:lineRule="exact"/>
        <w:rPr>
          <w:rFonts w:ascii="Times New Roman" w:cs="Times New Roman" w:eastAsia="Times New Roman" w:hAnsi="Times New Roman"/>
          <w:sz w:val="14"/>
          <w:szCs w:val="14"/>
          <w:color w:val="auto"/>
        </w:rPr>
      </w:pPr>
    </w:p>
    <w:p>
      <w:pPr>
        <w:ind w:left="660" w:hanging="652"/>
        <w:spacing w:after="0" w:line="241" w:lineRule="auto"/>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2014, 2013 and 2012 net (loss) income shown above excludes $(1,925), $(3,119) and $(812) of net loss attributable to redeemable noncontrolling interests.</w:t>
      </w:r>
    </w:p>
    <w:p>
      <w:pPr>
        <w:spacing w:after="0" w:line="162"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$27.3 million of land assets contributed by a noncontrolling partner.</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 $8.8 million payment to redeem a noncontrolling member's interest (see Note 4).</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$9.4 million of operating property assets contributed by a noncontrolling partner.</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2014, the Company sold its 72% interest in a previously consolidated entity to one of its unconsolidated ventures (see Note 4 and Note 6).</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41"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(241,430)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(loss) to 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(recovery of) loan losses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81,740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38,077</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transfer of interest to unconsolidated subsidiary</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73,571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70,786</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for withholding taxes upon vesting of stock-based compensation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expense for 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15,293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discounts/premiums and deferred financing costs on debt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31,981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discounts/premiums and deferred interest on loans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from sales of loans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from equity method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(103,009)</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from operations of equity method investments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80,116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17,252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105,586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operating lease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sales of real estate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(27,257)</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 net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19,655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22,405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and repurchases of debt—debt discount and prepayment penalty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9,427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accrued interest and operating lease income receivable,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deferred expenses and other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accounts payable, accrued expenses and other liabilities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5,945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11,725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(191,932)</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originations and fundings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 on real estate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of real estate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and principal collections on loans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512,528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613,615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728,657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sales of loans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81,614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56,998</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sales of real estate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419,527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437,817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562,705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sale of other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220,281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from other investments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61,031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78,238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Contributions to other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restricted cash held in connection with investing activities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159,793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893,447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1,267,047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from debt obligations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1,349,822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1,444,565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3,498,794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debt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(1,984,102)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(4,608,133)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dividends paid</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preferred stock</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193,510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for deferred financing costs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(190,958)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(455,758)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(1,175,597)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257,224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513,568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256,344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356,826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472,061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513,568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256,344</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 interest, net of amount capitalized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194,605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237,457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329,546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420"/>
          </w:cols>
          <w:pgMar w:left="240" w:top="118" w:right="239" w:bottom="9"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9019"/>
          </w:cols>
          <w:pgMar w:left="1440" w:top="121"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1—Business and Organization</w:t>
      </w:r>
    </w:p>
    <w:p>
      <w:pPr>
        <w:spacing w:after="0" w:line="225"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—iStar Financial Inc., or the "Company," is a fully-integrated finance and investment company focused on the commercial real estate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provides custom-tailored investment capital to high-end private and corporate owners of real estate and invests directly across a range of real estate sectors. The Company, which is taxed as a real estate investment trust, or "REIT," has invested more than $35 billion over the past two decades. The Company's primary business segments are real estate finance, net lease, operating properties and land (see Note 15).</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Organization</w:t>
      </w:r>
      <w:r>
        <w:rPr>
          <w:rFonts w:ascii="Times New Roman" w:cs="Times New Roman" w:eastAsia="Times New Roman" w:hAnsi="Times New Roman"/>
          <w:sz w:val="18"/>
          <w:szCs w:val="18"/>
          <w:color w:val="auto"/>
        </w:rPr>
        <w:t>—The Company began its business in 1993 through the management of private investment funds and became publicly traded in 1998.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that time, the Company has grown through the origination of new investments, as well as through corporate acquisitions.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2—Basis of Presentation and Principles of Consolidation</w:t>
      </w:r>
    </w:p>
    <w:p>
      <w:pPr>
        <w:spacing w:after="0" w:line="14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accompanying audited Consolidated Financial Statements have been prepared in conformity with generally accepted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principles in the United States of America ("GAAP") for complete financial statements. The preparation of financial statements in conformity with GAAP requires management to make estimates and assumptions that affect the reported amounts of assets, liabilities, disclosure of contingent assets and liabilities at the dates of the financial statements and the reported amounts of revenues and expenses during the reporting periods. Actual results could differ from those estimates. Certain prior year amounts have been reclassified in the Company's Consolidated Financial Statements and the related notes to conform to the current period presentation.</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2014, the Company determined that its classification of proceeds received from land sales for the quarterly periods ended March 31, June 30 and September 30, 2014 was incorrectly classified as a component of cash flows from operating activities rather than cash flows from investing activities. The Company evaluated the impact on the previously issued statements of cash flows for the aforementioned periods and concluded that it was not material. However, in order to correctly present such cash flows, the Company will revise the amounts as those financial statements are presented in future filings. The impact of the correction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340" w:type="dxa"/>
            <w:vAlign w:val="bottom"/>
          </w:tcPr>
          <w:p>
            <w:pPr>
              <w:spacing w:after="0"/>
              <w:rPr>
                <w:sz w:val="16"/>
                <w:szCs w:val="16"/>
                <w:color w:val="auto"/>
              </w:rPr>
            </w:pPr>
          </w:p>
        </w:tc>
        <w:tc>
          <w:tcPr>
            <w:tcW w:w="1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13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81"/>
        </w:trPr>
        <w:tc>
          <w:tcPr>
            <w:tcW w:w="640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Three months ended March 31, 2014</w:t>
            </w:r>
          </w:p>
        </w:tc>
        <w:tc>
          <w:tcPr>
            <w:tcW w:w="52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Six months ended June 30, 2014</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(92,107)</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Nine months ended September 30, 2014</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4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Three months ended March 31, 2014</w:t>
            </w: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35,461</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Six months ended June 30, 2014</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58,691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67,321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Nine months ended September 30, 2014</w:t>
            </w: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295,785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11,920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307,705</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color w:val="auto"/>
        </w:rPr>
        <w:t>Principles of Consolidation</w:t>
      </w:r>
      <w:r>
        <w:rPr>
          <w:rFonts w:ascii="Times New Roman" w:cs="Times New Roman" w:eastAsia="Times New Roman" w:hAnsi="Times New Roman"/>
          <w:sz w:val="18"/>
          <w:szCs w:val="18"/>
          <w:color w:val="auto"/>
        </w:rPr>
        <w:t>—The Consolidated Financial Statements include the financial statements of the Company, its wholly owned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partnerships and variable interest entities ("VIEs") for which the Company is the primary beneficiary. All significant intercompany balances and transactions have been eliminated in consolidation. The Company's involvement with VIEs affects its financial performance and cash flows primarily through amounts recorded in "Operating lease income," "Earnings from equity method investments," "Real estate expense" and "Interest expense" in the Company's Consolidated Statements of Operations. The Company has not provided financial support to those VIEs that it was not previously contractually required to provide.</w:t>
      </w:r>
    </w:p>
    <w:p>
      <w:pPr>
        <w:spacing w:after="0" w:line="142"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Consolidated VIEs</w:t>
      </w:r>
      <w:r>
        <w:rPr>
          <w:rFonts w:ascii="Times New Roman" w:cs="Times New Roman" w:eastAsia="Times New Roman" w:hAnsi="Times New Roman"/>
          <w:sz w:val="18"/>
          <w:szCs w:val="18"/>
          <w:color w:val="auto"/>
        </w:rPr>
        <w:t>—As of December 31, 2014, the Company consolidated 4 VIEs for which it is considered the primary beneficiary. At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the total assets of these consolidated VIEs were $156.3 million and total liabilities were $10.3 million. The classifications of these assets are primarily within "Real estate, net" and "Other investments" on the Company's Consolidated Balance Sheets. The classifications of liabilities are primarily within "Accounts payable, accrued expenses and other liabilities" on the Company's Consolidated Balance Sheets. The liabilities of these VIEs are non-recourse to the Company and can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8"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only be satisfied from each VIE's respective assets. The Company's total unfunded commitments related to consolidated VIEs was $38.8 million as of December 31, 2014.</w:t>
      </w:r>
    </w:p>
    <w:p>
      <w:pPr>
        <w:spacing w:after="0" w:line="158"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Unconsolidated VIEs</w:t>
      </w:r>
      <w:r>
        <w:rPr>
          <w:rFonts w:ascii="Times New Roman" w:cs="Times New Roman" w:eastAsia="Times New Roman" w:hAnsi="Times New Roman"/>
          <w:sz w:val="18"/>
          <w:szCs w:val="18"/>
          <w:color w:val="auto"/>
        </w:rPr>
        <w:t>—As of December 31, 2014, 26 of the Company's investments were in VIEs where it is not the primary beneficiary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accordingly the VIEs have not been consolidated in the Company's Consolidated Financial Statements. As of December 31, 2014, the Company's maximum exposure to loss from these investments does not exceed the sum of the $177.3 million carrying value of the investments, which are classified in "Other investments" on the Company's Consolidated Balance Sheets, and $20.5 million of related unfunded commitments.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3—Summary of Significant Accounting Policies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Real estate—</w:t>
      </w:r>
      <w:r>
        <w:rPr>
          <w:rFonts w:ascii="Times New Roman" w:cs="Times New Roman" w:eastAsia="Times New Roman" w:hAnsi="Times New Roman"/>
          <w:sz w:val="18"/>
          <w:szCs w:val="18"/>
          <w:color w:val="auto"/>
        </w:rPr>
        <w:t>Real estate assets are recorded at cost less accumulated depreciation and amortization, as follows:</w:t>
      </w:r>
    </w:p>
    <w:p>
      <w:pPr>
        <w:spacing w:after="0" w:line="18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Capitalization and depreciation—</w:t>
      </w:r>
      <w:r>
        <w:rPr>
          <w:rFonts w:ascii="Times New Roman" w:cs="Times New Roman" w:eastAsia="Times New Roman" w:hAnsi="Times New Roman"/>
          <w:sz w:val="18"/>
          <w:szCs w:val="18"/>
          <w:color w:val="auto"/>
        </w:rPr>
        <w:t>Certain improvements and replacements are capitalized when they extend the useful life of the asset. For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projects, the Company begins to capitalize qualified development and construction costs, including interest, real estate taxes, compensation and certain other carrying costs incurred which are specifically identifiable to a development project once activities necessary to get the asset ready for its intended use have commenced. If specific allocation of costs is not practicable, the Company will allocate costs based on relative fair value prior to construction or relative sales value, relative size or other value methods as appropriate during construction. The Company ceases capitalization on the portions substantially completed and ready for their intended use. Repairs and maintenance costs are expensed as incurred. Depreciation is computed using the straight-line method of cost recovery over the estimated useful life, which is generally 40 years for facilities, five years for furniture and equipment, the shorter of the remaining lease term or expected life for tenant improvements and the remaining useful life of the facility for facility improvements.</w:t>
      </w:r>
    </w:p>
    <w:p>
      <w:pPr>
        <w:spacing w:after="0" w:line="18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Purchase price allocation—</w:t>
      </w:r>
      <w:r>
        <w:rPr>
          <w:rFonts w:ascii="Times New Roman" w:cs="Times New Roman" w:eastAsia="Times New Roman" w:hAnsi="Times New Roman"/>
          <w:sz w:val="18"/>
          <w:szCs w:val="18"/>
          <w:color w:val="auto"/>
        </w:rPr>
        <w:t>Upon acquisition of real estate, the Company determines whether the transaction is a business combination,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under the acquisition method, or an acquisition of assets. For both types of transactions, the Company recognizes and measures identifiable assets acquired, liabilities assumed and any noncontrolling interest in the acquiree based on their relative fair values. For business combinations, the Company recognizes and measures goodwill or gain from a bargain purchase, if applicable, and expenses acquisition-related costs in the periods in which the costs are incurred and the services are received. For acquisitions of assets, acquisition-related costs are capitalized and recorded in "Real estate, net" on the Company's Consolidated Balance Sheets.</w:t>
      </w:r>
    </w:p>
    <w:p>
      <w:pPr>
        <w:spacing w:after="0" w:line="14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accounts for its acquisition of properties by recording the purchase price of tangible and intangible assets and liabilities acquired based on their estimated fair values. The value of the tangible assets, consisting of land, buildings, building improvements and tenant improvements is determined as if these assets are vacant. Intangible assets may include the value of above-market leases, in-place leases and the value of customer relationships, which are each recorded at their estimated fair values and included in “Deferred expenses and other assets, net” on the Company's Consolidated Balance Sheets. Intangible liabilities may include the value of below-market leases, which are recorded at their estimated fair values and included in “Accounts payable, accrued expenses and other liabilities” on the Company's Consolidated Balance Sheets. In-place leases and customer relationships are amortized over the remaining non-cancelable term and the amortization expense is included in "Depreciation and amortization" on the Company's Consolidated Statements of Operations. The capitalized above-market (or below-market) lease value is amortized as a reduction of (or, increase to) operating lease income over the remaining non-cancelable term of each lease plus any renewal periods with fixed rental terms that are considered to be below-market. The Company also engages in sale/leaseback transactions and typically executes leases with the occupant simultaneously with the purchase of the net lease asset.</w:t>
      </w:r>
    </w:p>
    <w:p>
      <w:pPr>
        <w:spacing w:after="0" w:line="14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Impairments—</w:t>
      </w:r>
      <w:r>
        <w:rPr>
          <w:rFonts w:ascii="Times New Roman" w:cs="Times New Roman" w:eastAsia="Times New Roman" w:hAnsi="Times New Roman"/>
          <w:sz w:val="18"/>
          <w:szCs w:val="18"/>
          <w:color w:val="auto"/>
        </w:rPr>
        <w:t>The Company reviews long-lived assets to be held and used, for impairment in value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that the carrying amount of such assets may not be recoverable. The value of a long-lived asset held for use is impaired only if management's estimate of the aggregate future cash flows (undiscounted and without interest charges) to be generated by the asset (taking into account the anticipated holding period of the asset) is less than the carrying value. Such estimate of cash flows considers factors such as expected future operating income trends, as well as the effects of demand, competition and other economic factors. To the extent impairment has occurred, the loss will be measured as the excess of the carrying amount of the property over the estimated fair value of the asset and reflected as an adjustment to the basis of the asset. Impairments of real estate assets that are not held for sale are recorded in "Impairment of assets" on the Company's Consolidated Statements of Operations. Impairments of real estate assets that are disposed of or classified as held for sale after December 31, 2013 and which do not represent a strategic shift that has (or will have) a major effect on the Company's operations and financial results are also recorded in "Impairments of assets" on the Company's Consolidated Statements of Operations.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Real estate available and held for sale—</w:t>
      </w:r>
      <w:r>
        <w:rPr>
          <w:rFonts w:ascii="Times New Roman" w:cs="Times New Roman" w:eastAsia="Times New Roman" w:hAnsi="Times New Roman"/>
          <w:sz w:val="18"/>
          <w:szCs w:val="18"/>
          <w:color w:val="auto"/>
        </w:rPr>
        <w:t>The Company reports real estate assets to be sold at the lower of their carrying amount or estimated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costs to sell and classifies them as “Real estate available and held for sale” on the Company's Consolidated Balance Sheets. If the estimated fair value less costs to sell is less than the carrying value, the difference will be recorded as an impairment charge. Impairment for real estate assets sold or classified as held for sale on or before December 31, 2013 are included in "Income (loss) from discontinued operations" on the Company's Consolidated Statements of Operations. Impairment for real estate assets disposed of or classified as held for sale after December 31, 2013 are included in "Impairment of assets" on the Company's Consolidated Statements of Operations. Once a real estate asset is classified as held for sale and represents a strategic shift, depreciation expense is no longer recorded and historical operating results, including impairments, are reclassified to "Income (loss) from discontinued operations" on the Company's Consolidated Statements of Operations.</w:t>
      </w:r>
    </w:p>
    <w:p>
      <w:pPr>
        <w:spacing w:after="0" w:line="14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If circumstances arise that were previously considered unlikely and, as a result the Company decides not to sell a property previously classified as held for sale, the property is reclassified as held and used and included in "Real estate, net" on the Company's Consolidated Balance Sheets. The Company measures and records a property that is reclassified as held and used at the lower of (i) its carrying amount before the property was classified as held for sale, adjusted for any depreciation expense that would have been recognized had the property been continuously classified as held and used, or (ii) the estimated fair value at the date of the subsequent decision not to sell.</w:t>
      </w:r>
    </w:p>
    <w:p>
      <w:pPr>
        <w:spacing w:after="0" w:line="14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reports residential property units to be disposed of at the lower of their carrying amount or estimated fair value less costs to sell and classifies them as “Real estate available and held for sale” on the Company's Consolidated Balance Sheets. If the estimated fair value less costs to sell is less than the carrying value, the difference will be recorded as an impairment charge and included in “Impairment of assets” on the Company's Consolidated Statements of Operations. The net carrying costs for residential property units are recorded in “Real estate expense” on the Company's Consolidated Statements of Operations.</w:t>
      </w:r>
    </w:p>
    <w:p>
      <w:pPr>
        <w:spacing w:after="0" w:line="14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Dispositions—</w:t>
      </w:r>
      <w:r>
        <w:rPr>
          <w:rFonts w:ascii="Times New Roman" w:cs="Times New Roman" w:eastAsia="Times New Roman" w:hAnsi="Times New Roman"/>
          <w:sz w:val="18"/>
          <w:szCs w:val="18"/>
          <w:color w:val="auto"/>
        </w:rPr>
        <w:t>Revenue from sales of land and gains or losses on the sale of other real estate assets, including residential property, are recognized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Accounting Standards Codification ("ASC") 360-20</w:t>
      </w:r>
      <w:r>
        <w:rPr>
          <w:rFonts w:ascii="Times New Roman" w:cs="Times New Roman" w:eastAsia="Times New Roman" w:hAnsi="Times New Roman"/>
          <w:sz w:val="18"/>
          <w:szCs w:val="18"/>
          <w:i w:val="1"/>
          <w:iCs w:val="1"/>
          <w:color w:val="auto"/>
        </w:rPr>
        <w:t>, Real Estate Sales</w:t>
      </w:r>
      <w:r>
        <w:rPr>
          <w:rFonts w:ascii="Times New Roman" w:cs="Times New Roman" w:eastAsia="Times New Roman" w:hAnsi="Times New Roman"/>
          <w:sz w:val="18"/>
          <w:szCs w:val="18"/>
          <w:color w:val="auto"/>
        </w:rPr>
        <w:t>. Sales of land and the associated gains on sales for residential property are recognized for full profit recognition upon closing of the sale transactions, when the profit is determinable, the earnings process is virtually complete, the parties are bound by the terms of the contract, all consideration has been exchanged, any permanent financing for which the seller is responsible has been arranged and all conditions for closing have been performed. The Company primarily uses specific identification and the relative sales value method to allocate costs. Revenues from sales of land are included in "Land sales revenue" and costs of land sales are included in "Land cost of sales" on the Company’s Consolidated Statements of Operations. Gains on sales of net lease assets or commercial operating properties disposed of or classified as held for sale on or before December 31, 2013 are recorded in “Gains from discontinued operations” on the Company's Consolidated Statements of Operations. Gain on sales of net lease assets or commercial operating properties disposed of or classified as held for sale after December 31, 2013 and profits on sales of residential property within the operating property segment are included in "Income from sales of real estate" on the Company's Consolidated Statements of Operations.</w:t>
      </w:r>
    </w:p>
    <w:p>
      <w:pPr>
        <w:spacing w:after="0" w:line="19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Loans receivable and other lending investments,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Loans receivable and other lending investments, net includes the following investments: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mortgages, subordinate mortgages, corporate/partnership loans, preferred equity investments and debt securities. Management considers nearly all of its loans to be held-for-investment, although certain investments may be classified as held-for-sale or available-for-sale.</w:t>
      </w:r>
    </w:p>
    <w:p>
      <w:pPr>
        <w:spacing w:after="0" w:line="26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Loans receivable classified as held-for-investment and debt securities classified as held-to-maturity are reported at their outstanding unpaid principal balance, and include unamortized acquisition premiums or discounts and unamortized deferred loan costs or fees. These loans and debt securities also include accrued and paid-in-kind interest and accrued exit fees that the Company determines are probable of being collected. Debt securities classified as available-for-sale are reported at fair value with unrealized gains and losses included in "Accumulated other comprehensive income (loss)" on the Company's Consolidated Balance Sheets.</w:t>
      </w:r>
    </w:p>
    <w:p>
      <w:pPr>
        <w:spacing w:after="0" w:line="23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Loans receivable and other lending investments designated for sale are classified as held-for-sale and are carried at lower of amortized historical cost or estimated fair value. The amount by which carrying value exceeds fair value is recorded as a valuation allowance. Subsequent changes in the valuation allowance are included in the determination of net income (loss) in the period in which the change occurs.</w:t>
      </w:r>
    </w:p>
    <w:p>
      <w:pPr>
        <w:spacing w:after="0" w:line="23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For held-to-maturity and available-for-sale debt securities held in "Loans receivable and other lending investments, net," management evaluates whether the asset is other-than-temporarily impaired when the fair market value is below carrying value. The Company considers debt securities other-than-temporarily impaired if (1) the Company has the intent to sell the security, (2) it is more likely than not that it will be required to sell the security before recovery, or (3) it does not expect to recover the entire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8"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amortized cost basis of the security. If it is determined that an other-than-temporary impairment exists, the portion related to credit losses, where the Company does not expect to recover its entire amortized cost basis, will be recognized as an "Impairment of assets" on the Company's Consolidated Statements of Operations. If the Company does not intend to sell the security and it is more likely than not that the entity will not be required to sell the security, but the security has suffered a credit loss, the impairment charge will be separated. The credit loss component of the impairment will be recorded as an "Impairment of assets" on the Company's Consolidated Statements of Operations, and the remainder will be recorded in "Accumulated other comprehensive income (loss)" on the Company's Consolidated Balance Sheets.</w:t>
      </w:r>
    </w:p>
    <w:p>
      <w:pPr>
        <w:spacing w:after="0" w:line="24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acquires properties through foreclosure or by deed-in-lieu of foreclosure in full or partial satisfaction of non-performing loans. Based on the Company's strategic plan to realize the maximum value from the collateral received, property is classified as "Real estate, net" or "Real estate available and held for sale" at its estimated fair value when title to the property is obtained. Any excess of the carrying value of the loan over the estimated fair value of the property (less costs to sell for assets held for sale) is charged-off against the reserve for loan losses as of the date of foreclosure.</w:t>
      </w:r>
    </w:p>
    <w:p>
      <w:pPr>
        <w:spacing w:after="0" w:line="23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Equity and cost method investments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interests are accounted for pursuant to the equity method of accounting if the Company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significantly influence the operating and financial policies of an investee. This is generally presumed to exist when ownership interest is between 20% and 50% of a corporation, or greater than 5% of a limited partnership or certain limited liability companies. The Company's periodic share of earnings and losses in equity method investees is included in "Earnings from equity method investments" on the Consolidated Statements of Operations. When the Company's ownership position is too small to provide such influence, the cost method is used to account for the equity interest. Equity and cost method investments are included in "Other investments" on the Company's Consolidated Balance Sheets.</w:t>
      </w:r>
    </w:p>
    <w:p>
      <w:pPr>
        <w:spacing w:after="0" w:line="24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To the extent that the Company contributes assets to an unconsolidated subsidiary, the Company’s investment in the subsidiary is recorded at the Company’s cost basis in the assets that were contributed to the unconsolidated subsidiary. To the extent that the Company’s cost basis is different from the basis reflected at the subsidiary level, when required, the basis difference is amortized over the life of the related assets and included in the Company’s share of equity in net income (loss) of the unconsolidated subsidiary, as appropriate. The Company recognizes gains on the contribution of real estate to unconsolidated subsidiaries, relating solely to the outside partner’s interest, to the extent the economic substance of the transaction is a sale. The Company recognizes a loss when it contributes property to an unconsolidated subsidiary and receives a disproportionately small interest in the subsidiary based on a comparison of the carrying amount of the property with the cash and other consideration contributed by the other investors.</w:t>
      </w:r>
    </w:p>
    <w:p>
      <w:pPr>
        <w:spacing w:after="0" w:line="24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equity method investments for impairment in value whenever events or changes in circumstances indicate that the carrying amount of such investments may not be recoverable. The Company will record an impairment charge to the extent that the estimated fair value of an investment is less than its carrying value and the Company determines the impairment is other-than-temporary. Impairment charges are recorded in "Earnings from equity method investments" on the Company's Consolidated Statements of Operations.</w:t>
      </w:r>
    </w:p>
    <w:p>
      <w:pPr>
        <w:spacing w:after="0" w:line="23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Cash and cash equivalents include cash held in banks or invested in money market funds with original maturity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 than 90 days.</w:t>
      </w:r>
    </w:p>
    <w:p>
      <w:pPr>
        <w:spacing w:after="0" w:line="209"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Restricted cash represents amounts required to be maintained under certain of the Company's debt obligations, loans, leasing, 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sale and derivative transactions.</w:t>
      </w:r>
    </w:p>
    <w:p>
      <w:pPr>
        <w:spacing w:after="0" w:line="20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Variable interest entities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The Company evaluated its investments and other contractual arrangements to determine if they constitute variable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VIE. A VIE is an entity where a controlling financial interest is achieved through means other than voting rights. A VIE is consolidated by the primary beneficiary, which is the party that has the power to direct matters that most significantly impact the activities of the VIE and has the obligation to absorb losses or the right to receive benefits of the VIE that could potentially be significant to the VIE. This overall consolidation assessment includes a review of, among other factors, which interests create or absorb variability, contractual terms, the key decision making powers, their impact on the VIE's economic performance, and related party relationships. Where qualitative assessment is not conclusive, the Company performs a quantitative analysis. The Company reassesses its evaluation of the primary beneficiary of a VIE on an ongoing basis and assesses its evaluation of an entity as a VIE upon certain reconsideration events.</w:t>
      </w:r>
    </w:p>
    <w:p>
      <w:pPr>
        <w:spacing w:after="0" w:line="24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has investments in certain funds that meet the deferral criteria in Accounting Standards Update ("ASU") 2010-10 and will continue to assess consolidation of these entities under the overall guidance on the consolidation of VIEs in ASC 810-10. The consolidation evaluation is similar to the process noted above, except that the primary beneficiary is the party that will receive a majority of the VIE's anticipated losses, a majority of the VIE's expected residual returns, or both. In</w:t>
      </w:r>
    </w:p>
    <w:p>
      <w:pPr>
        <w:sectPr>
          <w:pgSz w:w="11900" w:h="16838" w:orient="portrait"/>
          <w:cols w:equalWidth="0" w:num="1">
            <w:col w:w="11420"/>
          </w:cols>
          <w:pgMar w:left="240" w:top="118"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 for entities that meet the deferral criteria, the Company reassesses its initial evaluation of the primary beneficiary and whether an entity is a VIE upon the occurrence of certain reconsideration events.</w:t>
      </w:r>
    </w:p>
    <w:p>
      <w:pPr>
        <w:spacing w:after="0" w:line="212"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Deferred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Deferred expenses include leasing costs and financing fees. Leasing costs include brokerage, legal and other costs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amortized over the life of the respective leases. External fees and costs incurred to obtain long-term financing have been deferred and are amortized over the term of the respective borrowing using the effective interest method. Amortization of leasing costs is included in "Depreciation and amortization" and amortization of deferred financing fees is included in "Interest expense" on the Company's Consolidated Statements of Operations.</w:t>
      </w:r>
    </w:p>
    <w:p>
      <w:pPr>
        <w:spacing w:after="0" w:line="23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Identified intangible assets and liabilities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Upon the acquisition of a business, the Company records intangible assets or liabilities acquired at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fair values and determines whether such intangible assets or liabilities have finite or indefinite lives. As of December 31, 2014, all such intangible assets and liabilities acquired by the Company have finite lives. Intangible assets are included in "Deferred expenses and other assets, net" and intangible liabilities are included in "Accounts payable, accrued expenses and other liabilities" on the Company's Consolidated Balance Sheets. The Company amortizes finite lived intangible assets and liabilities based on the period over which the assets are expected to contribute directly or indirectly to the future cash flows of the business acquired. The Company reviews finite lived intangible assets for impairment whenever events or changes in circumstances indicate that their carrying amount may not be recoverable. If the Company determines the carrying value of an intangible asset is not recoverable it will record an impairment charge to the extent its carrying value exceeds its estimated fair value. Impairments of intangible assets are recorded in "Impairment of assets" on the Company's Consolidated Statements of Operations.</w:t>
      </w:r>
    </w:p>
    <w:p>
      <w:pPr>
        <w:spacing w:after="0" w:line="2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The Company's revenue recognition policies are as follows:</w:t>
      </w:r>
    </w:p>
    <w:p>
      <w:pPr>
        <w:spacing w:after="0" w:line="28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Operating lease income: </w:t>
      </w:r>
      <w:r>
        <w:rPr>
          <w:rFonts w:ascii="Times New Roman" w:cs="Times New Roman" w:eastAsia="Times New Roman" w:hAnsi="Times New Roman"/>
          <w:sz w:val="18"/>
          <w:szCs w:val="18"/>
          <w:color w:val="auto"/>
        </w:rPr>
        <w:t>The Company's leases have all been determined to be operating leases based on an analysis performed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ASC 840. Operating lease income is recognized on the straight-line method of accounting, generally from the later of the date the lessee takes possession of the space and it is ready for its intended use or the date of acquisition of the facility subject to existing leases. Accordingly, contractual lease payment increases are recognized evenly over the term of the lease. The periodic difference between lease revenue recognized under this method and contractual lease payment terms is recorded as "Deferred operating lease income receivable," on the Company's Consolidated Balance Sheets.</w:t>
      </w:r>
    </w:p>
    <w:p>
      <w:pPr>
        <w:spacing w:after="0" w:line="23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also recognizes revenue from certain tenant leases for reimbursements of all or a portion of operating expenses, including common area costs, insurance, utilities and real estate taxes of the respective property. This revenue is accrued in the same periods as the expense is incurred and is recorded as “Operating lease income” on the Company's Consolidated Statements of Operations. Revenue is also recorded from certain tenant leases that is contingent upon tenant sales exceeding defined thresholds. These rents are recognized only after the defined threshold has been met for the period.</w:t>
      </w:r>
    </w:p>
    <w:p>
      <w:pPr>
        <w:spacing w:after="0" w:line="23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Management estimates losses within its operating lease income receivable and deferred operating lease income receivable balances as of the balance sheet date and incorporates an asset-specific component, as well as a general, formula-based reserve based on management's evaluation of the credit risks associated with these receivables. As of December 31, 2014 and 2013, the allowance for doubtful accounts related to real estate tenant receivables was $1.3 million and $3.4 million, respectively, and the allowance for doubtful accounts related to deferred operating lease income was $2.4 million and $2.4 million, respectively.</w:t>
      </w:r>
    </w:p>
    <w:p>
      <w:pPr>
        <w:spacing w:after="0" w:line="2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on loans receivable is recognized on an accrual basis using the interest method.</w:t>
      </w:r>
    </w:p>
    <w:p>
      <w:pPr>
        <w:spacing w:after="0" w:line="28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occasion, the Company may acquire loans at premiums or discounts. These discounts and premiums in addition to any deferred costs or fees, are typically amortized over the contractual term of the loan using the interest method. Exit fees are also recognized over the lives of the related loans as a yield adjustment, if management believes it is probable that such amounts will be received. If loans with premiums, discounts, loan origination or exit fees are prepaid, the Company immediately recognizes the unamortized portion, which is included in "Other income" or "Other expense" on the Company's Consolidated Statements of Operations.</w:t>
      </w: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considers a loan to be non-performing and places loans on non-accrual status at such time as: (1) the loan becomes 90 days delinquent;</w:t>
      </w:r>
    </w:p>
    <w:p>
      <w:pPr>
        <w:spacing w:after="0" w:line="27" w:lineRule="exact"/>
        <w:rPr>
          <w:sz w:val="20"/>
          <w:szCs w:val="20"/>
          <w:color w:val="auto"/>
        </w:rPr>
      </w:pPr>
    </w:p>
    <w:p>
      <w:pPr>
        <w:jc w:val="both"/>
        <w:ind w:firstLine="8"/>
        <w:spacing w:after="0" w:line="253" w:lineRule="auto"/>
        <w:tabs>
          <w:tab w:leader="none" w:pos="2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has a maturity default; or (3) management determines it is probable that it will be unable to collect all amounts due according to the contractual terms of the loan. While on non-accrual status, based on the Company's judgment as to collectability of principal, loans are either accounted for on a cash basis, where interest income is recognized only upon actual receipt of cash, or on a cost-recovery basis, where all cash receipts reduce a loan's carrying value. Non-accrual loans are returned to accrual status when a loan has become contractually current and management believes all amounts contractually owed will be received.</w:t>
      </w:r>
    </w:p>
    <w:p>
      <w:pPr>
        <w:sectPr>
          <w:pgSz w:w="11900" w:h="16838" w:orient="portrait"/>
          <w:cols w:equalWidth="0" w:num="1">
            <w:col w:w="11420"/>
          </w:cols>
          <w:pgMar w:left="240" w:top="118"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8" w:right="2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Certain of the Company's loans contractually provide for accrual of interest at specified rates that differ from current payment terms. Interest is recognized on such loans at the accrual rate subject to management's determination that accrued interest and outstanding principal are ultimately collectible, based on the underlying collateral and operations of the borrower.</w:t>
      </w:r>
    </w:p>
    <w:p>
      <w:pPr>
        <w:spacing w:after="0" w:line="2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Prepayment penalties or yield maintenance payments from borrowers are recognized as additional income when received. Certain of the Company's loan investments provide for additional interest based on the borrower's operating cash flow or appreciation of the underlying collateral. Such amounts are considered contingent interest and are reflected as interest income only upon receipt of cash.</w:t>
      </w:r>
    </w:p>
    <w:p>
      <w:pPr>
        <w:spacing w:after="0" w:line="228"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includes revenues from hotel operations, which are recognized when rooms are occupied and the related services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Revenues include room sales, food and beverage sales, parking, telephone, spa services and gift shop sales. Other income also includes gains from sales of loans, lease termination fees and other ancillary income.</w:t>
      </w:r>
    </w:p>
    <w:p>
      <w:pPr>
        <w:spacing w:after="0" w:line="9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Reserve for loan losses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The reserve for loan losses reflects management's estimate of loan losses inherent in the loan portfolio as of the balance sheet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If the Company determines that the collateral value is less than the carrying value of a collateral-dependent loan, the Company will record a reserve. The reserve is increased (decreased) through "Provision for (recovery of) loan losses" on the Company's Consolidated Statements of Operations and is decreased by charge-offs. During delinquency and the foreclosure process, there are typically numerous points of negotiation with the borrower as the Company works toward a settlement or other alternative resolution, which can impact the potential for loan repayment or receipt of collateral. The Company's policy is to charge off a loan when it determines, based on a variety of factors, that all commercially reasonable means of recovering the loan balance have been exhausted. This may occur at different times, including when the Company receives cash or other assets in a pre-foreclosure sale or takes control of the underlying collateral in full satisfaction of the loan upon foreclosure or deed-in-lieu, or when the Company has otherwise ceased significant collection efforts. The Company considers circumstances such as the foregoing to be indicators that the final steps in the loan collection process have occurred and that a loan is uncollectible. At this point, a loss is confirmed and the loan and related reserve will be charged off. The Company has one portfolio segment, represented by commercial real estate lending, whereby it utilizes a uniform process for determining its reserve for loan losses. The reserve for loan losses includes a general, formula-based component and an asset-specific component.</w:t>
      </w:r>
    </w:p>
    <w:p>
      <w:pPr>
        <w:spacing w:after="0" w:line="15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The general reserve component covers performing loans and reserves for loan losses are recorded when (i) available information as of each balance sheet date indicates that it is probable a loss has occurred in the portfolio and (ii) the amount of the loss can be reasonably estimated. The formula-based general reserve is derived from estimated principal default probabilities and loss severities applied to groups of loans based upon risk ratings assigned to loans with similar risk characteristics during the Company's quarterly loan portfolio assessment. During this assessment, the Company performs a comprehensive analysis of its loan portfolio and assigns risk ratings to loans that incorporate management's current judgments about their credit quality based on all known and relevant internal and external factors that may affect collectability. The Company considers,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Ratings range from "1" to "5" with "1" representing the lowest risk of loss and "5" representing the highest risk of loss. The Company estimates loss rates based on historical realized losses experienced within its portfolio and takes into account current economic conditions affecting the commercial real estate market when establishing appropriate time frames to evaluate loss experience.</w:t>
      </w:r>
    </w:p>
    <w:p>
      <w:pPr>
        <w:spacing w:after="0" w:line="15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asset-specific reserve component relates to reserves for losses on impaired loans. The Company considers a loan to be impaired when, based upon current information and events, it believes that it is probable that the Company will be unable to collect all amounts due under the contractual terms of the loan agreement. This assessment is made on a loan-by-loan basis each quarter based on such factors as payment status, lien position, borrower financial resources and investment in collateral, collateral type, project economics and geographical location as well as national and regional economic factors. A reserve is established for an impaired loan when the present value of payments expected to be received, observable market prices, or the estimated fair value of the collateral (for loans that are dependent on the collateral for repayment) is lower than the carrying value of that loan.</w:t>
      </w:r>
    </w:p>
    <w:p>
      <w:pPr>
        <w:spacing w:after="0" w:line="14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impaired loans are collateral dependent and impairment is measured using the estimated fair value of collateral, less costs to sell. The Company generally uses the income approach through internally developed valuation models to estimate the fair value of the collateral for such loans. In more limited cases, the Company obtains external "as is" appraisals for loan collateral, generally when third party participations exist. Valuations are performed or obtained at the time a loan is determined to be impaired and designated non-performing, and they are updated if circumstances indicate that a significant change in value has occurred. In limited cases, appraised values may be discounted when real estate markets rapidly deteriorate.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 loan is also considered impaired if its terms are modified in a troubled debt restructuring ("TDR"). A TDR occurs when the Company has granted a concession and the debtor is experiencing financial difficulties. Impairments on TDR loans are generally measured based on the present value of expected future cash flows discounted at the effective interest rate of the original loan.</w:t>
      </w:r>
    </w:p>
    <w:p>
      <w:pPr>
        <w:spacing w:after="0" w:line="132"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Loss on debt extinguishments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The Company recognizes the difference between the reacquisition price of debt and the net carrying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extinguished debt currently in earnings. Such amounts may include prepayment penalties or the write-off of unamortized debt issuance costs, and are recorded in “Loss on early extinguishment of debt, net” on the Company's Consolidated Statements of Operations.</w:t>
      </w:r>
    </w:p>
    <w:p>
      <w:pPr>
        <w:spacing w:after="0" w:line="26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Derivative instruments and hedging activity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The Company's use of derivative financial instruments is primarily limited to the utilization of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swaps, interest rate caps or other instruments to manage interest rate risk exposure and foreign exchange contracts to manage our risk to changes in foreign currencies.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recognizes derivatives as either assets or liabilities on the Company's Consolidated Balance Sheets at fair value. If certain conditions are met, a derivative may be specifically designated as a hedge of the exposure to changes in the fair value of a recognized asset or liability, a hedge of a forecasted transaction or the variability of cash flows to be received or paid related to a recognized asset or liability.</w:t>
      </w:r>
    </w:p>
    <w:p>
      <w:pPr>
        <w:spacing w:after="0" w:line="23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 Comprehensive Income into earnings when the hedged net investment is either sold or substantially liquidated.</w:t>
      </w:r>
    </w:p>
    <w:p>
      <w:pPr>
        <w:spacing w:after="0" w:line="23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Derivatives that are not designated hedges are considered economic hedges, with changes in fair value reported in current earnings in "Other expense" on the Company's Consolidated Statements of Operations. The Company does not enter into derivatives for trading purposes.</w:t>
      </w:r>
    </w:p>
    <w:p>
      <w:pPr>
        <w:spacing w:after="0" w:line="21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Compensation cost for stock-based awards is measured on the grant date and adjusted over the period of the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to reflect (i) actual forfeitures and (ii) the outcome of awards with performance or service conditions through the requisite service period. The Company recognizes compensation cost for performance-based awards if and when the Company concludes that it is probable that the performance condition will be achieved. Compensation cost for market condition-based awards is determined using a Monte Carlo model to simulate a range of possible future stock prices for the Company's Common Stock, which is reflected in the grant date fair value. All compensation cost for market-condition based awards in which the service conditions are met is recognized regardless of whether the market condition is satisfied. Compensation costs are recognized ratably over the applicable vesting/service period and recorded in "General and administrative" on the Company's Consolidated Statements of Operations.</w:t>
      </w:r>
    </w:p>
    <w:p>
      <w:pPr>
        <w:spacing w:after="0" w:line="237"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The Company has elected to be qualified and taxed as a REIT under section 856 through 860 of the Internal Revenue Code of 1986,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(the "Code"). The Company is subject to federal income taxation at corporate rates on its REIT taxable income, however, the Company is allowed a deduction for the amount of dividends paid to its shareholders, thereby subjecting the distributed net income of the Company to taxation at the shareholder level only. While it must distribute at least 90% of its taxable income in order to maintain its REIT status, the Company typically distributes all of its taxable income, if any, in order to minimize any tax on undistributed taxable income. In addition, the Company is allowed several other deductions in computing its REIT taxable income, including non-cash items such as depreciation expense and certain specific reserve amounts that the Company deems to be uncollectable. These deductions allow the Company to reduce its dividend payout requirement under federal tax laws. In addition, the Company has made foreclosure elections for certain properties acquired through foreclosure which allows the Company to operate these properties within the REIT but subjects them to certain tax obligations. The carrying value of assets with foreclosure elections as of December 31, 2014 is $909.3 million. The Company intends to operate in a manner consistent with, and its election to be treated as, a REIT for tax purposes. As of December 31, 2013, the Company had $759.8 million of net operating loss carryforwards at the corporate REIT level, which can generally be used to offset both ordinary and capital taxable income in future years and will expire through 2033 if unused. The amount of net operating loss carryforwards as of December 31, 2014 will be subject to finalization of the Company's 2014 tax return. During the year ended December 31, 2014, the Company did not have REIT taxable income. The Company recognizes interest expense and penalties related to uncertain tax positions, if any, as "Income tax (expense) benefit" on the Company's Consolidated Statements of Operations.</w:t>
      </w:r>
    </w:p>
    <w:p>
      <w:pPr>
        <w:spacing w:after="0" w:line="24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can participate in certain activities from which it would be otherwise precluded in order to maintain its qualification as a REIT, as long as these activities are conducted in entities which elect to be treated as taxable subsidiaries under the Code, subject to certain limitations. As such, the Company, through its taxable REIT subsidiaries ("TRSs"), is engaged in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8"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various real estate related opportunities, primarily related to managing activities related to certain foreclosed assets, as well as managing various investments in equity affiliates. As of December 31, 2014, $541.7 million of the Company's assets were owned by TRS entities. The Company's TRS entities are not consolidated for federal income tax purposes and are taxed as corporations. For financial reporting purposes, current and deferred taxes are provided for on the portion of earnings recognized by the Company with respect to its interest in TRS entities.</w:t>
      </w: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represents the Company's TRS income tax expense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tax (expense) benefit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2014, the Company's TRS entities generated taxable income of $19.3 million, which was partially offset by the utilization of net operating loss carryforwards, resulting in a current tax expense of $3.9 million. During the year ended December 31, 2013, the Company's TRS entities generated taxable loss of $1.8 million, which was partially offset by the utilization of net operating loss carryforwards, resulting in current tax benefit of $0.7 million. During the year ended December 31, 2012, the Company's TRS entities generated taxable income of $42.2 million, which was partially offset by the utilization of net operating loss carryforwards, resulting in a current tax expense of $8.4 million.</w:t>
      </w: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cash paid for taxes for the years ended December 31, 2014, 2013 and 2012 was $1.3 million, $9.2 million and $5.5 million, respectively.</w:t>
      </w:r>
    </w:p>
    <w:p>
      <w:pPr>
        <w:spacing w:after="0" w:line="27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purposes, as well as operating loss and tax credit carryforwards. The Company evaluates the realizability of its deferred tax assets and recognizes a valuation allowance if, based on the available evidence, both positive and negative, it is more likely than not that some portion or all of its deferred tax assets will not be realized. When evaluating the realizability of its deferred tax assets, the Company considers, among other matters, estimates of expected future taxable income, nature of current and cumulative losses, existing and projected book/tax differences, tax planning strategies available, and the general and industry specific economic outlook. This realizability analysis is inherently subjective, as it requires the Company to forecast its business and general economic environment in future periods. Based on an assessment of all factors, including historical losses and continued volatility of the activities within the TRS entities, it was determined that full valuation allowances were required on the net deferred tax assets as of December 31, 2014 and 2013, respectively. Changes in estimates of deferred tax asset realizability, if any, are included in "Income tax (expense) benefit" on the Consolidated Statements of Operations.</w:t>
      </w:r>
    </w:p>
    <w:p>
      <w:pPr>
        <w:spacing w:after="0" w:line="2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tax assets and liabilities of the Company's TRS entities were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250"/>
        </w:trPr>
        <w:tc>
          <w:tcPr>
            <w:tcW w:w="8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54,318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55,962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(55,962)</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jc w:val="both"/>
        <w:ind w:left="420" w:hanging="412"/>
        <w:spacing w:after="0" w:line="261" w:lineRule="auto"/>
        <w:tabs>
          <w:tab w:leader="none" w:pos="4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tax assets as of December 31, 2014 include timing differences related primarily to real estate basis of $39.3 million, investment basis of $5.9 million and net operating loss carryforwards of $4.1 million. Deferred tax assets as of December 31, 2013, include timing differences related to real estate basis of $33.0 million, investment basis of $8.1 million, and net operating loss carryforwards of $14.9 million.</w:t>
      </w:r>
    </w:p>
    <w:p>
      <w:pPr>
        <w:spacing w:after="0" w:line="96"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Earnings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The Company uses the two-class method in calculating EPS when it issues securities other than common stock that contractually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 the holder to participate in dividends and earnings of the Company when, and if, the Company declares dividends on its common stock. Vested HPU shares are entitled to dividends of the Company when dividends are declared. Basic earnings per share ("Basic EPS") for the Company's Common Stock and HPU shares are computed by dividing net income allocable to common shareholders and HPU holders by the weighted average number of shares of Common Stock and HPU shares outstanding for the period, respectively. Diluted earnings per share ("Diluted EPS") is calculated similarly, however,</w:t>
      </w:r>
    </w:p>
    <w:p>
      <w:pPr>
        <w:sectPr>
          <w:pgSz w:w="11900" w:h="16838" w:orient="portrait"/>
          <w:cols w:equalWidth="0" w:num="1">
            <w:col w:w="11420"/>
          </w:cols>
          <w:pgMar w:left="240" w:top="118"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8" w:right="2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reflects the potential dilution that could occur if securities or other contracts to issue common stock were exercised or converted into common stock, where such exercise or conversion would result in a lower earnings per share amount.</w:t>
      </w:r>
    </w:p>
    <w:p>
      <w:pPr>
        <w:spacing w:after="0" w:line="21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Unvested share-based payment awards that contain non-forfeitable rights to dividends or dividend equivalents (whether paid or unpaid) are deemed a "Participating Security" and are included in the computation of earnings per share pursuant to the two-class method. The Company's common stock equivalents granted under its Long-Term Incentive Plans that are eligible to participate in dividends are considered Participating Securities and have been included in the two-class method when calculating EPS.</w:t>
      </w:r>
    </w:p>
    <w:p>
      <w:pPr>
        <w:spacing w:after="0" w:line="9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color w:val="auto"/>
        </w:rPr>
        <w:t>New accounting pronouncements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In April 2014, the FASB issued ASU 2014-08,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Reporting Discontinued Operations and Disclosures of Disposals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of Components of an Entity </w:t>
      </w:r>
      <w:r>
        <w:rPr>
          <w:rFonts w:ascii="Times New Roman" w:cs="Times New Roman" w:eastAsia="Times New Roman" w:hAnsi="Times New Roman"/>
          <w:sz w:val="18"/>
          <w:szCs w:val="18"/>
          <w:color w:val="auto"/>
        </w:rPr>
        <w:t>("ASU 2014-08"). This guidance requires disposals of a component of an entity or group of components of an entity that represent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strategic shift that has (or will have) a major effect on an entity's operations and financial results to be reported as discontinued operations. Assets and liabilities of a disposal group that includes a discontinued operation must be presented separately in asset and liability sections, respectively, of the Company's Consolidated Balance Sheets for each comparative period. Expanded disclosures about the assets, liabilities, revenues and expenses of discontinued operations are also required. For individually significant disposals that do not qualify as discontinued operations, disclosure of pre-tax income is required. ASU 2014-08 is effective for interim and annual periods beginning on or after December 15, 2014. Early adoption is permitted for disposals (or classifications as held for sale) that have not been reported in previously-issued financial statements. The Company has elected to early adopt ASU 2014-08 beginning with disposals and classifications of assets as held for sale that occurred after December 31, 2013.</w:t>
      </w:r>
    </w:p>
    <w:p>
      <w:pPr>
        <w:spacing w:after="0" w:line="14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which supersedes existing industry-specific guidance, including ASC 360-20, </w:t>
      </w:r>
      <w:r>
        <w:rPr>
          <w:rFonts w:ascii="Times New Roman" w:cs="Times New Roman" w:eastAsia="Times New Roman" w:hAnsi="Times New Roman"/>
          <w:sz w:val="18"/>
          <w:szCs w:val="18"/>
          <w:i w:val="1"/>
          <w:iCs w:val="1"/>
          <w:color w:val="auto"/>
        </w:rPr>
        <w:t>Real Estate Sales</w:t>
      </w:r>
      <w:r>
        <w:rPr>
          <w:rFonts w:ascii="Times New Roman" w:cs="Times New Roman" w:eastAsia="Times New Roman" w:hAnsi="Times New Roman"/>
          <w:sz w:val="18"/>
          <w:szCs w:val="18"/>
          <w:color w:val="auto"/>
        </w:rPr>
        <w:t>. The new standard is principles-based and requires more estimates and judgment than current guidance. Certain contracts with customers, including lease contracts and financial instruments and other contractual rights, are not within the scope of the new guidance. ASU 2014-09 is effective for interim and annual reporting periods beginning after December 15, 2016. Early adoption is not permitted. Management is evaluating the impact of the guidance on the Company's Consolidated Financial Statements.</w:t>
      </w:r>
    </w:p>
    <w:p>
      <w:pPr>
        <w:spacing w:after="0" w:line="139"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In June 2014, the FASB issued ASU 2014-12, </w:t>
      </w:r>
      <w:r>
        <w:rPr>
          <w:rFonts w:ascii="Times New Roman" w:cs="Times New Roman" w:eastAsia="Times New Roman" w:hAnsi="Times New Roman"/>
          <w:sz w:val="18"/>
          <w:szCs w:val="18"/>
          <w:i w:val="1"/>
          <w:iCs w:val="1"/>
          <w:color w:val="auto"/>
        </w:rPr>
        <w:t>Accounting for Share-Based Payments When the Terms of an Award Provide That a Performance 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Could Be Achieved after the Requisite Service Period </w:t>
      </w:r>
      <w:r>
        <w:rPr>
          <w:rFonts w:ascii="Times New Roman" w:cs="Times New Roman" w:eastAsia="Times New Roman" w:hAnsi="Times New Roman"/>
          <w:sz w:val="18"/>
          <w:szCs w:val="18"/>
          <w:color w:val="auto"/>
        </w:rPr>
        <w:t>("ASU 2014-12") which requires a performance target that affects vesting and that could be achieved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after the requisite service period be treated as a performance condition in accordance with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ASU 2014-12 is effective for interim and annual reporting periods beginning after December 15, 2015. Early adoption is permitted. Management does not believe the guidance will have a significant impact on the Company's Consolidated Financial Statements.</w:t>
      </w:r>
    </w:p>
    <w:p>
      <w:pPr>
        <w:spacing w:after="0" w:line="13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August 2014, the FASB issued ASU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xml:space="preserve"> ("ASU 2014-15") which requires management to evaluate whether there is substantial doubt that the Company is able to continue operating as a going concern within one year after the date the financial statements are issued or available to be issued. If there is substantial doubt, additional disclosure is required, including the principal condition or event that raised the substantial doubt, the Company's evaluation of the condition or event in relation to its ability to meet its obligations and the Company's plan to alleviate (or, which is intended to alleviate) the substantial doubt. ASU 2014-15 is effective for interim and annual reporting periods beginning after December 15, 2016. Early adoption is permitted. Management does not believe the guidance will have a significant impact on the Company's Consolidated Financial Statements.</w:t>
      </w:r>
    </w:p>
    <w:p>
      <w:pPr>
        <w:spacing w:after="0" w:line="14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November 2014, the FASB issued ASU 2014-16, </w:t>
      </w:r>
      <w:r>
        <w:rPr>
          <w:rFonts w:ascii="Times New Roman" w:cs="Times New Roman" w:eastAsia="Times New Roman" w:hAnsi="Times New Roman"/>
          <w:sz w:val="18"/>
          <w:szCs w:val="18"/>
          <w:i w:val="1"/>
          <w:iCs w:val="1"/>
          <w:color w:val="auto"/>
        </w:rPr>
        <w:t>Determining Whether the Host Contract in a Hybrid Financial Instrument Issued in the Form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Share is More Akin to Debt or to Equity </w:t>
      </w:r>
      <w:r>
        <w:rPr>
          <w:rFonts w:ascii="Times New Roman" w:cs="Times New Roman" w:eastAsia="Times New Roman" w:hAnsi="Times New Roman"/>
          <w:sz w:val="18"/>
          <w:szCs w:val="18"/>
          <w:color w:val="auto"/>
        </w:rPr>
        <w:t>("ASU 2014-16") which eliminates the diversity in practice for the accounting for hybrid financial instruments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form of a share. ASU 2014-16 requires management to consider all terms and features, whether stated or implied, of a hybrid instrument when determining whether the nature of the instrument is more akin to a debt instrument or an equity instrument. Embedded derivative features, which are accounted for separately from host contracts, should also be considered in the analysis of the hybrid instrument. ASU 2014-16 is effective for interim and annual reporting periods beginning after December 15, 2015. Early adoption is permitted. Management does not believe the guidance will have a significant impact on the Company's Consolidated Financial Statements.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8"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In February 2015, the FASB issued ASU 2015-02, </w:t>
      </w:r>
      <w:r>
        <w:rPr>
          <w:rFonts w:ascii="Times New Roman" w:cs="Times New Roman" w:eastAsia="Times New Roman" w:hAnsi="Times New Roman"/>
          <w:sz w:val="18"/>
          <w:szCs w:val="18"/>
          <w:i w:val="1"/>
          <w:iCs w:val="1"/>
          <w:color w:val="auto"/>
        </w:rPr>
        <w:t>Amendments to the Consolidation Analysis</w:t>
      </w:r>
      <w:r>
        <w:rPr>
          <w:rFonts w:ascii="Times New Roman" w:cs="Times New Roman" w:eastAsia="Times New Roman" w:hAnsi="Times New Roman"/>
          <w:sz w:val="18"/>
          <w:szCs w:val="18"/>
          <w:color w:val="auto"/>
        </w:rPr>
        <w:t xml:space="preserve"> ("ASU 2015-02") which updates the consolidation model for limited partnerships and similar legal entities. ASU 2015-02 includes the evaluation of fees paid to a decision maker as a variable interest and amends the effect of fee arrangements and related parties on the primary beneficiary determination. The guidance is effective for interim and annual reporting periods beginning after December 15, 2015. Early adoption is permitted. Management is evaluating the impact of the guidance on the Company's Consolidated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4—Real Estate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real estate assets were comprised of the following ($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Net Lease</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36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Land</w:t>
            </w:r>
          </w:p>
        </w:tc>
        <w:tc>
          <w:tcPr>
            <w:tcW w:w="36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2014</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311,890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146,417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868,650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1,326,957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1,240,593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578,013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1,818,606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(468,849)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1,188,160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628,271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860,283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2,676,714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162,782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118,679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285,982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real estate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1,192,681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791,053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978,962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2,962,696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2013</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350,817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803,238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1,286,989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1,346,071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587,574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1,933,645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(338,640)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(424,453)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net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1,358,248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638,088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799,845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2,796,181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228,328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132,189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360,517</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real estate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1,358,248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866,416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932,034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3,156,698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Real Estate Available and Held for Sale—</w:t>
      </w:r>
      <w:r>
        <w:rPr>
          <w:rFonts w:ascii="Times New Roman" w:cs="Times New Roman" w:eastAsia="Times New Roman" w:hAnsi="Times New Roman"/>
          <w:sz w:val="18"/>
          <w:szCs w:val="18"/>
          <w:color w:val="auto"/>
        </w:rPr>
        <w:t>As of December 31, 2014 and 2013 the Company had $155.8 million and $221.0 million, respectively,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residential properties available for sale in its operating properties portfolio.</w:t>
      </w:r>
    </w:p>
    <w:p>
      <w:pPr>
        <w:spacing w:after="0" w:line="15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2014, the Company reclassified land with a carrying value of $6.5 million from held for sale to held for investment due to a change in the Company's strategy and its plan to re-entitle the property. The asset is included in "Real estate, net" on the Company's Consolidated Balance Sheets. There were no operations to reclassify on the Company's Consolidated Statements of Operations as a result of this change. During the same period, the Company reclassified units with a carrying value of $56.7 million to held for sale due to the conversion of hotel rooms to residential units to be sold. The Company also reclassified net lease assets with a carrying value of $4.0 million to held for sale due to executed contracts with third parties.</w:t>
      </w:r>
    </w:p>
    <w:p>
      <w:pPr>
        <w:spacing w:after="0" w:line="18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2013, the Company reclassified two land properties with a carrying value of $49.7 million from held for sale to held for investment due to changes in the Company's business plan for the properties. These assets are included in "Real estate, net" on the Company's Consolidated Balance Sheets. There were no operations to reclassify on the Company's Consolidated Statement of Operations as a result of this change. During the same period, the Company reclassified three land assets with a carrying value of $31.8 million and a net lease asset with a carrying value of $9.8 million to held for sale due to executed contracts with third parties. The net lease asset was disposed of for a gain of $3.6 million during the year ended December 31, 2013. The gain was recorded in "Gain from discontinued operations" on the Company's Consolidated Statements of Operations. The results of operations for the net lease assets that were reclassified are included in "Income (loss) from discontinued operations" on the Company's Consolidated Statements of Operations for all periods presented (see table in "Discontinued Operations" below). The three land properties were sold during the year ended December 31, 2013 for a gain of $0.6 million. These gains were recorded in "Income from sales of real estate" on the Company's Consolidated Statements of Operations.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8"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Acquisitions—</w:t>
      </w:r>
      <w:r>
        <w:rPr>
          <w:rFonts w:ascii="Times New Roman" w:cs="Times New Roman" w:eastAsia="Times New Roman" w:hAnsi="Times New Roman"/>
          <w:sz w:val="18"/>
          <w:szCs w:val="18"/>
          <w:color w:val="auto"/>
        </w:rPr>
        <w:t>The following acquisitions of real estate were reflected in the Company's Consolidated Statements of Cash Flows for the years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2013 and 2012 ($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66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2014(1)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2013(2)(3)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2012(4)</w:t>
            </w:r>
          </w:p>
        </w:tc>
      </w:tr>
      <w:tr>
        <w:trPr>
          <w:trHeight w:val="242"/>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 of real estate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102,364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9,750</w:t>
            </w:r>
          </w:p>
        </w:tc>
      </w:tr>
      <w:tr>
        <w:trPr>
          <w:trHeight w:val="27"/>
        </w:trPr>
        <w:tc>
          <w:tcPr>
            <w:tcW w:w="7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420" w:hanging="412"/>
        <w:spacing w:after="0"/>
        <w:tabs>
          <w:tab w:leader="none" w:pos="4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2014, the Company purchased two condominium units for $3.0 million and one land parcel for $1.7 million.</w:t>
      </w:r>
    </w:p>
    <w:p>
      <w:pPr>
        <w:spacing w:after="0" w:line="17" w:lineRule="exact"/>
        <w:rPr>
          <w:rFonts w:ascii="Times New Roman" w:cs="Times New Roman" w:eastAsia="Times New Roman" w:hAnsi="Times New Roman"/>
          <w:sz w:val="14"/>
          <w:szCs w:val="14"/>
          <w:color w:val="auto"/>
        </w:rPr>
      </w:pPr>
    </w:p>
    <w:p>
      <w:pPr>
        <w:jc w:val="both"/>
        <w:ind w:left="420" w:hanging="412"/>
        <w:spacing w:after="0" w:line="241" w:lineRule="auto"/>
        <w:tabs>
          <w:tab w:leader="none" w:pos="4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2013, the Company acquired a net lease asset for a purchase price of $93.6 million, including intangible assets of $36.1 million, intangible liabilities of $11.9 million and acquisition-related costs of $0.2 million, which was leased back to the seller. The Company concluded that the transaction was a real estate asset acquisition and capitalized the acquisition-related costs. The intangible assets were included in "Deferred expenses and other assets, net" and the intangible liabilities were included in "Accounts payable, accrued expenses and other liabilities" on the Company's Consolidated Balance Sheets. The lease was classified as an operating lease. During the year ended December 31, 2014, the net lease asset was sold to its Net Lease Venture for net proceeds of $93.7 million, which approximated carrying value.</w:t>
      </w:r>
    </w:p>
    <w:p>
      <w:pPr>
        <w:spacing w:after="0" w:line="2"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2013, the Company paid $8.8 million to redeem a noncontrolling member's interest.</w:t>
      </w:r>
    </w:p>
    <w:p>
      <w:pPr>
        <w:spacing w:after="0" w:line="1"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2012, the Company acquired approximately 900 parking spaces adjacent to an owned property for $9.8 million.</w:t>
      </w:r>
    </w:p>
    <w:p>
      <w:pPr>
        <w:spacing w:after="0" w:line="15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2014, the Company acquired, via deed-in-lieu, title to three commercial operating properties and a land asset, which had a total fair value of $77.9 million and previously served as collateral for loans receivable held by the Company. No gain or loss was recorded in connection with these transactions. The following unaudited table summarizes the Company's pro forma revenues and net income for the years ended December 31, 2014 and 2013, as if the acquisition of these properties acquired during the year ended December 31, 2014 was completed on January 1, 2013 ($ in thousands):</w:t>
      </w:r>
    </w:p>
    <w:p>
      <w:pPr>
        <w:spacing w:after="0" w:line="124"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spacing w:after="0" w:line="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total revenues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466,327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399,885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net income (loss)</w:t>
            </w:r>
          </w:p>
        </w:tc>
        <w:tc>
          <w:tcPr>
            <w:tcW w:w="10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(112,355)</w:t>
            </w:r>
          </w:p>
        </w:tc>
      </w:tr>
    </w:tbl>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From the date of acquisition in May 2014 through December 31, 2014, $8.3 million in total revenues and $2.9 million in net loss associated with the properties were included in the Company’s Consolidated Statements of Operations. The pro forma revenues and net income are presented for informational purposes only and may not be indicative of what the actual results of operations of the Company would have been assuming the transaction occurred on January 1, 2013, nor do they purport to represent the Company’s results of operations for future periods.</w:t>
      </w:r>
    </w:p>
    <w:p>
      <w:pPr>
        <w:spacing w:after="0" w:line="14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2013, the Company acquired, via foreclosure, title to a residential operating property and two land properties, each of which previously served as collateral for loans receivable held by the Company. The total fair value of the land properties was $15.6 million. The Company contributed the residential operating property, which had a fair value of $25.5 million, to an entity of which it owns 63%. Based on the control provisions in the partnership agreement, the Company consolidates the entity and reflects its partner's 37% share of equity in "Noncontrolling interests" on the Company's Consolidated Balance Sheets. The acquisition was accounted for at fair value. No gain or loss was recorded in connection with this transaction.</w:t>
      </w:r>
    </w:p>
    <w:p>
      <w:pPr>
        <w:spacing w:after="0" w:line="18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Dispositions—</w:t>
      </w:r>
      <w:r>
        <w:rPr>
          <w:rFonts w:ascii="Times New Roman" w:cs="Times New Roman" w:eastAsia="Times New Roman" w:hAnsi="Times New Roman"/>
          <w:sz w:val="18"/>
          <w:szCs w:val="18"/>
          <w:color w:val="auto"/>
        </w:rPr>
        <w:t>During the years ended December 31, 2014, 2013 and 2012, the Company sold residential condominiums for total net proceeds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$236.2 million, $269.7 million and $319.3 million, respectively, and recorded income from sales of real estate totaling $79.1 million, $82.6 million and $63.5 million, respectively. During the year ended December 31, 2014, the Company sold residential lots from three of our master planned community properties for proceeds of $15.2 million which had associated cost of sales of $12.8 million. During the same period, the Company also sold properties with a carrying value of $6.8 million for proceeds that approximated carrying value.</w:t>
      </w:r>
    </w:p>
    <w:p>
      <w:pPr>
        <w:spacing w:after="0" w:line="14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2014, the Company sold net lease assets with a carrying value of $8.0 million resulting in a net gain of $5.7 million. The Company also sold a commercial operating property with a carrying value of $29.4 million resulting in a gain of $4.6 million. These gains were recorded as "Income from sales of real estate" in the Company's Consolidated Statements of Operations. Additionally, during the same period, the Company sold a net lease asset for net proceeds of $7.8 million. The Company recorded an impairment loss of $3.0 million in connection with the sale.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8"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2014, the Company sold its 72% interest in a previously consolidated entity, which owned a net lease asset subject to a non-recourse mortgage of $26.0 million at the time of sale, to its Net Lease Venture for net proceeds of $10.1 million that approximated carrying value. During the same period, the Company contributed land with a carrying value of $9.5 million to a newly formed unconsolidated entity. See Note 6.</w:t>
      </w:r>
    </w:p>
    <w:p>
      <w:pPr>
        <w:spacing w:after="0" w:line="13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2013, the Company sold land for net proceeds of $21.4 million to a newly formed unconsolidated entity in which the Company also received a preferred partnership interest and a 47.5% equity interest. The Company recognized a gain of $3.4 million, reflecting the proportionate share of the sold interest, which was recorded as "Income from sales of real estate" in the Company's Consolidated Statements of Operations. The Company also sold land with a carrying value of $18.9 million for proceeds that approximated carrying value.</w:t>
      </w:r>
    </w:p>
    <w:p>
      <w:pPr>
        <w:spacing w:after="0" w:line="14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2013, the Company contributed land with carrying value of $24.1 million to a newly formed unconsolidated entity in which the Company received an equity interest of 75.6%. As a result of the transfer, the Company recognized a $7.4 million loss, which was recorded as "Loss on transfer of interest to unconsolidated subsidiary" on the Company's Consolidated Statements of Operations. In addition, during the year ended December 31, 2013, the Company contributed land with a carrying value of $2.8 million to a newly formed unconsolidated entity in which the Company also received a 50.0% equity interest. No gain or loss was recorded in conjunction with the transaction.</w:t>
      </w:r>
    </w:p>
    <w:p>
      <w:pPr>
        <w:spacing w:after="0" w:line="14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Additionally, during the year ended December 31, 2013, the Company sold five net lease assets with a carrying value of $18.7 million resulting in a net gain of $2.2 million. During the same period, the Company sold six commercial operating properties with a carrying value of $72.6 million resulting in a net gain of $18.6 million. These gains were recorded as "Gain from discontinued operations" in the Company's Consolidated Statements of Operations. The Company also sold other land assets with a carrying value of $14.8 million resulting in a gain of $0.6 million. During the year ended December 31, 2013, the Company transferred title of net lease assets with a carrying value of $8.7 million to its tenant for consideration that approximated our carrying value.</w:t>
      </w:r>
    </w:p>
    <w:p>
      <w:pPr>
        <w:spacing w:after="0" w:line="139"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Discontinued Operations—</w:t>
      </w:r>
      <w:r>
        <w:rPr>
          <w:rFonts w:ascii="Times New Roman" w:cs="Times New Roman" w:eastAsia="Times New Roman" w:hAnsi="Times New Roman"/>
          <w:sz w:val="18"/>
          <w:szCs w:val="18"/>
          <w:color w:val="auto"/>
        </w:rPr>
        <w:t>The Company has elected to early adopt ASU 2014-08 beginning with disposals and classifications of assets as held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that occurred after December 31, 2013. During the year ended December 31, 2014, there were no disposals or assets classified as held for sale which were individually significant or represented a strategic shift that has (or will have) a major effect on the Company's operations and financial results.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income (loss) from discontinued operations for the years ended December 31, 2013 and 2012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364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0" w:type="dxa"/>
            <w:vAlign w:val="bottom"/>
            <w:tcBorders>
              <w:bottom w:val="single" w:sz="8" w:color="auto"/>
            </w:tcBorders>
          </w:tcPr>
          <w:p>
            <w:pPr>
              <w:spacing w:after="0"/>
              <w:rPr>
                <w:sz w:val="22"/>
                <w:szCs w:val="22"/>
                <w:color w:val="auto"/>
              </w:rPr>
            </w:pPr>
          </w:p>
        </w:tc>
      </w:tr>
      <w:tr>
        <w:trPr>
          <w:trHeight w:val="249"/>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420" w:type="dxa"/>
            <w:vAlign w:val="bottom"/>
            <w:tcBorders>
              <w:bottom w:val="single" w:sz="8" w:color="CCEEFF"/>
            </w:tcBorders>
            <w:shd w:val="clear" w:color="auto" w:fill="CCEEFF"/>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14,132</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1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w:t>
            </w:r>
          </w:p>
        </w:tc>
      </w:tr>
      <w:tr>
        <w:trPr>
          <w:trHeight w:val="27"/>
        </w:trPr>
        <w:tc>
          <w:tcPr>
            <w:tcW w:w="6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of assets</w:t>
            </w:r>
          </w:p>
        </w:tc>
        <w:tc>
          <w:tcPr>
            <w:tcW w:w="1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(22,576)</w:t>
            </w:r>
          </w:p>
        </w:tc>
      </w:tr>
      <w:tr>
        <w:trPr>
          <w:trHeight w:val="25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420" w:type="dxa"/>
            <w:vAlign w:val="bottom"/>
            <w:tcBorders>
              <w:top w:val="single" w:sz="8" w:color="auto"/>
              <w:bottom w:val="single" w:sz="8" w:color="auto"/>
            </w:tcBorders>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1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(17,481)</w:t>
            </w:r>
          </w:p>
        </w:tc>
      </w:tr>
      <w:tr>
        <w:trPr>
          <w:trHeight w:val="20"/>
        </w:trPr>
        <w:tc>
          <w:tcPr>
            <w:tcW w:w="69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b w:val="1"/>
          <w:bCs w:val="1"/>
          <w:color w:val="auto"/>
        </w:rPr>
        <w:t>Impairments—</w:t>
      </w:r>
      <w:r>
        <w:rPr>
          <w:rFonts w:ascii="Times New Roman" w:cs="Times New Roman" w:eastAsia="Times New Roman" w:hAnsi="Times New Roman"/>
          <w:sz w:val="18"/>
          <w:szCs w:val="18"/>
          <w:color w:val="auto"/>
        </w:rPr>
        <w:t>During the year ended December 31, 2014, the Company recorded impairments on real estate assets totaling $34.6 million,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$15.6 million resulted from changes in business strategies for a residential property and a land asset, $15.4 million resulted from continued unfavorable local market conditions for two real estate properties and $3.6 million resulted from the sale of net lease assets. During the years ended December 31, 2013 and 2012, the Company recorded impairments on real estate assets totaling $14.4 million and $35.4 million, respectively, resulting from changes in local market conditions and business strategy for certain assets. Of these amounts, $1.8 million and $22.6 million for the years ended December 31, 2013 and 2012, respectively, have been recorded in "Income (loss) from discontinued operations" on the Company's Consolidated Statements of Operations due to the assets being sold or classified as held for sale as of December 31, 2013 (see above).</w:t>
      </w:r>
    </w:p>
    <w:p>
      <w:pPr>
        <w:spacing w:after="0" w:line="183" w:lineRule="exact"/>
        <w:rPr>
          <w:sz w:val="20"/>
          <w:szCs w:val="20"/>
          <w:color w:val="auto"/>
        </w:rPr>
      </w:pPr>
    </w:p>
    <w:p>
      <w:pPr>
        <w:jc w:val="both"/>
        <w:ind w:firstLine="405"/>
        <w:spacing w:after="0" w:line="265" w:lineRule="auto"/>
        <w:rPr>
          <w:sz w:val="20"/>
          <w:szCs w:val="20"/>
          <w:color w:val="auto"/>
        </w:rPr>
      </w:pPr>
      <w:r>
        <w:rPr>
          <w:rFonts w:ascii="Times New Roman" w:cs="Times New Roman" w:eastAsia="Times New Roman" w:hAnsi="Times New Roman"/>
          <w:sz w:val="18"/>
          <w:szCs w:val="18"/>
          <w:b w:val="1"/>
          <w:bCs w:val="1"/>
          <w:color w:val="auto"/>
        </w:rPr>
        <w:t>Tenant Reimbursements—</w:t>
      </w:r>
      <w:r>
        <w:rPr>
          <w:rFonts w:ascii="Times New Roman" w:cs="Times New Roman" w:eastAsia="Times New Roman" w:hAnsi="Times New Roman"/>
          <w:sz w:val="18"/>
          <w:szCs w:val="18"/>
          <w:color w:val="auto"/>
        </w:rPr>
        <w:t>The Company receives reimbursements from tenants for certain facility operating expenses including common area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utilities and real estate taxes. Tenant expense reimbursements were $30.0 million, $31.8 million and $30.9 million for the years ended December 31, 2014, 2013 and 2012, respectively. These amounts are included in "Operating lease income" on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8"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Future Minimum Operating Lease Payments—</w:t>
      </w:r>
      <w:r>
        <w:rPr>
          <w:rFonts w:ascii="Times New Roman" w:cs="Times New Roman" w:eastAsia="Times New Roman" w:hAnsi="Times New Roman"/>
          <w:sz w:val="18"/>
          <w:szCs w:val="18"/>
          <w:color w:val="auto"/>
        </w:rPr>
        <w:t>Future minimum operating lease payments under non-cancelable leases, excluding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reimbursements of expenses, in effect at December 31, 2014, are as follows ($ in thousands):</w:t>
      </w:r>
    </w:p>
    <w:p>
      <w:pPr>
        <w:spacing w:after="0" w:line="166" w:lineRule="exact"/>
        <w:rPr>
          <w:sz w:val="20"/>
          <w:szCs w:val="20"/>
          <w:color w:val="auto"/>
        </w:rPr>
      </w:pPr>
    </w:p>
    <w:tbl>
      <w:tblPr>
        <w:tblLayout w:type="fixed"/>
        <w:tblInd w:w="2720" w:type="dxa"/>
        <w:tblCellMar>
          <w:top w:w="0" w:type="dxa"/>
          <w:left w:w="0" w:type="dxa"/>
          <w:bottom w:w="0" w:type="dxa"/>
          <w:right w:w="0" w:type="dxa"/>
        </w:tblCellMar>
      </w:tblPr>
      <w:tr>
        <w:trPr>
          <w:trHeight w:val="195"/>
        </w:trPr>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Lease Assets</w:t>
            </w:r>
          </w:p>
        </w:tc>
        <w:tc>
          <w:tcPr>
            <w:tcW w:w="180" w:type="dxa"/>
            <w:vAlign w:val="bottom"/>
          </w:tcPr>
          <w:p>
            <w:pPr>
              <w:spacing w:after="0"/>
              <w:rPr>
                <w:sz w:val="16"/>
                <w:szCs w:val="16"/>
                <w:color w:val="auto"/>
              </w:rPr>
            </w:pPr>
          </w:p>
        </w:tc>
        <w:tc>
          <w:tcPr>
            <w:tcW w:w="16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Operating Properties</w:t>
            </w:r>
          </w:p>
        </w:tc>
      </w:tr>
      <w:tr>
        <w:trPr>
          <w:trHeight w:val="249"/>
        </w:trPr>
        <w:tc>
          <w:tcPr>
            <w:tcW w:w="22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52,823</w:t>
            </w: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51,437</w:t>
            </w:r>
          </w:p>
        </w:tc>
      </w:tr>
      <w:tr>
        <w:trPr>
          <w:trHeight w:val="27"/>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49,592</w:t>
            </w: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44,288</w:t>
            </w:r>
          </w:p>
        </w:tc>
      </w:tr>
      <w:tr>
        <w:trPr>
          <w:trHeight w:val="27"/>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38,707</w:t>
            </w:r>
          </w:p>
        </w:tc>
      </w:tr>
      <w:tr>
        <w:trPr>
          <w:trHeight w:val="27"/>
        </w:trPr>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5—Loans Receivable and Other Lending Investments,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the Company's loans receivable and other lending investments by class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mortgages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737,535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1,071,662</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Subordinate mortgages</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53,331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60,679</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497,796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473,045</w:t>
            </w: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gross carrying value of loans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1,288,662</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1,605,386</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Reserves for loan losses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(98,490)</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(377,204)</w:t>
            </w: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1,190,172</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1,228,182</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lending investments—securities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187,671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141,927</w:t>
            </w:r>
          </w:p>
        </w:tc>
      </w:tr>
      <w:tr>
        <w:trPr>
          <w:trHeight w:val="257"/>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 receivable and other lending investments, net(1)</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1,377,843</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1,370,109</w:t>
            </w:r>
          </w:p>
        </w:tc>
      </w:tr>
      <w:tr>
        <w:trPr>
          <w:trHeight w:val="20"/>
        </w:trPr>
        <w:tc>
          <w:tcPr>
            <w:tcW w:w="7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660" w:right="20" w:hanging="652"/>
        <w:spacing w:after="0" w:line="282" w:lineRule="auto"/>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recorded investment in loans as of December 31, 2014 and 2013 also includes accrued interest of $7.0 million and $6.5 million, respectively, which are included in "Accrued interest and operating lease income receivable, net" on the Company's Consolidated Balance Sheets.</w:t>
      </w:r>
    </w:p>
    <w:p>
      <w:pPr>
        <w:spacing w:after="0" w:line="11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2014, 2013 and 2012, the Company sold loans with total carrying values of $30.8 million, $95.1 million and $53.9 million, respectively, which resulted in a realized gain of $19.1 million, a net realized loss of $0.6 million and a net gain of $6.4 million, respectively. Gains and losses on sales of loans are included in "Other income" on the Company's Consolidated Statements of Operations.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Reserve for Loan Losses</w:t>
      </w:r>
      <w:r>
        <w:rPr>
          <w:rFonts w:ascii="Times New Roman" w:cs="Times New Roman" w:eastAsia="Times New Roman" w:hAnsi="Times New Roman"/>
          <w:sz w:val="18"/>
          <w:szCs w:val="18"/>
          <w:color w:val="auto"/>
        </w:rPr>
        <w:t>—Changes in the Company's reserve for loan losses were as follows ($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Reserve for loan losses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377,204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524,499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646,624</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(recovery of) loan losses(1)</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81,740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(152,784)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(203,865)</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Reserve for loan losses at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98,490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377,204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524,499</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ind w:left="660" w:right="20" w:hanging="652"/>
        <w:spacing w:after="0" w:line="282" w:lineRule="auto"/>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2014, 2013 and 2012, the provision for loan losses includes recoveries of previously recorded loan loss reserves of $10.1 million, $63.1 million and $4.6 million, respectively.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8"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Company's recorded investment in loans (comprised of a loan's carrying value plus accrued interest) and the associated reserve for loan losses were as follows ($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Individually</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Collectively</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Loans Acquired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with Deteriorated</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Impairment(1)</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Impairment(2)</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Credit Quality(3)</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2014</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139,672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1,156,031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1,295,703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Reserve for loan losses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(98,490)</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74,682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1,122,531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1,197,213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2013</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752,425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849,613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9,889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1,611,927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Reserve for loan losses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(377,204)</w:t>
            </w: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404,421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820,413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9,889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1,234,723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jc w:val="both"/>
        <w:ind w:left="420" w:hanging="412"/>
        <w:spacing w:after="0" w:line="249" w:lineRule="auto"/>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of these loans include unamortized discounts, premiums, deferred fees and costs aggregating to a net discount of $0.2 million and a net premium of $0.5 million as of December 31, 2014 and 2013, respectively. The Company's loans individually evaluated for impairment primarily represent loans on non-accrual status and therefore, the unamortized amounts associated with these loans are not currently being amortized into income.</w:t>
      </w:r>
    </w:p>
    <w:p>
      <w:pPr>
        <w:spacing w:after="0" w:line="1" w:lineRule="exact"/>
        <w:rPr>
          <w:rFonts w:ascii="Times New Roman" w:cs="Times New Roman" w:eastAsia="Times New Roman" w:hAnsi="Times New Roman"/>
          <w:sz w:val="14"/>
          <w:szCs w:val="14"/>
          <w:color w:val="auto"/>
        </w:rPr>
      </w:pPr>
    </w:p>
    <w:p>
      <w:pPr>
        <w:ind w:left="420" w:hanging="412"/>
        <w:spacing w:after="0" w:line="241" w:lineRule="auto"/>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of these loans include unamortized discounts, premiums, deferred fees and costs aggregating to a net discount of $10.6 million and $4.6 million as of December 31, 2014 and 2013, respectively.</w:t>
      </w:r>
    </w:p>
    <w:p>
      <w:pPr>
        <w:ind w:left="420" w:hanging="412"/>
        <w:spacing w:after="0" w:line="258" w:lineRule="auto"/>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of the loan includes unamortized discounts, premiums, deferred fees and costs aggregating to a net premium of $0.4 million as of December 31, 2013. The loan had a cumulative principal balance of $10.2 million as of December 31, 2013. The loan was repaid during the year ended December 31, 2014.</w:t>
      </w:r>
    </w:p>
    <w:p>
      <w:pPr>
        <w:spacing w:after="0" w:line="178"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Credit Characteristics</w:t>
      </w:r>
      <w:r>
        <w:rPr>
          <w:rFonts w:ascii="Times New Roman" w:cs="Times New Roman" w:eastAsia="Times New Roman" w:hAnsi="Times New Roman"/>
          <w:sz w:val="18"/>
          <w:szCs w:val="18"/>
          <w:color w:val="auto"/>
        </w:rPr>
        <w:t>—As part of the Company's process for monitoring the credit quality of its loans, it performs a quarterly loan portfolio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assessment and assigns risk ratings to each of its performing loans. Risk ratings are based on judgments which are inherently uncertain and there can be no assurance that actual performance will be similar to current expectation.</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recorded investment in performing loans, presented by class and by credit quality, as indicated by risk rating, was as follows ($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120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Performing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Performing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Risk Ratings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Risk Ratings</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mortgages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611,009</w:t>
            </w:r>
          </w:p>
        </w:tc>
        <w:tc>
          <w:tcPr>
            <w:tcW w:w="15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591,145</w:t>
            </w:r>
          </w:p>
        </w:tc>
        <w:tc>
          <w:tcPr>
            <w:tcW w:w="15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Subordinate mortgages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53,836</w:t>
            </w:r>
          </w:p>
        </w:tc>
        <w:tc>
          <w:tcPr>
            <w:tcW w:w="15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61,364</w:t>
            </w:r>
          </w:p>
        </w:tc>
        <w:tc>
          <w:tcPr>
            <w:tcW w:w="15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501,620</w:t>
            </w:r>
          </w:p>
        </w:tc>
        <w:tc>
          <w:tcPr>
            <w:tcW w:w="15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438,831</w:t>
            </w:r>
          </w:p>
        </w:tc>
        <w:tc>
          <w:tcPr>
            <w:tcW w:w="15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57"/>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1,166,465</w:t>
            </w:r>
          </w:p>
        </w:tc>
        <w:tc>
          <w:tcPr>
            <w:tcW w:w="120" w:type="dxa"/>
            <w:vAlign w:val="bottom"/>
            <w:tcBorders>
              <w:top w:val="single" w:sz="8" w:color="auto"/>
              <w:bottom w:val="single" w:sz="8" w:color="auto"/>
            </w:tcBorders>
          </w:tcPr>
          <w:p>
            <w:pPr>
              <w:spacing w:after="0"/>
              <w:rPr>
                <w:sz w:val="22"/>
                <w:szCs w:val="22"/>
                <w:color w:val="auto"/>
              </w:rPr>
            </w:pPr>
          </w:p>
        </w:tc>
        <w:tc>
          <w:tcPr>
            <w:tcW w:w="1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1,091,340</w:t>
            </w:r>
          </w:p>
        </w:tc>
        <w:tc>
          <w:tcPr>
            <w:tcW w:w="100" w:type="dxa"/>
            <w:vAlign w:val="bottom"/>
            <w:tcBorders>
              <w:top w:val="single" w:sz="8" w:color="auto"/>
              <w:bottom w:val="single" w:sz="8" w:color="auto"/>
            </w:tcBorders>
          </w:tcPr>
          <w:p>
            <w:pPr>
              <w:spacing w:after="0"/>
              <w:rPr>
                <w:sz w:val="22"/>
                <w:szCs w:val="22"/>
                <w:color w:val="auto"/>
              </w:rPr>
            </w:pPr>
          </w:p>
        </w:tc>
        <w:tc>
          <w:tcPr>
            <w:tcW w:w="1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the Company's recorded investment in loans, aged by payment status and presented by class, were as follows ($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Greater</w:t>
            </w:r>
          </w:p>
        </w:tc>
        <w:tc>
          <w:tcPr>
            <w:tcW w:w="260" w:type="dxa"/>
            <w:vAlign w:val="bottom"/>
          </w:tcPr>
          <w:p>
            <w:pPr>
              <w:spacing w:after="0"/>
              <w:rPr>
                <w:sz w:val="13"/>
                <w:szCs w:val="13"/>
                <w:color w:val="auto"/>
              </w:rPr>
            </w:pPr>
          </w:p>
        </w:tc>
        <w:tc>
          <w:tcPr>
            <w:tcW w:w="12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vMerge w:val="restart"/>
          </w:tcPr>
          <w:p>
            <w:pPr>
              <w:spacing w:after="0"/>
              <w:rPr>
                <w:sz w:val="12"/>
                <w:szCs w:val="12"/>
                <w:color w:val="auto"/>
              </w:rPr>
            </w:pPr>
          </w:p>
        </w:tc>
        <w:tc>
          <w:tcPr>
            <w:tcW w:w="10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and Equal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to 90 Days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90 Days(1)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mortgages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644,190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96,057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96,057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740,247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Subordinate mortgages</w:t>
            </w:r>
          </w:p>
        </w:tc>
        <w:tc>
          <w:tcPr>
            <w:tcW w:w="3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53,836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53,836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501,620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501,620</w:t>
            </w:r>
          </w:p>
        </w:tc>
        <w:tc>
          <w:tcPr>
            <w:tcW w:w="0" w:type="dxa"/>
            <w:vAlign w:val="bottom"/>
          </w:tcPr>
          <w:p>
            <w:pPr>
              <w:spacing w:after="0"/>
              <w:rPr>
                <w:sz w:val="1"/>
                <w:szCs w:val="1"/>
                <w:color w:val="auto"/>
              </w:rPr>
            </w:pPr>
          </w:p>
        </w:tc>
      </w:tr>
      <w:tr>
        <w:trPr>
          <w:trHeight w:val="257"/>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1,199,646</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96,057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96,057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1,295,703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420" w:hanging="412"/>
        <w:spacing w:after="0" w:line="282" w:lineRule="auto"/>
        <w:tabs>
          <w:tab w:leader="none" w:pos="4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2014, the Company had three loans which were greater than 90 days delinquent and were in various stages of resolution, including legal proceedings, environmental concerns and foreclosure-related proceedings, and ranged from 5.0 to 6.0 years outstanding.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Impaired Loans</w:t>
      </w:r>
      <w:r>
        <w:rPr>
          <w:rFonts w:ascii="Times New Roman" w:cs="Times New Roman" w:eastAsia="Times New Roman" w:hAnsi="Times New Roman"/>
          <w:sz w:val="18"/>
          <w:szCs w:val="18"/>
          <w:color w:val="auto"/>
        </w:rPr>
        <w:t>—The Company's recorded investment in impaired loans, presented by class, were as follows ($ in thousands)(1):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Unpaid</w:t>
            </w:r>
          </w:p>
        </w:tc>
        <w:tc>
          <w:tcPr>
            <w:tcW w:w="18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200" w:type="dxa"/>
            <w:vAlign w:val="bottom"/>
          </w:tcPr>
          <w:p>
            <w:pPr>
              <w:spacing w:after="0"/>
              <w:rPr>
                <w:sz w:val="12"/>
                <w:szCs w:val="12"/>
                <w:color w:val="auto"/>
              </w:rPr>
            </w:pPr>
          </w:p>
        </w:tc>
        <w:tc>
          <w:tcPr>
            <w:tcW w:w="100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Unpaid</w:t>
            </w:r>
          </w:p>
        </w:tc>
        <w:tc>
          <w:tcPr>
            <w:tcW w:w="220" w:type="dxa"/>
            <w:vAlign w:val="bottom"/>
          </w:tcPr>
          <w:p>
            <w:pPr>
              <w:spacing w:after="0"/>
              <w:rPr>
                <w:sz w:val="12"/>
                <w:szCs w:val="12"/>
                <w:color w:val="auto"/>
              </w:rPr>
            </w:pPr>
          </w:p>
        </w:tc>
        <w:tc>
          <w:tcPr>
            <w:tcW w:w="10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00" w:type="dxa"/>
            <w:vAlign w:val="bottom"/>
          </w:tcPr>
          <w:p>
            <w:pPr>
              <w:spacing w:after="0"/>
              <w:rPr>
                <w:sz w:val="16"/>
                <w:szCs w:val="16"/>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6"/>
                <w:szCs w:val="16"/>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0" w:type="dxa"/>
            <w:vAlign w:val="bottom"/>
          </w:tcPr>
          <w:p>
            <w:pPr>
              <w:spacing w:after="0"/>
              <w:rPr>
                <w:sz w:val="1"/>
                <w:szCs w:val="1"/>
                <w:color w:val="auto"/>
              </w:rPr>
            </w:pPr>
          </w:p>
        </w:tc>
      </w:tr>
      <w:tr>
        <w:trPr>
          <w:trHeight w:val="249"/>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With no related allowance recorded:</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mortgages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With an allowance recorded:</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mortgages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129,744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645,463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9,057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99,067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(43,460)</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139,672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138,801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(64,990)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749,413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744,530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(348,004)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mortgages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129,744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653,349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648,455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9,057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99,067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(43,460)</w:t>
            </w:r>
          </w:p>
        </w:tc>
        <w:tc>
          <w:tcPr>
            <w:tcW w:w="0" w:type="dxa"/>
            <w:vAlign w:val="bottom"/>
          </w:tcPr>
          <w:p>
            <w:pPr>
              <w:spacing w:after="0"/>
              <w:rPr>
                <w:sz w:val="1"/>
                <w:szCs w:val="1"/>
                <w:color w:val="auto"/>
              </w:rPr>
            </w:pPr>
          </w:p>
        </w:tc>
      </w:tr>
      <w:tr>
        <w:trPr>
          <w:trHeight w:val="257"/>
        </w:trPr>
        <w:tc>
          <w:tcPr>
            <w:tcW w:w="3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139,672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138,801</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(64,990)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752,425</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747,522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(348,004)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jc w:val="both"/>
        <w:ind w:left="420" w:hanging="412"/>
        <w:spacing w:after="0" w:line="261" w:lineRule="auto"/>
        <w:tabs>
          <w:tab w:leader="none" w:pos="4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Company's non-accrual loans are considered impaired and included in the table above. In addition, as of December 31, 2014 and 2013, certain loans modified through troubled debt restructurings with a recorded investment of $10.4 million and $231.8 million, respectively, are also included as impaired loans in accordance with GAAP although they are performing and on accrual status.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8"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average recorded investment in impaired loans and interest income recognized, presented by class, were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2013</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2012</w:t>
            </w:r>
          </w:p>
        </w:tc>
        <w:tc>
          <w:tcPr>
            <w:tcW w:w="880" w:type="dxa"/>
            <w:vAlign w:val="bottom"/>
            <w:tcBorders>
              <w:bottom w:val="single" w:sz="8" w:color="auto"/>
            </w:tcBorders>
          </w:tcPr>
          <w:p>
            <w:pPr>
              <w:spacing w:after="0"/>
              <w:rPr>
                <w:sz w:val="22"/>
                <w:szCs w:val="22"/>
                <w:color w:val="auto"/>
              </w:rPr>
            </w:pPr>
          </w:p>
        </w:tc>
      </w:tr>
      <w:tr>
        <w:trPr>
          <w:trHeight w:val="149"/>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8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r>
      <w:tr>
        <w:trPr>
          <w:trHeight w:val="149"/>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4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r>
      <w:tr>
        <w:trPr>
          <w:trHeight w:val="195"/>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6"/>
                <w:szCs w:val="16"/>
                <w:color w:val="auto"/>
              </w:rPr>
            </w:pP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Recognized</w:t>
            </w:r>
          </w:p>
        </w:tc>
      </w:tr>
      <w:tr>
        <w:trPr>
          <w:trHeight w:val="24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With no related allowance recorded:</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mortgages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35,659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31,409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9,269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162,093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2,765</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8,062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10,110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160</w:t>
            </w:r>
          </w:p>
        </w:tc>
      </w:tr>
      <w:tr>
        <w:trPr>
          <w:trHeight w:val="237"/>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35,659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39,471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15,319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172,203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2,925</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With an allowance recorded: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mortgages</w:t>
            </w:r>
          </w:p>
        </w:tc>
        <w:tc>
          <w:tcPr>
            <w:tcW w:w="18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334,351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794,247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1,064,045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3,865</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 mortgages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32,382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52,208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18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52,963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77,661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62,248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312</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387,314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904,290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1,178,501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4,177</w:t>
            </w: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mortgages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370,010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825,656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1,226,138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6,630</w:t>
            </w: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 mortgages</w:t>
            </w:r>
          </w:p>
        </w:tc>
        <w:tc>
          <w:tcPr>
            <w:tcW w:w="180" w:type="dxa"/>
            <w:vAlign w:val="bottom"/>
          </w:tcPr>
          <w:p>
            <w:pPr>
              <w:spacing w:after="0"/>
              <w:rPr>
                <w:sz w:val="21"/>
                <w:szCs w:val="21"/>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32,382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52,208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52,963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85,723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6,373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72,358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472</w:t>
            </w:r>
          </w:p>
        </w:tc>
      </w:tr>
      <w:tr>
        <w:trPr>
          <w:trHeight w:val="257"/>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422,973</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2,261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943,761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17,618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1,350,704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7,102</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There was no interest income related to the resolution of non-performing loans recorded during the years ended December 31, 2014 and 2012. During the year ended December 31, 2013, the Company recorded interest income of $13.3 million related to the resolution of non-performing loans. Interest income was not previously recorded while the loans were on non-accrual status.</w:t>
      </w:r>
    </w:p>
    <w:p>
      <w:pPr>
        <w:spacing w:after="0" w:line="172"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Troubled Debt Restructurings</w:t>
      </w:r>
      <w:r>
        <w:rPr>
          <w:rFonts w:ascii="Times New Roman" w:cs="Times New Roman" w:eastAsia="Times New Roman" w:hAnsi="Times New Roman"/>
          <w:sz w:val="18"/>
          <w:szCs w:val="18"/>
          <w:color w:val="auto"/>
        </w:rPr>
        <w:t>—During the years ended December 31, 2014 and 2013, the Company modified loans that were determined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troubled debt restructurings. The recorded investment in these loans was impacted by the modifications as follows, presented by class ($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40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2014</w:t>
            </w:r>
          </w:p>
        </w:tc>
        <w:tc>
          <w:tcPr>
            <w:tcW w:w="100" w:type="dxa"/>
            <w:vAlign w:val="bottom"/>
          </w:tcPr>
          <w:p>
            <w:pPr>
              <w:spacing w:after="0"/>
              <w:rPr>
                <w:sz w:val="16"/>
                <w:szCs w:val="16"/>
                <w:color w:val="auto"/>
              </w:rPr>
            </w:pPr>
          </w:p>
        </w:tc>
        <w:tc>
          <w:tcPr>
            <w:tcW w:w="39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2013</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Pre-Modification</w:t>
            </w:r>
          </w:p>
        </w:tc>
        <w:tc>
          <w:tcPr>
            <w:tcW w:w="13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Post-Modification</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Pre-Modification</w:t>
            </w:r>
          </w:p>
        </w:tc>
        <w:tc>
          <w:tcPr>
            <w:tcW w:w="12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Post-Modification</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9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of Loans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of Loans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262"/>
        </w:trPr>
        <w:tc>
          <w:tcPr>
            <w:tcW w:w="4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mortgages</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179,030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154,278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2014, the Company restructured one non-performing loan with a recorded investment of $7.0 million to grant a maturity extension of one year and included conditional extension options.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2013, the Company restructured six loans that were considered troubled debt restructurings. The Company restructured two performing loans with a combined recorded investment of $4.6 million to grant maturity extensions of one year each. Non-performing loans with a combined investment of $174.5 million were also modified during the year ended December 31, 2013. Included in this balance were two loans with a combined recorded investment of $98.3 million in which the Company received $15.4 million of paydowns and accepted discounted payoff options on these loans. At the time of the restructuring, the Company reclassified the loans from non-performing to performing status as the Company believed the borrowers would perform under the modified terms of the agreements. The loans were repaid in January 2014 and July 2014 at the discounted payoff amount.</w:t>
      </w:r>
    </w:p>
    <w:p>
      <w:pPr>
        <w:spacing w:after="0" w:line="14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Generally when granting concessions, the Company will seek to protect its position by requiring incremental pay downs, additional collateral or guarantees and in some cases lookback features or equity kickers to offset concessions granted should conditions impacting the loan improve. The Company's determination of credit losses is impacted by troubled debt restructurings whereby loans that have gone through troubled debt restructurings are considered impaired, assessed for specific reserves, and are not included in the Company's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8"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assessment of general loan loss reserves. Loans previously restructured under troubled debt restructurings that subsequently default are reassessed to incorporate the Company's current assumptions on expected cash flows and additional provision expense is recorded to the extent necessary. As of December 31, 2014, there were no unfunded commitments associated with modified loans considered troubled debt restructurings.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—Other lending investments—securities includes the following ($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2014</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176,254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186,504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190,199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186,504</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177,274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187,524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191,366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187,671</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2013</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139,842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140,890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140,890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140,890</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140,897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141,945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141,927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141,927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2014, the contractual maturities of the Company's securities were as follows ($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1500" w:type="dxa"/>
        <w:tblCellMar>
          <w:top w:w="0" w:type="dxa"/>
          <w:left w:w="0" w:type="dxa"/>
          <w:bottom w:w="0" w:type="dxa"/>
          <w:right w:w="0" w:type="dxa"/>
        </w:tblCellMar>
      </w:tblPr>
      <w:tr>
        <w:trPr>
          <w:trHeight w:val="195"/>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Held-to-Maturity Securities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r>
      <w:tr>
        <w:trPr>
          <w:trHeight w:val="149"/>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1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20" w:type="dxa"/>
            <w:vAlign w:val="bottom"/>
          </w:tcPr>
          <w:p>
            <w:pPr>
              <w:spacing w:after="0"/>
              <w:rPr>
                <w:sz w:val="12"/>
                <w:szCs w:val="12"/>
                <w:color w:val="auto"/>
              </w:rPr>
            </w:pPr>
          </w:p>
        </w:tc>
        <w:tc>
          <w:tcPr>
            <w:tcW w:w="12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114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Estimated Fair</w:t>
            </w:r>
          </w:p>
        </w:tc>
      </w:tr>
      <w:tr>
        <w:trPr>
          <w:trHeight w:val="195"/>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40" w:type="dxa"/>
            <w:vAlign w:val="bottom"/>
          </w:tcPr>
          <w:p>
            <w:pPr>
              <w:spacing w:after="0"/>
              <w:rPr>
                <w:sz w:val="16"/>
                <w:szCs w:val="16"/>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40" w:type="dxa"/>
            <w:vAlign w:val="bottom"/>
          </w:tcPr>
          <w:p>
            <w:pPr>
              <w:spacing w:after="0"/>
              <w:rPr>
                <w:sz w:val="16"/>
                <w:szCs w:val="16"/>
                <w:color w:val="auto"/>
              </w:rPr>
            </w:pPr>
          </w:p>
        </w:tc>
        <w:tc>
          <w:tcPr>
            <w:tcW w:w="11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49"/>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Maturities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Within one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 one year through 5 years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186,504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1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 10 years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57"/>
        </w:trPr>
        <w:tc>
          <w:tcPr>
            <w:tcW w:w="3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186,504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190,199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70"/>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6—Other Investments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other investments and its proportionate share of results from equity method investments were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 Earnings</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50"/>
        </w:trPr>
        <w:tc>
          <w:tcPr>
            <w:tcW w:w="50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20" w:type="dxa"/>
            <w:vAlign w:val="bottom"/>
            <w:tcBorders>
              <w:bottom w:val="single" w:sz="8" w:color="auto"/>
            </w:tcBorders>
          </w:tcPr>
          <w:p>
            <w:pPr>
              <w:spacing w:after="0"/>
              <w:rPr>
                <w:sz w:val="21"/>
                <w:szCs w:val="2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2012</w:t>
            </w: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equity investments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244,886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62,205</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53,428</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21,636</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Madison Funds</w:t>
            </w:r>
          </w:p>
        </w:tc>
        <w:tc>
          <w:tcPr>
            <w:tcW w:w="3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45,971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67,782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14,796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10,246</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equity method investments(1)(2)</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30,415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35,172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4,614</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Oak Hill Funds</w:t>
            </w:r>
          </w:p>
        </w:tc>
        <w:tc>
          <w:tcPr>
            <w:tcW w:w="3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17,658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5,844</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LNR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16,465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60,669</w:t>
            </w:r>
          </w:p>
        </w:tc>
      </w:tr>
      <w:tr>
        <w:trPr>
          <w:trHeight w:val="297"/>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30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jc w:val="right"/>
              <w:ind w:right="35"/>
              <w:spacing w:after="0"/>
              <w:rPr>
                <w:sz w:val="20"/>
                <w:szCs w:val="20"/>
                <w:color w:val="auto"/>
              </w:rPr>
            </w:pPr>
            <w:r>
              <w:rPr>
                <w:rFonts w:ascii="Times New Roman" w:cs="Times New Roman" w:eastAsia="Times New Roman" w:hAnsi="Times New Roman"/>
                <w:sz w:val="18"/>
                <w:szCs w:val="18"/>
                <w:color w:val="auto"/>
              </w:rPr>
              <w:t>338,930</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CCEEFF"/>
            </w:tcBorders>
          </w:tcPr>
          <w:p>
            <w:pPr>
              <w:spacing w:after="0"/>
              <w:rPr>
                <w:sz w:val="24"/>
                <w:szCs w:val="24"/>
                <w:color w:val="auto"/>
              </w:rPr>
            </w:pPr>
          </w:p>
        </w:tc>
        <w:tc>
          <w:tcPr>
            <w:tcW w:w="720" w:type="dxa"/>
            <w:vAlign w:val="bottom"/>
            <w:tcBorders>
              <w:top w:val="single" w:sz="8" w:color="auto"/>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197,307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94,905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41,520</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103,009</w:t>
            </w: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15,189</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5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investments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354,119</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207,209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420" w:hanging="412"/>
        <w:spacing w:after="0" w:line="253" w:lineRule="auto"/>
        <w:tabs>
          <w:tab w:leader="none" w:pos="4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2014, the Company recognized $23.4 million of earnings from equity method investments resulting from asset sales and a legal settlement by one of its equity method investees.</w:t>
      </w:r>
    </w:p>
    <w:p>
      <w:pPr>
        <w:ind w:left="420" w:hanging="412"/>
        <w:spacing w:after="0" w:line="258" w:lineRule="auto"/>
        <w:tabs>
          <w:tab w:leader="none" w:pos="4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conjunction with the sale of the Company's interests in Oak Hill Advisors, L.P. in 2011, the Company retained interests in its share of carried interest related to various funds. During the year ended December 31, 2014, the Company recognized $9.0 million of carried interest income.</w:t>
      </w:r>
    </w:p>
    <w:p>
      <w:pPr>
        <w:spacing w:after="0" w:line="12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Real Estate Equity Investments</w:t>
      </w:r>
      <w:r>
        <w:rPr>
          <w:rFonts w:ascii="Times New Roman" w:cs="Times New Roman" w:eastAsia="Times New Roman" w:hAnsi="Times New Roman"/>
          <w:sz w:val="18"/>
          <w:szCs w:val="18"/>
          <w:color w:val="auto"/>
        </w:rPr>
        <w:t>—During the year ended December 31, 2014, the Company partnered with a sovereign wealth fund to form a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unconsolidated entity in which the Company has a noncontrolling equity interest of approximately 51.9%. This entity is not a VIE and the Company does not have controlling interest due to substantive participating rights of its partner. The partners plan to contribute up to an aggregate $500 million of equity to acquire and develop net lease assets over time. The Company is responsible for sourcing new opportunities and managing the venture and its assets in exchange for a promote and management fee. Several of the Company's senior executives whose time is substantially devoted to the net lease venture own a total of 0.6% equity ownership in the venture via co-investment. These executives are also entitled to an amount equal to 50% of any promote payment received based on the 47.5% partner's interest. During the year ended December 31, 2014, the Company sold a net lease asset for net proceeds of $93.7 million, which approximated carrying value, to the venture. The Company also sold its 72% interest in a previously consolidated entity, which owned a net lease asset subject to a non-recourse mortgage of $26.0 million at the time of sale, to the venture for net proceeds of $10.1 million, which approximated carrying value. During the same period, the venture purchased a portfolio of 58 net lease assets for a purchase price of $200.0 million from a third party. As of December 31, 2014, the venture's carrying value of total assets was $348.1 million and the Company had a recorded equity interest in the venture of $125.4 million.</w:t>
      </w:r>
    </w:p>
    <w:p>
      <w:pPr>
        <w:spacing w:after="0" w:line="14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2014, an unconsolidated entity for which the Company held a 50.0% noncontrolling equity interest sold all of its properties. As a result of the transaction, the Company received net proceeds of $48.1 million and recognized a gain of $33.3 million, which is included in "Earnings from equity method investments" in its Consolidated Statements of Operations. As of December 31, 2014 and 2013, the Company had an equity interest in the entity of $0.2 million and $16.4 million, respectively.</w:t>
      </w:r>
    </w:p>
    <w:p>
      <w:pPr>
        <w:spacing w:after="0" w:line="12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2014, the Company contributed land to a newly formed unconsolidated entity in which the Company received an initial equity interest of 85.7%. This entity is a VIE and the Company does not have controlling interest due to shared power of the entity with its partner. As of December 31, 2014, the Company had a recorded equity interest of $9.4 million. Additionally, the Company committed to provide $45.7 million of mezzanine financing to the entity. As of December 31, 2014, the loan balance was $14.6 million and is included in "Loans receivable and other lending investments, net" on the Company's Consolidated Balance Sheets.</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2014, the Company and a consortium of co-lenders formed a new unconsolidated entity, in which the Company received an initial 15.7% equity interest, which acquired, via foreclosure sale, title to a land asset which previously served as collateral for a loan receivable held by the consortium. This entity is not a VIE and the Company does not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8"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have controlling interest in the entity as the Company's voting rights is based on its ownership percentage in the entity. As a result of the transaction, the Company recorded an additional provision of $2.8 million in "Provision for (recovery of) loan losses" in its Consolidated Statements of Operations. As of December 31, 2014, the Company had a recorded equity interest of $23.5 million.</w:t>
      </w:r>
    </w:p>
    <w:p>
      <w:pPr>
        <w:spacing w:after="0" w:line="12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2013, the Company sold land for net proceeds of $21.4 million to a newly formed unconsolidated entity in which the Company had a preferred partnership interest and a 47.5% equity interest. This entity is a VIE and the Company does not have controlling interest due to shared power of the entity with its partner. The Company's proportionate share of the assets retained on a carryover basis on the date of sale was $10.6 million. The Company held a preferred partnership interest of $6.6 million, which was repaid and no longer outstanding at December 31, 2013. During 2014, the Company acquired an additional preferred partnership interest in the entity of $10.0 million and recognized $14.7 million of income related to sales activity, which is included in "Earnings from equity method investments" in its Consolidated Statements of Operations. As of December 31, 2014 and 2013, the Company had a recorded equity interest of $30.7 million and $5.5 million, respectively.</w:t>
      </w:r>
    </w:p>
    <w:p>
      <w:pPr>
        <w:spacing w:after="0" w:line="13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2013, the Company contributed land to a newly formed unconsolidated entity in which the Company received an equity interest of 75.6%. As of December 31, 2014 and 2013, the Company had a recorded equity interest of $21.1 million and $18.0 million, respectively. In addition, during the year ended December 31, 2013, the Company contributed land to a newly formed unconsolidated entity in which the Company also received a 50.0% equity interest. As of December 31, 2014 and 2013, the Company had a recorded equity interest of $7.8 million and $3.5 million, respectively. These entities are VIEs and the Company does not have controlling interests due to shared power of the entities with its partners.</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2014, the Company's other real estate equity investments included equity interests in real estate ventures ranging from 31% to 70%, comprised of investments of $13.2 million in operating properties and $13.8 million in land assets. As of December 31, 2013, the Company's real estate equity investments included $16.0 million in operating properties and $2.7 million in land assets.</w:t>
      </w:r>
    </w:p>
    <w:p>
      <w:pPr>
        <w:spacing w:after="0" w:line="118"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Madison Funds</w:t>
      </w:r>
      <w:r>
        <w:rPr>
          <w:rFonts w:ascii="Times New Roman" w:cs="Times New Roman" w:eastAsia="Times New Roman" w:hAnsi="Times New Roman"/>
          <w:sz w:val="18"/>
          <w:szCs w:val="18"/>
          <w:color w:val="auto"/>
        </w:rPr>
        <w:t>—As of December 31, 2014, the Company owned a 29.5% interest in Madison International Real Estate Fund II, LP, a 32.9%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Madison International Real Estate Liquidity Fund III, LP ("MIRELF III"), a 32.9% interest in Madison International Real Estate Liquidity Fund III AIV, LP ("MIRELF III AIV") and a 29.5% interest in Madison GP1 Investors, LP (collectively, the "Madison Funds"). The Madison Funds invest in ownership positions of entities that own real estate assets. The Company determined that these entities are VIEs and that the Company is not the primary beneficiary.</w:t>
      </w:r>
    </w:p>
    <w:p>
      <w:pPr>
        <w:spacing w:after="0" w:line="12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Oak Hill Funds</w:t>
      </w:r>
      <w:r>
        <w:rPr>
          <w:rFonts w:ascii="Times New Roman" w:cs="Times New Roman" w:eastAsia="Times New Roman" w:hAnsi="Times New Roman"/>
          <w:sz w:val="18"/>
          <w:szCs w:val="18"/>
          <w:color w:val="auto"/>
        </w:rPr>
        <w:t>—As of December 31, 2014, the Company owned a 5.9% interest in OHA Strategic Credit Master Fund, L.P. ("OHASCF"). OHASCF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formed to acquire and manage a diverse portfolio of assets, investing in distressed, stressed and undervalued loans, bonds, equities and other investments. The Company determined that this entity is a VIE and that the Company is not the primary beneficiary.</w:t>
      </w:r>
    </w:p>
    <w:p>
      <w:pPr>
        <w:spacing w:after="0" w:line="117"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LNR</w:t>
      </w:r>
      <w:r>
        <w:rPr>
          <w:rFonts w:ascii="Times New Roman" w:cs="Times New Roman" w:eastAsia="Times New Roman" w:hAnsi="Times New Roman"/>
          <w:sz w:val="18"/>
          <w:szCs w:val="18"/>
          <w:color w:val="auto"/>
        </w:rPr>
        <w:t>—In July 2010, the Company acquired an ownership interest of approximately 24% in LNR Property Corporation ("LNR"). LNR is a servicer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servicer of commercial mortgage loans and CMBS and a diversified real estate investment, finance and management company. In the transaction, the Company and a group of investors, including other creditors of LNR, acquired 100% of the common stock of LNR in exchange for cash and the extinguishment of existing senior notes of LNR's parent holding company (the "Holdco Notes"). The Company contributed $100.0 million aggregate principal amount of Holdco Notes and $100.0 million in cash in exchange for an equity interest of $120.0 million.</w:t>
      </w:r>
    </w:p>
    <w:p>
      <w:pPr>
        <w:spacing w:after="0" w:line="13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Beginning in September 2012, the Company and other owners of LNR entered into negotiations with potential purchasers of LNR. After an extensive due diligence and negotiation process, the LNR owners entered into a definitive contract to sell LNR in January 2013 at a fixed sale price which, from the Company's perspective, reflected in part the Company's then-current expectations about the future results of LNR and potential volatility in its business. The definitive sale contract provided that LNR would not make cash distributions to its owners during the fourth quarter of 2012 through the closing of the sale. Notwithstanding the fixed terms of the contract, our investment balance in LNR increased due to equity in earnings recorded which resulted in our recognition of other than temporary impairment on our investment during the year ended December 31, 2013. In April 2013, the Company completed the sale of its 24% equity interest in LNR and received $220.3 million in net proceeds. Approximately $25.2 million of net proceeds, which were placed in escrow for potential indemnification obligations, were released to the Company in April 2014.</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18"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represents investee level summarized financial information for LNR ($ in thousands)(1):</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180" w:type="dxa"/>
            <w:vAlign w:val="bottom"/>
          </w:tcPr>
          <w:p>
            <w:pPr>
              <w:spacing w:after="0"/>
              <w:rPr>
                <w:sz w:val="13"/>
                <w:szCs w:val="13"/>
                <w:color w:val="auto"/>
              </w:rPr>
            </w:pPr>
          </w:p>
        </w:tc>
        <w:tc>
          <w:tcPr>
            <w:tcW w:w="15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October 1, 2012 to April 19,</w:t>
            </w: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7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30, 2012</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Income Statements</w:t>
            </w: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revenue(2)</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179,373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332,902</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(6,731)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LNR(3)</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113,478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253,039</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iStar's ownership percentage</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iStar's equity in earnings from LNR</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45,375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60,669</w:t>
            </w:r>
          </w:p>
        </w:tc>
        <w:tc>
          <w:tcPr>
            <w:tcW w:w="0" w:type="dxa"/>
            <w:vAlign w:val="bottom"/>
          </w:tcPr>
          <w:p>
            <w:pPr>
              <w:spacing w:after="0"/>
              <w:rPr>
                <w:sz w:val="1"/>
                <w:szCs w:val="1"/>
                <w:color w:val="auto"/>
              </w:rPr>
            </w:pPr>
          </w:p>
        </w:tc>
      </w:tr>
      <w:tr>
        <w:trPr>
          <w:trHeight w:val="407"/>
        </w:trPr>
        <w:tc>
          <w:tcPr>
            <w:tcW w:w="7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180" w:type="dxa"/>
            <w:vAlign w:val="bottom"/>
          </w:tcPr>
          <w:p>
            <w:pPr>
              <w:spacing w:after="0"/>
              <w:rPr>
                <w:sz w:val="24"/>
                <w:szCs w:val="24"/>
                <w:color w:val="auto"/>
              </w:rPr>
            </w:pPr>
          </w:p>
        </w:tc>
        <w:tc>
          <w:tcPr>
            <w:tcW w:w="15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October 1, 2012 to April 19,</w:t>
            </w: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30, 2012</w:t>
            </w:r>
          </w:p>
        </w:tc>
        <w:tc>
          <w:tcPr>
            <w:tcW w:w="0" w:type="dxa"/>
            <w:vAlign w:val="bottom"/>
          </w:tcPr>
          <w:p>
            <w:pPr>
              <w:spacing w:after="0"/>
              <w:rPr>
                <w:sz w:val="1"/>
                <w:szCs w:val="1"/>
                <w:color w:val="auto"/>
              </w:rPr>
            </w:pPr>
          </w:p>
        </w:tc>
      </w:tr>
      <w:tr>
        <w:trPr>
          <w:trHeight w:val="242"/>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flows</w:t>
            </w: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(127,075)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(85,909)</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(36,543)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(55,686)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217,241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229,634</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flows</w:t>
            </w:r>
          </w:p>
        </w:tc>
        <w:tc>
          <w:tcPr>
            <w:tcW w:w="180" w:type="dxa"/>
            <w:vAlign w:val="bottom"/>
          </w:tcPr>
          <w:p>
            <w:pPr>
              <w:spacing w:after="0"/>
              <w:rPr>
                <w:sz w:val="21"/>
                <w:szCs w:val="21"/>
                <w:color w:val="auto"/>
              </w:rPr>
            </w:pP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53,623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88,039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distributions</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61,179</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iStar's ownership percentage</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distributions received by iStar</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14,690</w:t>
            </w:r>
          </w:p>
        </w:tc>
        <w:tc>
          <w:tcPr>
            <w:tcW w:w="0" w:type="dxa"/>
            <w:vAlign w:val="bottom"/>
          </w:tcPr>
          <w:p>
            <w:pPr>
              <w:spacing w:after="0"/>
              <w:rPr>
                <w:sz w:val="1"/>
                <w:szCs w:val="1"/>
                <w:color w:val="auto"/>
              </w:rPr>
            </w:pPr>
          </w:p>
        </w:tc>
      </w:tr>
      <w:tr>
        <w:trPr>
          <w:trHeight w:val="27"/>
        </w:trPr>
        <w:tc>
          <w:tcPr>
            <w:tcW w:w="77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jc w:val="both"/>
        <w:ind w:left="420" w:hanging="412"/>
        <w:spacing w:after="0" w:line="249" w:lineRule="auto"/>
        <w:tabs>
          <w:tab w:leader="none" w:pos="4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recorded its investment in LNR, which was sold in April 2013, on a one quarter lag. Therefore, the amounts in the Company's financial statements for the year ended December 31, 2013 was based on balances and results from LNR for the period from October 1, 2012 to April 19, 2013. The amounts in the Company's financial statements for the year ended December 31, 2012 are based on the balances and results from LNR for the year ended September 30, 2012.</w:t>
      </w:r>
    </w:p>
    <w:p>
      <w:pPr>
        <w:spacing w:after="0" w:line="1" w:lineRule="exact"/>
        <w:rPr>
          <w:rFonts w:ascii="Times New Roman" w:cs="Times New Roman" w:eastAsia="Times New Roman" w:hAnsi="Times New Roman"/>
          <w:sz w:val="14"/>
          <w:szCs w:val="14"/>
          <w:color w:val="auto"/>
        </w:rPr>
      </w:pPr>
    </w:p>
    <w:p>
      <w:pPr>
        <w:jc w:val="both"/>
        <w:ind w:left="420" w:hanging="412"/>
        <w:spacing w:after="0" w:line="241" w:lineRule="auto"/>
        <w:tabs>
          <w:tab w:leader="none" w:pos="4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LNR consolidates certain commercial mortgage-backed securities and collateralized debt obligation trusts that are considered VIEs (and for which it is the primary beneficiary), that have been included in the amounts presented above. Total revenue presented above includes $55.5 million and $95.4 million for the period from October 1, 2012 to April 19, 2013 and for the year ended September 30, 2012, respectively, of servicing fee revenue that is eliminated upon consolidation of the VIE's at the LNR level. This income is then added back through consolidation at the LNR level as an adjustment to income allocable to noncontrolling entities and has no net impact on net income attributable to LNR.</w:t>
      </w:r>
    </w:p>
    <w:p>
      <w:pPr>
        <w:spacing w:after="0" w:line="1" w:lineRule="exact"/>
        <w:rPr>
          <w:rFonts w:ascii="Times New Roman" w:cs="Times New Roman" w:eastAsia="Times New Roman" w:hAnsi="Times New Roman"/>
          <w:sz w:val="14"/>
          <w:szCs w:val="14"/>
          <w:color w:val="auto"/>
        </w:rPr>
      </w:pPr>
    </w:p>
    <w:p>
      <w:pPr>
        <w:jc w:val="both"/>
        <w:ind w:left="420" w:hanging="412"/>
        <w:spacing w:after="0" w:line="247" w:lineRule="auto"/>
        <w:tabs>
          <w:tab w:leader="none" w:pos="4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to the sale of the Company's interest in LNR, LNR reported a reduction in their earnings of $66.2 million related to a purchase price allocation adjustment. The reduction was reflected in LNR's operations for the three months ended March 31, 2013, which resulted in a net loss for the period. Because the Company recorded its investment in LNR on a one quarter lag, the adjustment was reflected in the quarter ended June 30, 2013. There was no net impact on the Company's previously reported equity in earnings as the Company limited its proportionate share of earnings from LNR pursuant to the definitive sale agreement as described above.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18"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activity related to the Company's investment in LNR for the three months ended March 31, 2013 and June 30, 2013, the six months ended December 31, 2013 and the year ended December 31, 2013 ($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40" w:type="dxa"/>
            <w:vAlign w:val="bottom"/>
          </w:tcPr>
          <w:p>
            <w:pPr>
              <w:spacing w:after="0"/>
              <w:rPr>
                <w:sz w:val="13"/>
                <w:szCs w:val="13"/>
                <w:color w:val="auto"/>
              </w:rPr>
            </w:pPr>
          </w:p>
        </w:tc>
        <w:tc>
          <w:tcPr>
            <w:tcW w:w="17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4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14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4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 2013</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Ended June 30, 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Carrying value of LNR at beginning of period</w:t>
            </w:r>
          </w:p>
        </w:tc>
        <w:tc>
          <w:tcPr>
            <w:tcW w:w="460" w:type="dxa"/>
            <w:vAlign w:val="bottom"/>
            <w:tcBorders>
              <w:bottom w:val="single" w:sz="8" w:color="CCEEFF"/>
            </w:tcBorders>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205,773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gridSpan w:val="3"/>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205,773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LNR for the period(1)</w:t>
            </w: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45,375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72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45,375</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before other than temporary impairment</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251,148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251,148</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than temporary impairment(1)</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72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(30,867)</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proceeds pursuant to contract</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(220,281)</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Carrying value of LNR at end of period</w:t>
            </w: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220,281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72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jc w:val="both"/>
        <w:ind w:left="420" w:hanging="412"/>
        <w:spacing w:after="0" w:line="252" w:lineRule="auto"/>
        <w:tabs>
          <w:tab w:leader="none" w:pos="4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2013, the Company recorded an other than temporary impairment of $30.9 million. Subsequent to the sale of the Company's interest in LNR, LNR reported a reduction in their earnings of $66.2 million related to a purchase price allocation adjustment. The reduction was reflected in LNR's operations for the three months ended March 31, 2013, which resulted in a net loss for the period. Because the Company recorded its investment in LNR on a one quarter lag, the adjustment was reflected in the quarter ended June 30, 2013. There was no net impact on the Company's previously reported equity in earnings as the Company limited its proportionate share of earnings from LNR pursuant to the definitive sale agreement as described above.</w:t>
      </w:r>
    </w:p>
    <w:p>
      <w:pPr>
        <w:spacing w:after="0" w:line="30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2013, the amount that was recognized as income in the Company's Consolidated Statements of Operations is the sum of items (a) and (b), and $1.7 million of income recognized for the release of other comprehensive income related to LNR upon sale, or $16.5 million.</w:t>
      </w:r>
    </w:p>
    <w:p>
      <w:pPr>
        <w:spacing w:after="0" w:line="117"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Other Investments</w:t>
      </w:r>
      <w:r>
        <w:rPr>
          <w:rFonts w:ascii="Times New Roman" w:cs="Times New Roman" w:eastAsia="Times New Roman" w:hAnsi="Times New Roman"/>
          <w:sz w:val="18"/>
          <w:szCs w:val="18"/>
          <w:color w:val="auto"/>
        </w:rPr>
        <w:t>—As of December 31, 2014, the Company also had smaller investments in real estate related funds and other strategic investments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several other entities that were accounted for under the equity method or cost method.</w:t>
      </w:r>
    </w:p>
    <w:p>
      <w:pPr>
        <w:spacing w:after="0" w:line="249" w:lineRule="exact"/>
        <w:rPr>
          <w:sz w:val="20"/>
          <w:szCs w:val="20"/>
          <w:color w:val="auto"/>
        </w:rPr>
      </w:pPr>
    </w:p>
    <w:p>
      <w:pPr>
        <w:ind w:right="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Summarized investee financial information</w:t>
      </w:r>
      <w:r>
        <w:rPr>
          <w:rFonts w:ascii="Times New Roman" w:cs="Times New Roman" w:eastAsia="Times New Roman" w:hAnsi="Times New Roman"/>
          <w:sz w:val="18"/>
          <w:szCs w:val="18"/>
          <w:color w:val="auto"/>
        </w:rPr>
        <w:t>—The following tables present the investee level summarized financial information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method investments, excluding LNR which is presented above ($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tcPr>
          <w:p>
            <w:pPr>
              <w:spacing w:after="0"/>
              <w:rPr>
                <w:sz w:val="12"/>
                <w:szCs w:val="12"/>
                <w:color w:val="auto"/>
              </w:rPr>
            </w:pPr>
          </w:p>
        </w:tc>
        <w:tc>
          <w:tcPr>
            <w:tcW w:w="120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0" w:type="dxa"/>
            <w:vAlign w:val="bottom"/>
          </w:tcPr>
          <w:p>
            <w:pPr>
              <w:spacing w:after="0"/>
              <w:rPr>
                <w:sz w:val="1"/>
                <w:szCs w:val="1"/>
                <w:color w:val="auto"/>
              </w:rPr>
            </w:pPr>
          </w:p>
        </w:tc>
      </w:tr>
      <w:tr>
        <w:trPr>
          <w:trHeight w:val="194"/>
        </w:trPr>
        <w:tc>
          <w:tcPr>
            <w:tcW w:w="5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Parent Entities</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tc>
        <w:tc>
          <w:tcPr>
            <w:tcW w:w="18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Alinda Infrastructure Fund I, L.P. ("Alinda")(1)</w:t>
            </w:r>
          </w:p>
        </w:tc>
        <w:tc>
          <w:tcPr>
            <w:tcW w:w="20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233,130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217,697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Marina Palms, LLC ("Marina Palms")</w:t>
            </w:r>
          </w:p>
        </w:tc>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37,005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OHASCF</w:t>
            </w:r>
          </w:p>
        </w:tc>
        <w:tc>
          <w:tcPr>
            <w:tcW w:w="1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77,311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Moor Park Real Estate Partners II L.P., Incorporated ("Moor Park")</w:t>
            </w:r>
          </w:p>
        </w:tc>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25,760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25,536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MIRELF III</w:t>
            </w:r>
          </w:p>
        </w:tc>
        <w:tc>
          <w:tcPr>
            <w:tcW w:w="1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18,846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iStar Net Lease I LLC ("Net Lease Venture")(2)</w:t>
            </w:r>
          </w:p>
        </w:tc>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3,691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Outlets at Westgate, LLC ("Westgate")</w:t>
            </w:r>
          </w:p>
        </w:tc>
        <w:tc>
          <w:tcPr>
            <w:tcW w:w="1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MIRELF III AIV</w:t>
            </w:r>
          </w:p>
        </w:tc>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128,719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58,202</w:t>
            </w:r>
          </w:p>
        </w:tc>
        <w:tc>
          <w:tcPr>
            <w:tcW w:w="0" w:type="dxa"/>
            <w:vAlign w:val="bottom"/>
          </w:tcPr>
          <w:p>
            <w:pPr>
              <w:spacing w:after="0"/>
              <w:rPr>
                <w:sz w:val="1"/>
                <w:szCs w:val="1"/>
                <w:color w:val="auto"/>
              </w:rPr>
            </w:pPr>
          </w:p>
        </w:tc>
      </w:tr>
      <w:tr>
        <w:trPr>
          <w:trHeight w:val="257"/>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626,039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(185,603)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440,210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2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tcPr>
          <w:p>
            <w:pPr>
              <w:spacing w:after="0"/>
              <w:rPr>
                <w:sz w:val="12"/>
                <w:szCs w:val="12"/>
                <w:color w:val="auto"/>
              </w:rPr>
            </w:pPr>
          </w:p>
        </w:tc>
        <w:tc>
          <w:tcPr>
            <w:tcW w:w="1200" w:type="dxa"/>
            <w:vAlign w:val="bottom"/>
          </w:tcPr>
          <w:p>
            <w:pPr>
              <w:jc w:val="right"/>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0" w:type="dxa"/>
            <w:vAlign w:val="bottom"/>
          </w:tcPr>
          <w:p>
            <w:pPr>
              <w:spacing w:after="0"/>
              <w:rPr>
                <w:sz w:val="1"/>
                <w:szCs w:val="1"/>
                <w:color w:val="auto"/>
              </w:rPr>
            </w:pPr>
          </w:p>
        </w:tc>
      </w:tr>
      <w:tr>
        <w:trPr>
          <w:trHeight w:val="195"/>
        </w:trPr>
        <w:tc>
          <w:tcPr>
            <w:tcW w:w="7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Parent Entities</w:t>
            </w:r>
          </w:p>
        </w:tc>
        <w:tc>
          <w:tcPr>
            <w:tcW w:w="0" w:type="dxa"/>
            <w:vAlign w:val="bottom"/>
          </w:tcPr>
          <w:p>
            <w:pPr>
              <w:spacing w:after="0"/>
              <w:rPr>
                <w:sz w:val="1"/>
                <w:szCs w:val="1"/>
                <w:color w:val="auto"/>
              </w:rPr>
            </w:pPr>
          </w:p>
        </w:tc>
      </w:tr>
      <w:tr>
        <w:trPr>
          <w:trHeight w:val="249"/>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2013</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Alinda(1)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123,447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105,520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OHASCF</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72,313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70,671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MIRELF III AIV</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25,181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MIRELF III</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17,739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Westgate</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Moor Park</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Marina Palms(3)</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29,052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284,513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206,198</w:t>
            </w:r>
          </w:p>
        </w:tc>
        <w:tc>
          <w:tcPr>
            <w:tcW w:w="0" w:type="dxa"/>
            <w:vAlign w:val="bottom"/>
          </w:tcPr>
          <w:p>
            <w:pPr>
              <w:spacing w:after="0"/>
              <w:rPr>
                <w:sz w:val="1"/>
                <w:szCs w:val="1"/>
                <w:color w:val="auto"/>
              </w:rPr>
            </w:pPr>
          </w:p>
        </w:tc>
      </w:tr>
      <w:tr>
        <w:trPr>
          <w:trHeight w:val="284"/>
        </w:trPr>
        <w:tc>
          <w:tcPr>
            <w:tcW w:w="7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2012</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OHASCF</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106,534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Alinda(1)</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104,364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87,430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MIRELF III</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9,550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Westgate</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Moor Park</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MIRELF III AIV</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184,384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115,416</w:t>
            </w:r>
          </w:p>
        </w:tc>
        <w:tc>
          <w:tcPr>
            <w:tcW w:w="0" w:type="dxa"/>
            <w:vAlign w:val="bottom"/>
          </w:tcPr>
          <w:p>
            <w:pPr>
              <w:spacing w:after="0"/>
              <w:rPr>
                <w:sz w:val="1"/>
                <w:szCs w:val="1"/>
                <w:color w:val="auto"/>
              </w:rPr>
            </w:pPr>
          </w:p>
        </w:tc>
      </w:tr>
      <w:tr>
        <w:trPr>
          <w:trHeight w:val="257"/>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401,870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(95,391)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304,960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420" w:hanging="412"/>
        <w:spacing w:after="0" w:line="253" w:lineRule="auto"/>
        <w:tabs>
          <w:tab w:leader="none" w:pos="4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recorded its 1% investment in Alinda on a quarter lag. Therefore, the amounts in the Company's financial statements for the years ended December 31, 2014, 2013 and 2012 were based on balances and results from Alinda for the years ended September 30, 2014, 2013 and 2012, respectively.</w:t>
      </w:r>
    </w:p>
    <w:p>
      <w:pPr>
        <w:ind w:left="420" w:hanging="412"/>
        <w:spacing w:after="0" w:line="241" w:lineRule="auto"/>
        <w:tabs>
          <w:tab w:leader="none" w:pos="4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began accounting for its investment in Net Lease Venture under the equity method of accounting on February 13, 2014. The amounts in the Company's financial statements for the year ended December 31, 2014 are based on the balances and results from Net Lease Venture for the period from February 13, 2014 to December 31, 2014.</w:t>
      </w:r>
    </w:p>
    <w:p>
      <w:pPr>
        <w:ind w:left="420" w:hanging="412"/>
        <w:spacing w:after="0" w:line="258" w:lineRule="auto"/>
        <w:tabs>
          <w:tab w:leader="none" w:pos="4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began accounting for its investment in Marina Palms under the equity method of accounting on April 17, 2013. The amounts in the Company's financial statements for the year ended December 31, 2013 are based on the balances and results from Marina Palms for the period from April 17, 2013 to December 31, 2013.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264"/>
        </w:trPr>
        <w:tc>
          <w:tcPr>
            <w:tcW w:w="3700" w:type="dxa"/>
            <w:vAlign w:val="bottom"/>
            <w:tcBorders>
              <w:bottom w:val="single" w:sz="8" w:color="CCEEFF"/>
            </w:tcBorders>
          </w:tcPr>
          <w:p>
            <w:pPr>
              <w:spacing w:after="0"/>
              <w:rPr>
                <w:sz w:val="22"/>
                <w:szCs w:val="22"/>
                <w:color w:val="auto"/>
              </w:rPr>
            </w:pPr>
          </w:p>
        </w:tc>
        <w:tc>
          <w:tcPr>
            <w:tcW w:w="44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4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4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3,464,984</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2,980,737</w:t>
            </w:r>
          </w:p>
        </w:tc>
      </w:tr>
      <w:tr>
        <w:trPr>
          <w:trHeight w:val="27"/>
        </w:trPr>
        <w:tc>
          <w:tcPr>
            <w:tcW w:w="3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4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479,298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303,100</w:t>
            </w: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333</w:t>
            </w:r>
          </w:p>
        </w:tc>
      </w:tr>
      <w:tr>
        <w:trPr>
          <w:trHeight w:val="27"/>
        </w:trPr>
        <w:tc>
          <w:tcPr>
            <w:tcW w:w="37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4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2,982,389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2,677,304</w:t>
            </w:r>
          </w:p>
        </w:tc>
      </w:tr>
      <w:tr>
        <w:trPr>
          <w:trHeight w:val="891"/>
        </w:trPr>
        <w:tc>
          <w:tcPr>
            <w:tcW w:w="3700" w:type="dxa"/>
            <w:vAlign w:val="bottom"/>
          </w:tcPr>
          <w:p>
            <w:pPr>
              <w:spacing w:after="0"/>
              <w:rPr>
                <w:sz w:val="24"/>
                <w:szCs w:val="24"/>
                <w:color w:val="auto"/>
              </w:rPr>
            </w:pPr>
          </w:p>
        </w:tc>
        <w:tc>
          <w:tcPr>
            <w:tcW w:w="442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7—Other Assets and Other Liabilities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expenses and other assets, net, consist of the following items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net(1)</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50,088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100,652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37,085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40,726</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financing fees, net(2)</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36,774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33,591</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Leasing costs, net(3)</w:t>
            </w:r>
          </w:p>
        </w:tc>
        <w:tc>
          <w:tcPr>
            <w:tcW w:w="10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20,031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21,799</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receivables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13,115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34,655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furniture, fixtures and equipment, net(4)</w:t>
            </w:r>
          </w:p>
        </w:tc>
        <w:tc>
          <w:tcPr>
            <w:tcW w:w="10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6,557</w:t>
            </w: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expenses and other assets, net</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9"/>
              </w:rPr>
              <w:t>162,502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237,980</w:t>
            </w: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jc w:val="both"/>
        <w:ind w:left="420" w:hanging="412"/>
        <w:spacing w:after="0" w:line="247" w:lineRule="auto"/>
        <w:tabs>
          <w:tab w:leader="none" w:pos="4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net are primarily related to the acquisition of real estate assets. Accumulated amortization on intangible assets was $45.1 million and $38.1 million as of December 31, 2014 and 2013, respectively. The amortization of above market leases decreased operating lease income on the Company's Consolidated Statements of Operations by $7.7 million, $7.0 million and $5.8 million for the years ended December 31, 2014, 2013, and 2012, respectively. The amortization expense for other intangible assets was $6.7 million, $8.2 million and $7.0 million for the years ended December 31, 2014, 2013, and 2012, respectively. These amounts are included in "Depreciation and amortization" on the Company's Consolidated Statements of Operations.</w:t>
      </w:r>
    </w:p>
    <w:p>
      <w:pPr>
        <w:spacing w:after="0" w:line="1"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amortization on deferred financing fees was $15.4 million and $9.9 million as of December 31, 2014 and 2013, respectively.</w:t>
      </w:r>
    </w:p>
    <w:p>
      <w:pPr>
        <w:spacing w:after="0" w:line="1"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amortization on leasing costs was $9.0 million and $7.1 million as of December 31, 2014 and 2013, respectively.</w:t>
      </w:r>
    </w:p>
    <w:p>
      <w:pPr>
        <w:spacing w:after="0" w:line="1"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depreciation on corporate furniture, fixtures and equipment was $7.1 million and $6.2 million as of December 31, 2014 and 2013, respectively.</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consist of the following items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62,866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58,840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57,895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40,015</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liabilities(1)</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48,256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45,753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liabilities, net(2)</w:t>
            </w:r>
          </w:p>
        </w:tc>
        <w:tc>
          <w:tcPr>
            <w:tcW w:w="10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11,885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26,223</w:t>
            </w: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9"/>
              </w:rPr>
              <w:t>180,902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170,831</w:t>
            </w: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jc w:val="both"/>
        <w:ind w:left="420" w:hanging="412"/>
        <w:spacing w:after="0" w:line="249" w:lineRule="auto"/>
        <w:tabs>
          <w:tab w:leader="none" w:pos="4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2014, "Other liabilities" includes $6.8 million related to a profit sharing payable to a developer for residential units sold. "Other liabilities" also includes $7.7 million related to tax increment financing ("TIF") bonds which were issued by a governmental entity to fund the installation of infrastructure within one of the Company's master planned community developments. The balance represents a special assessment associated with each individual land parcel, which will decrease as the Company sells parcels.</w:t>
      </w:r>
    </w:p>
    <w:p>
      <w:pPr>
        <w:spacing w:after="0" w:line="1" w:lineRule="exact"/>
        <w:rPr>
          <w:rFonts w:ascii="Times New Roman" w:cs="Times New Roman" w:eastAsia="Times New Roman" w:hAnsi="Times New Roman"/>
          <w:sz w:val="14"/>
          <w:szCs w:val="14"/>
          <w:color w:val="auto"/>
        </w:rPr>
      </w:pPr>
    </w:p>
    <w:p>
      <w:pPr>
        <w:jc w:val="both"/>
        <w:ind w:left="420" w:hanging="412"/>
        <w:spacing w:after="0" w:line="250" w:lineRule="auto"/>
        <w:tabs>
          <w:tab w:leader="none" w:pos="4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liabilities, net are primarily related to the acquisition of real estate assets. Accumulated amortization on intangible liabilities was $6.2 million and $4.6 million as of December 31, 2014 and 2013, respectively. The amortization of intangible liabilities increased operating lease income on the Company's Consolidated Statements of Operations by $2.5 million, $2.8 million and $1.4 million for the years ended December 31, 2014, 2013 and 2012, respectively.</w:t>
      </w:r>
    </w:p>
    <w:p>
      <w:pPr>
        <w:spacing w:after="0" w:line="184" w:lineRule="exact"/>
        <w:rPr>
          <w:sz w:val="20"/>
          <w:szCs w:val="20"/>
          <w:color w:val="auto"/>
        </w:rPr>
      </w:pPr>
    </w:p>
    <w:p>
      <w:pPr>
        <w:ind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Intangible assets and liabilities—</w:t>
      </w:r>
      <w:r>
        <w:rPr>
          <w:rFonts w:ascii="Times New Roman" w:cs="Times New Roman" w:eastAsia="Times New Roman" w:hAnsi="Times New Roman"/>
          <w:sz w:val="18"/>
          <w:szCs w:val="18"/>
          <w:color w:val="auto"/>
        </w:rPr>
        <w:t>The estimated aggregate amortization costs of lease intangible assets and liabilities for each of the five succeeding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years are as follows ($ in thousands):</w:t>
      </w:r>
    </w:p>
    <w:p>
      <w:pPr>
        <w:spacing w:after="0" w:line="96" w:lineRule="exact"/>
        <w:rPr>
          <w:sz w:val="20"/>
          <w:szCs w:val="20"/>
          <w:color w:val="auto"/>
        </w:rPr>
      </w:pPr>
    </w:p>
    <w:tbl>
      <w:tblPr>
        <w:tblLayout w:type="fixed"/>
        <w:tblInd w:w="2420" w:type="dxa"/>
        <w:tblCellMar>
          <w:top w:w="0" w:type="dxa"/>
          <w:left w:w="0" w:type="dxa"/>
          <w:bottom w:w="0" w:type="dxa"/>
          <w:right w:w="0" w:type="dxa"/>
        </w:tblCellMar>
      </w:tblPr>
      <w:tr>
        <w:trPr>
          <w:trHeight w:val="270"/>
        </w:trPr>
        <w:tc>
          <w:tcPr>
            <w:tcW w:w="180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2015</w:t>
            </w:r>
          </w:p>
        </w:tc>
        <w:tc>
          <w:tcPr>
            <w:tcW w:w="37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w:t>
            </w:r>
          </w:p>
        </w:tc>
      </w:tr>
      <w:tr>
        <w:trPr>
          <w:trHeight w:val="243"/>
        </w:trPr>
        <w:tc>
          <w:tcPr>
            <w:tcW w:w="18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2016</w:t>
            </w:r>
          </w:p>
        </w:tc>
        <w:tc>
          <w:tcPr>
            <w:tcW w:w="37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r>
      <w:tr>
        <w:trPr>
          <w:trHeight w:val="27"/>
        </w:trPr>
        <w:tc>
          <w:tcPr>
            <w:tcW w:w="18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2017</w:t>
            </w:r>
          </w:p>
        </w:tc>
        <w:tc>
          <w:tcPr>
            <w:tcW w:w="37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r>
      <w:tr>
        <w:trPr>
          <w:trHeight w:val="243"/>
        </w:trPr>
        <w:tc>
          <w:tcPr>
            <w:tcW w:w="18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2018</w:t>
            </w:r>
          </w:p>
        </w:tc>
        <w:tc>
          <w:tcPr>
            <w:tcW w:w="37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r>
      <w:tr>
        <w:trPr>
          <w:trHeight w:val="27"/>
        </w:trPr>
        <w:tc>
          <w:tcPr>
            <w:tcW w:w="18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2019</w:t>
            </w:r>
          </w:p>
        </w:tc>
        <w:tc>
          <w:tcPr>
            <w:tcW w:w="37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r>
      <w:tr>
        <w:trPr>
          <w:trHeight w:val="621"/>
        </w:trPr>
        <w:tc>
          <w:tcPr>
            <w:tcW w:w="1800" w:type="dxa"/>
            <w:vAlign w:val="bottom"/>
          </w:tcPr>
          <w:p>
            <w:pPr>
              <w:spacing w:after="0"/>
              <w:rPr>
                <w:sz w:val="24"/>
                <w:szCs w:val="24"/>
                <w:color w:val="auto"/>
              </w:rPr>
            </w:pPr>
          </w:p>
        </w:tc>
        <w:tc>
          <w:tcPr>
            <w:tcW w:w="370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74</w:t>
            </w: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8—Debt Obligations,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2014 and 2013, the Company's debt obligations were as follows ($ in thousands):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Carrying Value as of December 31,</w:t>
            </w:r>
          </w:p>
        </w:tc>
        <w:tc>
          <w:tcPr>
            <w:tcW w:w="120" w:type="dxa"/>
            <w:vAlign w:val="bottom"/>
          </w:tcPr>
          <w:p>
            <w:pPr>
              <w:spacing w:after="0"/>
              <w:rPr>
                <w:sz w:val="16"/>
                <w:szCs w:val="16"/>
                <w:color w:val="auto"/>
              </w:rPr>
            </w:pPr>
          </w:p>
        </w:tc>
        <w:tc>
          <w:tcPr>
            <w:tcW w:w="1780" w:type="dxa"/>
            <w:vAlign w:val="bottom"/>
            <w:vMerge w:val="restart"/>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Stated</w:t>
            </w:r>
          </w:p>
        </w:tc>
        <w:tc>
          <w:tcPr>
            <w:tcW w:w="44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0" w:type="dxa"/>
            <w:vAlign w:val="bottom"/>
          </w:tcPr>
          <w:p>
            <w:pPr>
              <w:spacing w:after="0"/>
              <w:rPr>
                <w:sz w:val="1"/>
                <w:szCs w:val="1"/>
                <w:color w:val="auto"/>
              </w:rPr>
            </w:pPr>
          </w:p>
        </w:tc>
      </w:tr>
      <w:tr>
        <w:trPr>
          <w:trHeight w:val="68"/>
        </w:trPr>
        <w:tc>
          <w:tcPr>
            <w:tcW w:w="4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4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249"/>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Secured credit facilities and term loans: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2012 Tranche A-2 Facility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358,504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431,475</w:t>
            </w:r>
          </w:p>
        </w:tc>
        <w:tc>
          <w:tcPr>
            <w:tcW w:w="120" w:type="dxa"/>
            <w:vAlign w:val="bottom"/>
          </w:tcPr>
          <w:p>
            <w:pPr>
              <w:spacing w:after="0"/>
              <w:rPr>
                <w:sz w:val="21"/>
                <w:szCs w:val="21"/>
                <w:color w:val="auto"/>
              </w:rPr>
            </w:pPr>
          </w:p>
        </w:tc>
        <w:tc>
          <w:tcPr>
            <w:tcW w:w="17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LIBOR + 5.75%</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2017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February 2013 Secured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1,379,407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LIBOR + 3.50%</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loans collateralized by net lease assets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248,955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278,817</w:t>
            </w:r>
          </w:p>
        </w:tc>
        <w:tc>
          <w:tcPr>
            <w:tcW w:w="190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4.851% - 7.26%</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Various through 2026</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secured credit facilities and term loans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607,459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2,089,699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Unsecured notes: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6.05%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105,765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105,765</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2015</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5.875% senior notes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261,403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261,403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2016</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3.875%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265,000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2016</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 senior convertible notes(4)</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2016</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1.50% senior convertible notes(5)</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2016</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5.85% senior notes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99,722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99,722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2017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9.0%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275,000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2017</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4.00% senior notes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2017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7.125% 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2018</w:t>
            </w: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4.875% senior notes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300,000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5.00% senior notes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770,000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2019</w:t>
            </w:r>
          </w:p>
        </w:tc>
        <w:tc>
          <w:tcPr>
            <w:tcW w:w="0" w:type="dxa"/>
            <w:vAlign w:val="bottom"/>
          </w:tcPr>
          <w:p>
            <w:pPr>
              <w:spacing w:after="0"/>
              <w:rPr>
                <w:sz w:val="1"/>
                <w:szCs w:val="1"/>
                <w:color w:val="auto"/>
              </w:rPr>
            </w:pPr>
          </w:p>
        </w:tc>
      </w:tr>
      <w:tr>
        <w:trPr>
          <w:trHeight w:val="237"/>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unsecured notes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3,326,890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2,006,890</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debt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debt obligations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1"/>
                <w:szCs w:val="21"/>
                <w:color w:val="auto"/>
              </w:rPr>
            </w:pPr>
          </w:p>
        </w:tc>
        <w:tc>
          <w:tcPr>
            <w:tcW w:w="17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LIBOR + 1.50%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2035</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4,034,349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4,196,589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discounts, net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(38,464)</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 obligations,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4,022,684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4,158,125</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420" w:hanging="412"/>
        <w:spacing w:after="0"/>
        <w:tabs>
          <w:tab w:leader="none" w:pos="4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has a LIBOR floor of 1.25%. As of December 31, 2014, inclusive of the floor, the 2012 Tranche A-2 Facility loan incurred interest at a rate of 7.00%.</w:t>
      </w:r>
    </w:p>
    <w:p>
      <w:pPr>
        <w:spacing w:after="0" w:line="17"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loan had a LIBOR floor of 1.00%.</w:t>
      </w:r>
    </w:p>
    <w:p>
      <w:pPr>
        <w:spacing w:after="0" w:line="1" w:lineRule="exact"/>
        <w:rPr>
          <w:rFonts w:ascii="Times New Roman" w:cs="Times New Roman" w:eastAsia="Times New Roman" w:hAnsi="Times New Roman"/>
          <w:sz w:val="14"/>
          <w:szCs w:val="14"/>
          <w:color w:val="auto"/>
        </w:rPr>
      </w:pPr>
    </w:p>
    <w:p>
      <w:pPr>
        <w:ind w:left="420" w:hanging="412"/>
        <w:spacing w:after="0" w:line="241" w:lineRule="auto"/>
        <w:tabs>
          <w:tab w:leader="none" w:pos="4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2014 and 2013, includes a loan with a floating rate of LIBOR plus 2.00%. As of December 31, 2013, includes a loan with a floating rate of LIBOR plus 2.75%. As of December 31, 2014, the weighted average interest rate of these loans is 5.3%.</w:t>
      </w:r>
    </w:p>
    <w:p>
      <w:pPr>
        <w:ind w:left="420" w:hanging="412"/>
        <w:spacing w:after="0" w:line="241" w:lineRule="auto"/>
        <w:tabs>
          <w:tab w:leader="none" w:pos="4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3.0% senior convertible fixed rate notes due November 2016 ("3.0% Convertible Notes") are convertible at the option of the holders, into 85.0 shares per $1,000 principal amount of 3.0% Convertible Notes, at any time prior to the close of business on November 14, 2016.</w:t>
      </w:r>
    </w:p>
    <w:p>
      <w:pPr>
        <w:ind w:left="420" w:hanging="412"/>
        <w:spacing w:after="0" w:line="258" w:lineRule="auto"/>
        <w:tabs>
          <w:tab w:leader="none" w:pos="4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1.50% senior convertible fixed rate notes due November 2016 ("1.50% Convertible Notes") are convertible at the option of the holders, into 57.8 shares per $1,000 principal amount of 1.50% Convertible Notes, at any time prior to the close of business on November 14, 2016.</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18"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Future Scheduled Maturities</w:t>
      </w:r>
      <w:r>
        <w:rPr>
          <w:rFonts w:ascii="Times New Roman" w:cs="Times New Roman" w:eastAsia="Times New Roman" w:hAnsi="Times New Roman"/>
          <w:sz w:val="18"/>
          <w:szCs w:val="18"/>
          <w:color w:val="auto"/>
        </w:rPr>
        <w:t>—As of December 31, 2014, future scheduled maturities of outstanding long-term debt obligations are as follows ($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thousands):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Unsecured Debt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Secured Debt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105,765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105,765</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926,403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926,403</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924,722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358,504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1,283,226</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615,239</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32,312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802,312</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201,404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301,404</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maturities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3,426,890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607,459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4,034,349</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discounts,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obligations,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3,418,519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604,165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4,022,684</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February 2013 Secured Credit Facility</w:t>
      </w:r>
      <w:r>
        <w:rPr>
          <w:rFonts w:ascii="Times New Roman" w:cs="Times New Roman" w:eastAsia="Times New Roman" w:hAnsi="Times New Roman"/>
          <w:sz w:val="18"/>
          <w:szCs w:val="18"/>
          <w:color w:val="auto"/>
        </w:rPr>
        <w:t>—On February 11, 2013, the Company entered into a $1.71 billion senior secured credit facility due October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 2017 (the "February 2013 Secured Credit Facility") that amended and restated its $1.82 billion senior secured credit facility, dated October 15, 2012 (the "October 2012 Secured Credit Facility"). The February 2013 Credit Facility amended the October 2012 Secured Credit Facility by: (i) reducing the interest rate from LIBOR plus 4.50%, with a 1.25% LIBOR floor, to LIBOR plus 3.50%, with a 1.00% LIBOR floor; and (ii) extending the call protection period for the lenders from October 15, 2013 to December 31, 2013.</w:t>
      </w:r>
    </w:p>
    <w:p>
      <w:pPr>
        <w:spacing w:after="0" w:line="14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February 2013 Secured Credit Facility transaction, the Company incurred $17.1 million of lender fees, of which $14.4 million was capitalized in "Debt obligations, net" on the Company's Consolidated Balance Sheets and $2.7 million was recorded as a loss in "Loss on early extinguishment of debt, net" on the Company's Consolidated Statements of Operations as it related to the lenders who did not participate in the new facility. The Company also incurred $3.8 million in third party fees, of which $3.6 million was recognized in “Other expense” on the Company's Consolidated Statements of Operations, as it related primarily to those lenders from the original facility that modified their debt under the new facility, and $0.2 million was recorded in “Deferred expenses and other assets, net” on the Company's Consolidated Balance Sheets, as it related to the new lenders.</w:t>
      </w:r>
    </w:p>
    <w:p>
      <w:pPr>
        <w:spacing w:after="0" w:line="14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2014, net proceeds from the issuances of the Company's $550.0 million aggregate principal amount of 4.00% senior unsecured notes and $770.0 million aggregate principal amount of 5.00% senior unsecured notes, together with cash on hand, were used to fully repay and terminate the February 2013 Secured Credit Facility. From February 2013 through full payoff in June 2014, the Company made cumulative amortization repayments of $388.5 million. During the year ended December 31, 2014 and 2013, amortization repayments made by the Company resulted in losses on early extinguishment of debt of $1.1 million and $7.0 million, respectively, related to the accelerated amortization of discounts and unamortized deferred financing fees on the portion of the facility that was repaid. In connection with the repayment and termination of the facility in 2014, the Company recorded a loss on early extinguishment of debt of $22.8 million related to unamortized discounts and financing fees at the time of refinancing. These amounts were included in "Loss on early extinguishment of debt, net" on the Company's Consolidated Statements of Operations.</w:t>
      </w:r>
    </w:p>
    <w:p>
      <w:pPr>
        <w:spacing w:after="0" w:line="14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March 2012 Secured Credit Facilities</w:t>
      </w:r>
      <w:r>
        <w:rPr>
          <w:rFonts w:ascii="Times New Roman" w:cs="Times New Roman" w:eastAsia="Times New Roman" w:hAnsi="Times New Roman"/>
          <w:sz w:val="18"/>
          <w:szCs w:val="18"/>
          <w:color w:val="auto"/>
        </w:rPr>
        <w:t>—In March 2012, the Company entered into an $880.0 million senior secured credit agreement providing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tranches of term loans: a $410.0 million 2012 A-1 tranche due March 2016, which bears interest at a rate of LIBOR + 4.00% (the "2012 Tranche A-1 Facility"), and a $470.0 million 2012 A-2 tranche due March 2017, which bears interest at a rate of LIBOR + 5.75% (the "2012 Tranche A-2 Facility," together the "March 2012 Secured Credit Facilities"). The 2012 A-1 and A-2 tranches were issued at 98.0% of par and 98.5% of par, respectively, and both tranches include a LIBOR floor of 1.25%. Proceeds from the March 2012 Secured Credit Facilities, together with cash on hand, were used to repurchase and repay at maturity $606.7 million aggregate principal amount of the Company's convertible notes due October 2012, to fully repay the $244.0 million balance on the Company's unsecured credit facility due June 2012, and to repay, upon maturity, $90.3 million outstanding principal balance of its 5.50% senior unsecured notes.</w:t>
      </w:r>
    </w:p>
    <w:p>
      <w:pPr>
        <w:spacing w:after="0" w:line="18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March 2012 Secured Credit Facilities are collateralized by a first lien on a fixed pool of assets. Proceeds from principal repayments and sales of collateral are applied to amortize the March 2012 Secured Credit Facilities. Proceeds received for interest, rent, lease payments and fee income are retained by the Company. The Company may also make optional prepayments, subject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8"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prepayment fees. The 2012 Tranche A-1 Facility was fully repaid in August 2013. Additionally, through December 31, 2014, the Company made cumulative amortization repayments of $111.5 million on the 2012 Tranche A-2 Facility. For the years ended December 31, 2014 and 2013, repayments of the 2012 Tranche A-2 Facility prior to maturity resulted in losses on early extinguishment of debt of $1.5 million and $1.0 million, respectively, related to the accelerated amortization of discounts and unamortized deferred financing fees on the portion of the facility that was repaid. These amounts were included in "Loss on early extinguishment of debt, net" on the Company's Consolidated Statements of Operations.</w:t>
      </w:r>
    </w:p>
    <w:p>
      <w:pPr>
        <w:spacing w:after="0" w:line="18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Repayments of the 2012 Tranche A-1 Facility prior to scheduled amortization dates resulted in losses on early extinguishment of debt of $4.4 million and $8.1 million during the years ended December 31, 2013 and 2012, respectively, related to the accelerated amortization of discounts and unamortized deferred financing fees on the portion of the facility that was repaid. These amounts were included in "Loss on early extinguishment of debt, net" on the Company's Consolidated Statements of Operations.</w:t>
      </w:r>
    </w:p>
    <w:p>
      <w:pPr>
        <w:spacing w:after="0" w:line="176"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Unsecured Notes</w:t>
      </w:r>
      <w:r>
        <w:rPr>
          <w:rFonts w:ascii="Times New Roman" w:cs="Times New Roman" w:eastAsia="Times New Roman" w:hAnsi="Times New Roman"/>
          <w:sz w:val="18"/>
          <w:szCs w:val="18"/>
          <w:color w:val="auto"/>
        </w:rPr>
        <w:t>—In June 2014, the Company issued $550.0 million aggregate principal amount of 4.00% senior unsecured notes due November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$770.0 million aggregate principal amount of 5.00% senior unsecured notes due July 2019. Net proceeds from these transactions, together with cash on hand, were used to fully repay and terminate the February 2013 Secured Credit Facility which had an outstanding balance of $1.32 billion.</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November 2013, the Company issued $200.0 million aggregate principal of 1.50% convertible senior unsecured notes due November 2016. Proceeds from the transaction, together with cash on hand, were used to fully repay the remaining $200.6 million of outstanding 5.70% senior unsecured notes due March 2014. In connection with the repayment of the 5.70% senior unsecured notes, the Company incurred $2.8 million of losses related to a prepayment penalty and the accelerated amortization of discounts, which was recorded in "Loss on early extinguishment of debt, net" on the Company's Consolidated Statements of Operations for the year ended December 31, 2013.</w:t>
      </w:r>
    </w:p>
    <w:p>
      <w:pPr>
        <w:spacing w:after="0" w:line="18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May 2013, the Company issued $265.0 million aggregate principal of 3.875% senior unsecured notes due July 2016 and issued $300.0 million aggregate principal of 4.875% senior unsecured notes due July 2018. Net proceeds from these transactions, together with cash on hand, were used to fully repay the remaining $96.8 million of outstanding 8.625% senior unsecured notes due June 2013 and the remaining $448.5 million of outstanding 5.95% senior unsecured notes due in October 2013. In connection with the repayment of the 5.95% senior unsecured notes, the Company incurred $9.5 million of losses related to a prepayment penalty and the accelerated amortization of discounts, which was recorded in "Loss on early extinguishment of debt, net" on the Company's Consolidated Statements of Operations for the year ended December 31, 2013.</w:t>
      </w:r>
    </w:p>
    <w:p>
      <w:pPr>
        <w:spacing w:after="0" w:line="18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Encumbered/Unencumbered Assets</w:t>
      </w:r>
      <w:r>
        <w:rPr>
          <w:rFonts w:ascii="Times New Roman" w:cs="Times New Roman" w:eastAsia="Times New Roman" w:hAnsi="Times New Roman"/>
          <w:sz w:val="18"/>
          <w:szCs w:val="18"/>
          <w:color w:val="auto"/>
        </w:rPr>
        <w:t>—As of December 31, 2014 and 2013, the carrying value of the Company's encumbered and unencumbered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asset type are as follows ($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Encumbered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Unencumbered</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Encumbered Assets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Unencumbered</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net</w:t>
            </w: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2,056,336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1,644,463</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1,151,718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275,486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152,604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207,913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receivable and other lending investments, net(1)</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1,364,828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860,557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538,752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336,411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183,116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other assets</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768,475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907,995</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695,097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4,801,536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2,681,717</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2,989,494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420" w:hanging="412"/>
        <w:spacing w:after="0"/>
        <w:tabs>
          <w:tab w:leader="none" w:pos="4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2014 and 2013, the amounts presented exclude general reserves for loan losses of $33.5 million and $29.2 million,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Company's outstanding unsecured debt securities contain corporate level covenants that include a covenant to maintain a ratio of unencumbered assets to unsecured indebtedness of at least 1.2x and a restriction on debt incurrence based upon the effect of the debt incurrence on the Company's fixed charge coverage ratio. If any of the Company's covenants are breached and not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18"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cured within applicable cure periods, the breach could result in acceleration of its debt securities unless a waiver or modification is agreed upon with the requisite percentage of the bondholders. While the Company's ability to incur new indebtedness under the fixed charge coverage ratio is currently limited, which may put limitations on its ability to make new investments, it is permitted to incur indebtedness for the purpose of refinancing existing indebtedness and for other permitted purposes under the indentures.</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March 2012 Secured Credit Facilities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Company is required to maintain collateral coverage of 1.25x outstanding borrowings. In addition, for so long as the Company maintains its qualification as a REIT, the March 2012 Secured Credit Facilities permit the Company to distribute 100% of its REIT taxable income on an annual basis. The Company may not pay common dividends if it ceases to qualify as a REIT.</w:t>
      </w:r>
    </w:p>
    <w:p>
      <w:pPr>
        <w:spacing w:after="0" w:line="18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March 2012 Secured Credit Facilities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9—Commitments and Contingencies</w:t>
      </w:r>
    </w:p>
    <w:p>
      <w:pPr>
        <w:spacing w:after="0" w:line="2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Unfunded Commitments</w:t>
      </w:r>
      <w:r>
        <w:rPr>
          <w:rFonts w:ascii="Times New Roman" w:cs="Times New Roman" w:eastAsia="Times New Roman" w:hAnsi="Times New Roman"/>
          <w:sz w:val="18"/>
          <w:szCs w:val="18"/>
          <w:color w:val="auto"/>
        </w:rPr>
        <w:t>—The Company generally funds construction and development loans and build-outs of space in net lease assets over a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time if and when the borrowers and tenants meet established milestones and other performance criteria. The Company refers to these arrangements as Performance-Based Commitments. In addition, the Company sometimes establishes a maximum amount of additional funding which it will make available to a borrower or tenant for an expansion or addition to a project if it approves of the expansion or addition in its sole discretion. The Company refers to these arrangements as Discretionary Fundings. Finally, the Company has committed to invest capital in several real estate funds and other ventures. These arrangements are referred to as Strategic Investments.</w:t>
      </w:r>
    </w:p>
    <w:p>
      <w:pPr>
        <w:spacing w:after="0" w:line="18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2014, the maximum amount of fundings the Company may be required to make under each category, assuming all performance hurdles and milestones are met under the Performance-Based Commitments, that it approves all Discretionary Fundings and that 100% of its capital committed to Strategic Investments is drawn down, are as follows ($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Loans and Other Lending</w:t>
            </w:r>
          </w:p>
        </w:tc>
        <w:tc>
          <w:tcPr>
            <w:tcW w:w="340" w:type="dxa"/>
            <w:vAlign w:val="bottom"/>
          </w:tcPr>
          <w:p>
            <w:pPr>
              <w:spacing w:after="0"/>
              <w:rPr>
                <w:sz w:val="13"/>
                <w:szCs w:val="13"/>
                <w:color w:val="auto"/>
              </w:rPr>
            </w:pPr>
          </w:p>
        </w:tc>
        <w:tc>
          <w:tcPr>
            <w:tcW w:w="15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40" w:type="dxa"/>
            <w:vAlign w:val="bottom"/>
          </w:tcPr>
          <w:p>
            <w:pPr>
              <w:spacing w:after="0"/>
              <w:rPr>
                <w:sz w:val="13"/>
                <w:szCs w:val="13"/>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tcPr>
          <w:p>
            <w:pPr>
              <w:spacing w:after="0"/>
              <w:rPr>
                <w:sz w:val="13"/>
                <w:szCs w:val="13"/>
                <w:color w:val="auto"/>
              </w:rPr>
            </w:pPr>
          </w:p>
        </w:tc>
        <w:tc>
          <w:tcPr>
            <w:tcW w:w="1380" w:type="dxa"/>
            <w:vAlign w:val="bottom"/>
            <w:vMerge w:val="restart"/>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Performance-Based Commitments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537,924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27,004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579,595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Strategic Investments</w:t>
            </w:r>
          </w:p>
        </w:tc>
        <w:tc>
          <w:tcPr>
            <w:tcW w:w="1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45,714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45,714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Discretionary Fundings</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5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542,924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14,667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72,718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630,309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Other Commitments</w:t>
      </w:r>
      <w:r>
        <w:rPr>
          <w:rFonts w:ascii="Times New Roman" w:cs="Times New Roman" w:eastAsia="Times New Roman" w:hAnsi="Times New Roman"/>
          <w:sz w:val="18"/>
          <w:szCs w:val="18"/>
          <w:color w:val="auto"/>
        </w:rPr>
        <w:t>—Total operating lease expense for the years ended December 31, 2014, 2013 and 2012 were $5.8 million, $6.1 million and $6.5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respectively. Future minimum lease obligations under non-cancelable operating leases are as follows ($ in thousands):</w:t>
      </w:r>
    </w:p>
    <w:p>
      <w:pPr>
        <w:spacing w:after="0" w:line="150" w:lineRule="exact"/>
        <w:rPr>
          <w:sz w:val="20"/>
          <w:szCs w:val="20"/>
          <w:color w:val="auto"/>
        </w:rPr>
      </w:pPr>
    </w:p>
    <w:tbl>
      <w:tblPr>
        <w:tblLayout w:type="fixed"/>
        <w:tblInd w:w="3040" w:type="dxa"/>
        <w:tblCellMar>
          <w:top w:w="0" w:type="dxa"/>
          <w:left w:w="0" w:type="dxa"/>
          <w:bottom w:w="0" w:type="dxa"/>
          <w:right w:w="0" w:type="dxa"/>
        </w:tblCellMar>
      </w:tblPr>
      <w:tr>
        <w:trPr>
          <w:trHeight w:val="27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21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r>
      <w:tr>
        <w:trPr>
          <w:trHeight w:val="24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2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w:t>
            </w:r>
          </w:p>
        </w:tc>
      </w:tr>
      <w:tr>
        <w:trPr>
          <w:trHeight w:val="27"/>
        </w:trPr>
        <w:tc>
          <w:tcPr>
            <w:tcW w:w="2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2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r>
      <w:tr>
        <w:trPr>
          <w:trHeight w:val="24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2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r>
      <w:tr>
        <w:trPr>
          <w:trHeight w:val="27"/>
        </w:trPr>
        <w:tc>
          <w:tcPr>
            <w:tcW w:w="2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2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r>
      <w:tr>
        <w:trPr>
          <w:trHeight w:val="24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w:t>
            </w: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also issued letters of credit totaling $3.7 million in connection with its investments.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18"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—The Company and/or one or more of its subsidiaries is party to various pending litigation matters that are considered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routine litigation incidental to the Company's business as a finance and investment company focused on the commercial real estate industry, including loan foreclosure and foreclosure-related proceedings. In addition to such matters, the Company is a party to the following legal proceedings:</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March 7, 2014, a shareholder action purporting to assert derivative, class and individual claims was filed in the Circuit Court for Baltimore City, Maryland naming the Company, a number of its current and former senior executives (including its chief executive officer) and current and former directors as defendants. The complaint sought unspecified damages and other relief and alleged breach of fiduciary duty, breach of contract and other causes of action arising out of shares of common stock issued by the Company to its senior executives pursuant to restricted stock unit awards granted in December 2008 and modified in July 2011. On October 30, 2014, the Court granted the defendants’ Motions to Dismiss and plaintiffs’ claims against all of the defendants in this action were dismissed. Plaintiffs have filed a notice of appeal.</w:t>
      </w:r>
    </w:p>
    <w:p>
      <w:pPr>
        <w:spacing w:after="0" w:line="18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On January 22, 2015, the United States District Court for the District of Maryland (the "Court") entered a judgment in favor of the Company in the matter of U.S. Home Corporation ("Lennar") v. Settlers Crossing, LLC, et al. (Civil Action No. DKC 08-1863). The litigation involved a dispute over the purchase and sale of approximately 1,250 acres of land in Prince George’s County, Maryland. The Court found that the Company was entitled to specific performance and awarded damages to it in the aggregate amount of: (i) the remaining purchase price to be paid by Lennar of $114.0 million; plus (ii) interest on the unpaid amount at a rate of 12% per annum, calculated on a per diem basis, from May 27, 2008, until Lennar proceeds to settlement on the land; plus</w:t>
      </w:r>
    </w:p>
    <w:p>
      <w:pPr>
        <w:spacing w:after="0" w:line="3" w:lineRule="exact"/>
        <w:rPr>
          <w:sz w:val="20"/>
          <w:szCs w:val="20"/>
          <w:color w:val="auto"/>
        </w:rPr>
      </w:pPr>
    </w:p>
    <w:p>
      <w:pPr>
        <w:jc w:val="both"/>
        <w:ind w:firstLine="8"/>
        <w:spacing w:after="0" w:line="253" w:lineRule="auto"/>
        <w:tabs>
          <w:tab w:leader="none" w:pos="32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taxes paid by the Company in the amount of approximately $1.6 million; plus (iv) actual and reasonable attorneys' fees and costs incurred by the Company in connection with the litigation. The Court ordered Lennar to proceed to settlement on the land and to pay the total amounts awarded to the Company within 30 days of the judgment. A third party is entitled to a 15% participation interest in all proceeds. Lennar has filed a notice of appeal of the Court’s judgment, orders and rulings in the action. There can be no assurance as to the timing or actual receipt by the Company of amounts awarded by the Court or to the outcome of any appeal.</w:t>
      </w:r>
    </w:p>
    <w:p>
      <w:pPr>
        <w:spacing w:after="0" w:line="18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evaluates, on a quarterly basis,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10—Risk Management and Derivatives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8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the normal course of its on-going business operations, the Company encounters economic risk. There are three main components of 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lending investments or leases that result from a borrower's or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real estate assets by the Company as well as changes in foreign currency exchange rates.</w:t>
      </w:r>
    </w:p>
    <w:p>
      <w:pPr>
        <w:spacing w:after="0" w:line="238"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Risk concentrations</w:t>
      </w:r>
      <w:r>
        <w:rPr>
          <w:rFonts w:ascii="Times New Roman" w:cs="Times New Roman" w:eastAsia="Times New Roman" w:hAnsi="Times New Roman"/>
          <w:sz w:val="18"/>
          <w:szCs w:val="18"/>
          <w:color w:val="auto"/>
        </w:rPr>
        <w:t>—Concentrations of credit risks arise when a number of borrowers or tenants related to the Company's investments are engaged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business activities, or activities in the same geographic region, or have similar economic features that would cause their ability to meet contractual obligations, including those to the Company, to be similarly affected by changes in economic conditions.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real estate as well as assets collateralizing its loans receivable are located in the United States. As of December 31, 2014, the only states with a concentration greater than 10.0% were California with 14.6% and New York with 13.9%. As of December 31, 2014, the Company's portfolio contains concentrations in the following asset types: office/industrial 26.7%, land 21.7%, mixed use/mixed collateral 13.0% and entertainment/leisure 11.0%.</w:t>
      </w:r>
    </w:p>
    <w:p>
      <w:pPr>
        <w:spacing w:after="0" w:line="23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underwrites the credit of prospective borrowers and tenants and often requires them to provide some form of credit support such as corporate guarantees, letters of credit and/or cash security deposits. Although the Company's loans and real estate assets are geographically diverse and the borrowers and tenants operate in a variety of industries, to the extent the Company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18"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has a significant concentration of interest or operating lease revenues from any single borrower or tenant, the inability of that borrower or tenant to make its payment could have an adverse effect on the Company. As of December 31, 2014, the Company's five largest borrowers or tenants collectively accounted for approximately $115 million of the Company's 2014 revenues, of which no single customer accounts for more than 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use of derivative financial instruments is primarily limited to the utilization of interest rate swaps, interest rate caps and foreign exchange contracts. The principal objective of such financial instruments is to minimize the risks and/or costs associated with the Company's operating and financial structure and to manage its exposure to interest rates and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143"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as well as their classification on the Consolidated Balance Sheets as of December 31, 2014 and 2013 ($ in thousands):</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940" w:type="dxa"/>
            <w:vAlign w:val="bottom"/>
          </w:tcPr>
          <w:p>
            <w:pPr>
              <w:spacing w:after="0"/>
              <w:rPr>
                <w:sz w:val="16"/>
                <w:szCs w:val="16"/>
                <w:color w:val="auto"/>
              </w:rPr>
            </w:pPr>
          </w:p>
        </w:tc>
        <w:tc>
          <w:tcPr>
            <w:tcW w:w="3560" w:type="dxa"/>
            <w:vAlign w:val="bottom"/>
            <w:tcBorders>
              <w:bottom w:val="single" w:sz="8" w:color="auto"/>
            </w:tcBorders>
            <w:gridSpan w:val="6"/>
          </w:tcPr>
          <w:p>
            <w:pPr>
              <w:ind w:left="1200"/>
              <w:spacing w:after="0"/>
              <w:rPr>
                <w:sz w:val="20"/>
                <w:szCs w:val="20"/>
                <w:color w:val="auto"/>
              </w:rPr>
            </w:pPr>
            <w:r>
              <w:rPr>
                <w:rFonts w:ascii="Times New Roman" w:cs="Times New Roman" w:eastAsia="Times New Roman" w:hAnsi="Times New Roman"/>
                <w:sz w:val="14"/>
                <w:szCs w:val="14"/>
                <w:b w:val="1"/>
                <w:bCs w:val="1"/>
                <w:color w:val="auto"/>
              </w:rPr>
              <w:t>Derivative Assets as of December 31,</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tcBorders>
              <w:bottom w:val="single" w:sz="8" w:color="auto"/>
            </w:tcBorders>
            <w:gridSpan w:val="7"/>
          </w:tcPr>
          <w:p>
            <w:pPr>
              <w:ind w:left="1060"/>
              <w:spacing w:after="0"/>
              <w:rPr>
                <w:sz w:val="20"/>
                <w:szCs w:val="20"/>
                <w:color w:val="auto"/>
              </w:rPr>
            </w:pPr>
            <w:r>
              <w:rPr>
                <w:rFonts w:ascii="Times New Roman" w:cs="Times New Roman" w:eastAsia="Times New Roman" w:hAnsi="Times New Roman"/>
                <w:sz w:val="14"/>
                <w:szCs w:val="14"/>
                <w:b w:val="1"/>
                <w:bCs w:val="1"/>
                <w:color w:val="auto"/>
              </w:rPr>
              <w:t>Derivative Liabilities as of December 31,</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40" w:type="dxa"/>
            <w:vAlign w:val="bottom"/>
          </w:tcPr>
          <w:p>
            <w:pPr>
              <w:spacing w:after="0"/>
              <w:rPr>
                <w:sz w:val="22"/>
                <w:szCs w:val="22"/>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380" w:type="dxa"/>
            <w:vAlign w:val="bottom"/>
            <w:tcBorders>
              <w:top w:val="single" w:sz="8" w:color="auto"/>
            </w:tcBorders>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1120" w:type="dxa"/>
            <w:vAlign w:val="bottom"/>
            <w:tcBorders>
              <w:top w:val="single" w:sz="8" w:color="auto"/>
            </w:tcBorders>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1340" w:type="dxa"/>
            <w:vAlign w:val="bottom"/>
            <w:tcBorders>
              <w:top w:val="single" w:sz="8" w:color="auto"/>
            </w:tcBorders>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1340" w:type="dxa"/>
            <w:vAlign w:val="bottom"/>
            <w:tcBorders>
              <w:top w:val="single" w:sz="8" w:color="auto"/>
            </w:tcBorders>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19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69"/>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in Hedging Relationships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cap</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9,107</w:t>
            </w: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9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10,150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in Hedging Relationships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332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cap</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4,775</w:t>
            </w:r>
          </w:p>
        </w:tc>
        <w:tc>
          <w:tcPr>
            <w:tcW w:w="120" w:type="dxa"/>
            <w:vAlign w:val="bottom"/>
          </w:tcPr>
          <w:p>
            <w:pPr>
              <w:spacing w:after="0"/>
              <w:rPr>
                <w:sz w:val="21"/>
                <w:szCs w:val="21"/>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9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6,309</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tables below present the effect of the Company's derivative financial instruments on the Consolidated Statements of Operations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(Loss) for the years ended December 31, 2014, 2013 and 2012 ($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94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4"/>
          </w:tcPr>
          <w:p>
            <w:pPr>
              <w:jc w:val="center"/>
              <w:ind w:right="271"/>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9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80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3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00" w:type="dxa"/>
            <w:vAlign w:val="bottom"/>
          </w:tcPr>
          <w:p>
            <w:pPr>
              <w:spacing w:after="0"/>
              <w:rPr>
                <w:sz w:val="12"/>
                <w:szCs w:val="12"/>
                <w:color w:val="auto"/>
              </w:rPr>
            </w:pPr>
          </w:p>
        </w:tc>
        <w:tc>
          <w:tcPr>
            <w:tcW w:w="19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Accumulated</w:t>
            </w:r>
          </w:p>
        </w:tc>
        <w:tc>
          <w:tcPr>
            <w:tcW w:w="19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80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 into</w:t>
            </w:r>
          </w:p>
        </w:tc>
        <w:tc>
          <w:tcPr>
            <w:tcW w:w="0" w:type="dxa"/>
            <w:vAlign w:val="bottom"/>
          </w:tcPr>
          <w:p>
            <w:pPr>
              <w:spacing w:after="0"/>
              <w:rPr>
                <w:sz w:val="1"/>
                <w:szCs w:val="1"/>
                <w:color w:val="auto"/>
              </w:rPr>
            </w:pPr>
          </w:p>
        </w:tc>
      </w:tr>
      <w:tr>
        <w:trPr>
          <w:trHeight w:val="149"/>
        </w:trPr>
        <w:tc>
          <w:tcPr>
            <w:tcW w:w="3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in Hedging Relationships</w:t>
            </w:r>
          </w:p>
        </w:tc>
        <w:tc>
          <w:tcPr>
            <w:tcW w:w="2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19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 into</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51"/>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95"/>
        </w:trPr>
        <w:tc>
          <w:tcPr>
            <w:tcW w:w="3300" w:type="dxa"/>
            <w:vAlign w:val="bottom"/>
            <w:vMerge w:val="continue"/>
          </w:tcPr>
          <w:p>
            <w:pPr>
              <w:spacing w:after="0"/>
              <w:rPr>
                <w:sz w:val="16"/>
                <w:szCs w:val="16"/>
                <w:color w:val="auto"/>
              </w:rPr>
            </w:pPr>
          </w:p>
        </w:tc>
        <w:tc>
          <w:tcPr>
            <w:tcW w:w="23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Recognized in Income</w:t>
            </w:r>
          </w:p>
        </w:tc>
        <w:tc>
          <w:tcPr>
            <w:tcW w:w="100" w:type="dxa"/>
            <w:vAlign w:val="bottom"/>
          </w:tcPr>
          <w:p>
            <w:pPr>
              <w:spacing w:after="0"/>
              <w:rPr>
                <w:sz w:val="16"/>
                <w:szCs w:val="16"/>
                <w:color w:val="auto"/>
              </w:rPr>
            </w:pPr>
          </w:p>
        </w:tc>
        <w:tc>
          <w:tcPr>
            <w:tcW w:w="19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(Effective Portion)</w:t>
            </w:r>
          </w:p>
        </w:tc>
        <w:tc>
          <w:tcPr>
            <w:tcW w:w="19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Earnings (Effective Portion)</w:t>
            </w: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(Ineffective Portion)</w:t>
            </w:r>
          </w:p>
        </w:tc>
        <w:tc>
          <w:tcPr>
            <w:tcW w:w="0" w:type="dxa"/>
            <w:vAlign w:val="bottom"/>
          </w:tcPr>
          <w:p>
            <w:pPr>
              <w:spacing w:after="0"/>
              <w:rPr>
                <w:sz w:val="1"/>
                <w:szCs w:val="1"/>
                <w:color w:val="auto"/>
              </w:rPr>
            </w:pPr>
          </w:p>
        </w:tc>
      </w:tr>
      <w:tr>
        <w:trPr>
          <w:trHeight w:val="249"/>
        </w:trPr>
        <w:tc>
          <w:tcPr>
            <w:tcW w:w="33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tc>
        <w:tc>
          <w:tcPr>
            <w:tcW w:w="2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cap</w:t>
            </w:r>
          </w:p>
        </w:tc>
        <w:tc>
          <w:tcPr>
            <w:tcW w:w="2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2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cap</w:t>
            </w: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0" w:type="dxa"/>
            <w:vAlign w:val="bottom"/>
          </w:tcPr>
          <w:p>
            <w:pPr>
              <w:spacing w:after="0"/>
              <w:rPr>
                <w:sz w:val="1"/>
                <w:szCs w:val="1"/>
                <w:color w:val="auto"/>
              </w:rPr>
            </w:pPr>
          </w:p>
        </w:tc>
      </w:tr>
      <w:tr>
        <w:trPr>
          <w:trHeight w:val="225"/>
        </w:trPr>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cap</w:t>
            </w:r>
          </w:p>
        </w:tc>
        <w:tc>
          <w:tcPr>
            <w:tcW w:w="2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Earnings from equity method</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Earnings from equity method</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3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Earnings from equity method</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1"/>
        </w:trPr>
        <w:tc>
          <w:tcPr>
            <w:tcW w:w="330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2013</w:t>
            </w: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cap</w:t>
            </w: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3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Earnings from equity method</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1"/>
        </w:trPr>
        <w:tc>
          <w:tcPr>
            <w:tcW w:w="330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2012</w:t>
            </w: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576"/>
        </w:trPr>
        <w:tc>
          <w:tcPr>
            <w:tcW w:w="3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9"/>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Amount of Gain or (Loss) Recognized in Income</w:t>
            </w:r>
          </w:p>
        </w:tc>
        <w:tc>
          <w:tcPr>
            <w:tcW w:w="0" w:type="dxa"/>
            <w:vAlign w:val="bottom"/>
          </w:tcPr>
          <w:p>
            <w:pPr>
              <w:spacing w:after="0"/>
              <w:rPr>
                <w:sz w:val="1"/>
                <w:szCs w:val="1"/>
                <w:color w:val="auto"/>
              </w:rPr>
            </w:pPr>
          </w:p>
        </w:tc>
      </w:tr>
      <w:tr>
        <w:trPr>
          <w:trHeight w:val="201"/>
        </w:trPr>
        <w:tc>
          <w:tcPr>
            <w:tcW w:w="33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Location of Gain or</w:t>
            </w:r>
          </w:p>
        </w:tc>
        <w:tc>
          <w:tcPr>
            <w:tcW w:w="2900" w:type="dxa"/>
            <w:vAlign w:val="bottom"/>
            <w:gridSpan w:val="8"/>
          </w:tcPr>
          <w:p>
            <w:pPr>
              <w:jc w:val="center"/>
              <w:ind w:left="56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gridSpan w:val="3"/>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(Loss) Recognized in</w:t>
            </w:r>
          </w:p>
        </w:tc>
        <w:tc>
          <w:tcPr>
            <w:tcW w:w="24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in Hedging Relationships</w:t>
            </w:r>
          </w:p>
        </w:tc>
        <w:tc>
          <w:tcPr>
            <w:tcW w:w="2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240" w:type="dxa"/>
            <w:vAlign w:val="bottom"/>
            <w:gridSpan w:val="2"/>
          </w:tcPr>
          <w:p>
            <w:pPr>
              <w:spacing w:after="0"/>
              <w:rPr>
                <w:sz w:val="5"/>
                <w:szCs w:val="5"/>
                <w:color w:val="auto"/>
              </w:rPr>
            </w:pPr>
          </w:p>
        </w:tc>
        <w:tc>
          <w:tcPr>
            <w:tcW w:w="102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5"/>
                <w:szCs w:val="5"/>
                <w:color w:val="auto"/>
              </w:rPr>
            </w:pPr>
          </w:p>
        </w:tc>
        <w:tc>
          <w:tcPr>
            <w:tcW w:w="820" w:type="dxa"/>
            <w:vAlign w:val="bottom"/>
            <w:gridSpan w:val="2"/>
            <w:vMerge w:val="restart"/>
          </w:tcPr>
          <w:p>
            <w:pPr>
              <w:jc w:val="center"/>
              <w:ind w:left="3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5"/>
        </w:trPr>
        <w:tc>
          <w:tcPr>
            <w:tcW w:w="330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cap</w:t>
            </w:r>
          </w:p>
        </w:tc>
        <w:tc>
          <w:tcPr>
            <w:tcW w:w="2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97"/>
              </w:rPr>
              <w:t>Other Expense</w:t>
            </w: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97"/>
              </w:rPr>
              <w:t>Other Expense</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7,257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Foreign Exchange Contracts</w:t>
      </w:r>
      <w:r>
        <w:rPr>
          <w:rFonts w:ascii="Times New Roman" w:cs="Times New Roman" w:eastAsia="Times New Roman" w:hAnsi="Times New Roman"/>
          <w:sz w:val="18"/>
          <w:szCs w:val="18"/>
          <w:color w:val="auto"/>
        </w:rPr>
        <w:t>—The Company is exposed to fluctuations in foreign exchange rates on investments it holds in foreign entities.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uses foreign exchange contracts to hedge its exposure to changes in foreign exchange rates on its foreign investments. Foreign exchange contracts involve fixing the U.S. dollar ("USD") to the respective foreign currency exchange rate for delivery of a specified amount of foreign currency on a specified date. The foreign exchange contracts are typically cash settled in USD for their fair value at or close to their settlement date.</w:t>
      </w:r>
    </w:p>
    <w:p>
      <w:pPr>
        <w:spacing w:after="0" w:line="14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 Comprehensive Income into earnings when the hedged foreign entity is either sold or substantially liquidated. In January 2014, the Company entered into a foreign exchange contract to hedge its exposure in a subsidiary whose functional currency is Indian rupee ("INR"). The foreign exchange contract replaced an existing contract which matured in January 2014. As of December 31, 2014, the Company had the following outstanding foreign currency derivatives that were used to hedge its net investments in foreign operations that were designated ($ in thousands):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Type</w:t>
            </w: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40" w:type="dxa"/>
            <w:vAlign w:val="bottom"/>
          </w:tcPr>
          <w:p>
            <w:pPr>
              <w:spacing w:after="0"/>
              <w:rPr>
                <w:sz w:val="13"/>
                <w:szCs w:val="13"/>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3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95"/>
        </w:trPr>
        <w:tc>
          <w:tcPr>
            <w:tcW w:w="3900" w:type="dxa"/>
            <w:vAlign w:val="bottom"/>
            <w:vMerge w:val="continue"/>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(USD Equivalent)</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Sells INR/Buys USD Forward</w:t>
            </w:r>
          </w:p>
        </w:tc>
        <w:tc>
          <w:tcPr>
            <w:tcW w:w="2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456,000</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6,534</w:t>
            </w:r>
          </w:p>
        </w:tc>
        <w:tc>
          <w:tcPr>
            <w:tcW w:w="10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June 2015</w:t>
            </w:r>
          </w:p>
        </w:tc>
        <w:tc>
          <w:tcPr>
            <w:tcW w:w="0" w:type="dxa"/>
            <w:vAlign w:val="bottom"/>
          </w:tcPr>
          <w:p>
            <w:pPr>
              <w:spacing w:after="0"/>
              <w:rPr>
                <w:sz w:val="1"/>
                <w:szCs w:val="1"/>
                <w:color w:val="auto"/>
              </w:rPr>
            </w:pPr>
          </w:p>
        </w:tc>
      </w:tr>
      <w:tr>
        <w:trPr>
          <w:trHeight w:val="635"/>
        </w:trPr>
        <w:tc>
          <w:tcPr>
            <w:tcW w:w="3900" w:type="dxa"/>
            <w:vAlign w:val="bottom"/>
          </w:tcPr>
          <w:p>
            <w:pPr>
              <w:spacing w:after="0"/>
              <w:rPr>
                <w:sz w:val="24"/>
                <w:szCs w:val="24"/>
                <w:color w:val="auto"/>
              </w:rPr>
            </w:pPr>
          </w:p>
        </w:tc>
        <w:tc>
          <w:tcPr>
            <w:tcW w:w="2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derivatives not designated as net investment hedges, the changes in the fair value of the derivatives are reported in the Company's Consolidated Statements of Operations within "Other Expense." As of December 31, 2014, the Company had the following outstanding foreign currency derivatives that were used to hedge its net investments in foreign operations that were not designated ($ in thousands):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Type</w:t>
            </w:r>
          </w:p>
        </w:tc>
        <w:tc>
          <w:tcPr>
            <w:tcW w:w="100" w:type="dxa"/>
            <w:vAlign w:val="bottom"/>
            <w:vMerge w:val="restart"/>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40" w:type="dxa"/>
            <w:vAlign w:val="bottom"/>
          </w:tcPr>
          <w:p>
            <w:pPr>
              <w:spacing w:after="0"/>
              <w:rPr>
                <w:sz w:val="13"/>
                <w:szCs w:val="13"/>
                <w:color w:val="auto"/>
              </w:rPr>
            </w:pPr>
          </w:p>
        </w:tc>
        <w:tc>
          <w:tcPr>
            <w:tcW w:w="16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3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95"/>
        </w:trPr>
        <w:tc>
          <w:tcPr>
            <w:tcW w:w="6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(USD Equivalent)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Sells euro ("EUR")/Buys USD Forward</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18,800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23,807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January 2015</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Sells pound sterling ("GBP")/Buys USD Forward</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Pr>
          <w:p>
            <w:pPr>
              <w:spacing w:after="0"/>
              <w:rPr>
                <w:sz w:val="21"/>
                <w:szCs w:val="21"/>
                <w:color w:val="auto"/>
              </w:rPr>
            </w:pPr>
          </w:p>
        </w:tc>
        <w:tc>
          <w:tcPr>
            <w:tcW w:w="13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January 2015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Sells Canadian dollar ("CAD")/Buys USD Forward</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1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8,933</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January 2015</w:t>
            </w:r>
          </w:p>
        </w:tc>
        <w:tc>
          <w:tcPr>
            <w:tcW w:w="0" w:type="dxa"/>
            <w:vAlign w:val="bottom"/>
          </w:tcPr>
          <w:p>
            <w:pPr>
              <w:spacing w:after="0"/>
              <w:rPr>
                <w:sz w:val="1"/>
                <w:szCs w:val="1"/>
                <w:color w:val="auto"/>
              </w:rPr>
            </w:pPr>
          </w:p>
        </w:tc>
      </w:tr>
      <w:tr>
        <w:trPr>
          <w:trHeight w:val="27"/>
        </w:trPr>
        <w:tc>
          <w:tcPr>
            <w:tcW w:w="6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marks its foreign investments each quarter based on current exchange rates and records the gain or loss through "Other expense" on its Consolidated Statements of Operations for loan investments or "Accumulated other comprehensive income (loss)," on its Consolidated Balance Sheets for net investments in foreign subsidiaries. The Company recorded net gains (losses) related to foreign investments of $0.1 million, $(2.0) million and $(0.7) million during the years ended December 31, 2014, 2013 and 2012, respectively, in its Consolidated Statements of Operations.</w:t>
      </w:r>
    </w:p>
    <w:p>
      <w:pPr>
        <w:spacing w:after="0" w:line="136"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Interest Rate Hedges</w:t>
      </w:r>
      <w:r>
        <w:rPr>
          <w:rFonts w:ascii="Times New Roman" w:cs="Times New Roman" w:eastAsia="Times New Roman" w:hAnsi="Times New Roman"/>
          <w:sz w:val="18"/>
          <w:szCs w:val="18"/>
          <w:color w:val="auto"/>
        </w:rPr>
        <w:t>—For derivatives designated as interest rate hedges, the effective portion of changes in the fair value of the derivatives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in Accumulated Other Comprehensive Income (Loss). The ineffective portion of the change in fair value of the derivatives is recognized directly in earnings. In October 2012, the Company entered into an interest rate swap to convert its variable rate debt to fixed rate on a $28.0 million secured term loan maturing in 2019. As of December 31, 2014, the Company had the following outstanding interest rate swap that was used to hedge its variable rate debt that was designated ($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Type</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Variable Rate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95"/>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27,456</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LIBOR + 2.00%</w:t>
            </w:r>
          </w:p>
        </w:tc>
        <w:tc>
          <w:tcPr>
            <w:tcW w:w="160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October 2012</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2019</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For derivatives not designated as interest rate hedges, the changes in the fair value of the derivatives are reported in the Company's Consolidated Statements of Operations within "Other Expense." In August 2013, the Company entered into an interest rate cap agreement to reduce exposure to expected increases in future interest rates and the resulting payments associated with variable interest rate debt. In June 2014, in connection with the full repayment and termination of the Company's February 2013 Secured Credit Facility referenced in Note 8, the Company realized amounts in earnings from other comprehensive income (loss) as a portion of a hedge related to the Company's variable rate debt was no longer expected to be highly effective. The amount realized was a loss of $3.6 million recorded as a component of "Other expense" in the Company's Consolidated Statements of Operations. As of December 31, 2014, the Company had the following outstanding interest rate cap that was used to hedge its variable rate debt that was not designated ($ in thousands):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Type</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Variable Rate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95"/>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cap</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LIBOR</w:t>
            </w:r>
          </w:p>
        </w:tc>
        <w:tc>
          <w:tcPr>
            <w:tcW w:w="160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July 2014</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2017</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Over the next 12 months, the Company expects that $0.1 million related to terminated cash flow hedges will be reclassified from "Accumulated other comprehensive income (loss)" into interest expense and $0.7 million relating to other cash flow hedges will be reclassified from "Accumulated other comprehensive income (loss)" into earnings.</w:t>
      </w:r>
    </w:p>
    <w:p>
      <w:pPr>
        <w:spacing w:after="0" w:line="17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Credit Risk-Related Contingent Features</w:t>
      </w:r>
      <w:r>
        <w:rPr>
          <w:rFonts w:ascii="Times New Roman" w:cs="Times New Roman" w:eastAsia="Times New Roman" w:hAnsi="Times New Roman"/>
          <w:sz w:val="18"/>
          <w:szCs w:val="18"/>
          <w:color w:val="auto"/>
        </w:rPr>
        <w:t>—The Company has agreements with each of its derivative counterparties that contain a provision where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either defaults or is capable of being declared in default on any of its indebtedness, then the Company could also be declared in default on its derivative obligations.</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its foreign currency derivatives, as of December 31, 2014 and 2013, the Company has posted collateral of $3.0 million and $7.2 million, respectively, which is included in "Restricted cash" on the Company's Consolidated Balance Sheets.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18"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11—Equity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—The Company had the following series of Cumulative Redeemable and Convertible Perpetual Preferred Stock outstanding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and 2013:</w:t>
      </w:r>
    </w:p>
    <w:p>
      <w:pPr>
        <w:spacing w:after="0" w:line="134"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 Preferential Cash</w:t>
            </w: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Dividends(1)(2)</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Shares Issued and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156"/>
              <w:spacing w:after="0" w:line="151" w:lineRule="exact"/>
              <w:rPr>
                <w:sz w:val="20"/>
                <w:szCs w:val="20"/>
                <w:color w:val="auto"/>
              </w:rPr>
            </w:pPr>
            <w:r>
              <w:rPr>
                <w:rFonts w:ascii="Times New Roman" w:cs="Times New Roman" w:eastAsia="Times New Roman" w:hAnsi="Times New Roman"/>
                <w:sz w:val="14"/>
                <w:szCs w:val="14"/>
                <w:b w:val="1"/>
                <w:bCs w:val="1"/>
                <w:color w:val="auto"/>
              </w:rPr>
              <w:t>Equivalent to</w:t>
            </w:r>
          </w:p>
        </w:tc>
        <w:tc>
          <w:tcPr>
            <w:tcW w:w="0" w:type="dxa"/>
            <w:vAlign w:val="bottom"/>
          </w:tcPr>
          <w:p>
            <w:pPr>
              <w:spacing w:after="0"/>
              <w:rPr>
                <w:sz w:val="1"/>
                <w:szCs w:val="1"/>
                <w:color w:val="auto"/>
              </w:rPr>
            </w:pPr>
          </w:p>
        </w:tc>
      </w:tr>
      <w:tr>
        <w:trPr>
          <w:trHeight w:val="149"/>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20" w:type="dxa"/>
            <w:vAlign w:val="bottom"/>
            <w:vMerge w:val="restart"/>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Liquidation Preference</w:t>
            </w:r>
          </w:p>
        </w:tc>
        <w:tc>
          <w:tcPr>
            <w:tcW w:w="12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Rate per Annum</w:t>
            </w:r>
          </w:p>
        </w:tc>
        <w:tc>
          <w:tcPr>
            <w:tcW w:w="1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Fixed Annual</w:t>
            </w:r>
          </w:p>
        </w:tc>
        <w:tc>
          <w:tcPr>
            <w:tcW w:w="0" w:type="dxa"/>
            <w:vAlign w:val="bottom"/>
          </w:tcPr>
          <w:p>
            <w:pPr>
              <w:spacing w:after="0"/>
              <w:rPr>
                <w:sz w:val="1"/>
                <w:szCs w:val="1"/>
                <w:color w:val="auto"/>
              </w:rPr>
            </w:pPr>
          </w:p>
        </w:tc>
      </w:tr>
      <w:tr>
        <w:trPr>
          <w:trHeight w:val="195"/>
        </w:trPr>
        <w:tc>
          <w:tcPr>
            <w:tcW w:w="15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Rate (per share)</w:t>
            </w:r>
          </w:p>
        </w:tc>
        <w:tc>
          <w:tcPr>
            <w:tcW w:w="0" w:type="dxa"/>
            <w:vAlign w:val="bottom"/>
          </w:tcPr>
          <w:p>
            <w:pPr>
              <w:spacing w:after="0"/>
              <w:rPr>
                <w:sz w:val="1"/>
                <w:szCs w:val="1"/>
                <w:color w:val="auto"/>
              </w:rPr>
            </w:pPr>
          </w:p>
        </w:tc>
      </w:tr>
      <w:tr>
        <w:trPr>
          <w:trHeight w:val="242"/>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D</w:t>
            </w: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E</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w:t>
            </w: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G</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w:t>
            </w: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jc w:val="both"/>
        <w:ind w:left="420" w:hanging="412"/>
        <w:spacing w:after="0" w:line="246" w:lineRule="auto"/>
        <w:tabs>
          <w:tab w:leader="none" w:pos="4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shares of the Series D, E, F, G, I and J preferred stock are entitled to receive dividends, when and as declared by the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Board of Directors of the Company for the payment of dividends that is not more than 30 nor less than 10 days prior to the dividend payment date.</w:t>
      </w:r>
    </w:p>
    <w:p>
      <w:pPr>
        <w:spacing w:after="0" w:line="163" w:lineRule="exact"/>
        <w:rPr>
          <w:rFonts w:ascii="Times New Roman" w:cs="Times New Roman" w:eastAsia="Times New Roman" w:hAnsi="Times New Roman"/>
          <w:sz w:val="14"/>
          <w:szCs w:val="14"/>
          <w:color w:val="auto"/>
        </w:rPr>
      </w:pPr>
    </w:p>
    <w:p>
      <w:pPr>
        <w:jc w:val="both"/>
        <w:ind w:left="420" w:hanging="412"/>
        <w:spacing w:after="0" w:line="247" w:lineRule="auto"/>
        <w:tabs>
          <w:tab w:leader="none" w:pos="4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declared and paid dividends of $8.0 million, $11.0 million, $7.8 million, $6.1 million and $9.4 million on its Series D, E, F, G and I Cumulative Redeemable Preferred Stock during the years ended December 31, 2014 and 2013. The Company declared and paid dividends of $9.0 million and $6.7 million on its Series J Convertible Perpetual Preferred Stock during the years ended December 31, 2014 and 2013, respectively. All of the dividends qualified as return of capital for tax reporting purposes. There are no dividend arrearages on any of the preferred shares currently outstanding.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Performance Unit Program</w:t>
      </w:r>
    </w:p>
    <w:p>
      <w:pPr>
        <w:spacing w:after="0" w:line="28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May 2002, the Company's shareholders approved the iStar Financial High Performance Unit ("HPU") Program. The program entitled employee participants ("HPU Holders") to receive distributions if the total rate of return on the Company's Common Stock (share price appreciation plus dividends) exceeded certain performance thresholds over a specified valuation period. The Company established seven HPU plans that had valuation periods ending between 2002 and 2008 and the Company has not established any new HPU plans since 2005. HPU Holders purchased interests in the High Performance Common Stock for an aggregate initial purchase price of $9.8 million. The remaining four plans that had valuation periods which ended in 2005, 2006, 2007 and 2008, did not meet their required performance thresholds, none of the plans were funded and the Company redeemed the participants' units.</w:t>
      </w:r>
    </w:p>
    <w:p>
      <w:pPr>
        <w:spacing w:after="0" w:line="24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2002, 2003 and 2004 plans all exceeded their performance thresholds and are entitled to receive distributions equivalent to the amount of dividends payable on 819,254 shares, 987,149 shares and 1,031,875 shares, respectively, of the Company's Common Stock as and when such dividends are paid on the Company's Common Stock. Each of these three plans has 5,000 shares of High Performance Common Stock associated with it, which is recorded as a separate class of stock within shareholders' equity on the Company's Consolidated Balance Sheets. High Performance Common Stock carries 0.25 votes per share. Net income allocable to common shareholders is reduced by the HPU holders' share of earnings.</w:t>
      </w:r>
    </w:p>
    <w:p>
      <w:pPr>
        <w:spacing w:after="0" w:line="9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—In order to maintain its election to qualify as a REIT, the Company must currently distribute, at a minimum, an amount equal to 90%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taxable income, excluding net capital gains, and must distribute 100% of its taxable income (including net capital gains) to avoid paying corporate federal income taxes. The Company has recorded net operating losses and may record net operating losses in the future, which may reduce its taxable income in future periods and lower or eliminate entirely the Company's obligation to pay dividends for such periods in order to maintain its REIT qualification. As of December 31, 2013, the Company had $759.8 million of net operating loss carryforwards at the corporate REIT level that can generally be used to offset both ordinary and capital taxable income in future years and will expire through 2033 if unused. The amount of net operating loss carryforwards as of December 31, 2014 will be determined upon finalization of the Company's 2014 tax return. Because taxable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18"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differs from 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Company's 2012 Tranche A-2 Facility permits the Company to distribute 100% of its REIT taxable income on an annual basis, for so long as the Company maintains its qualification as a REIT. The 2012 Tranche A-2 Facility restricts the Company from paying any common dividends if it ceases to qualify as a REIT. The Company did not declare or pay any Common Stock dividends for the years ended December 31, 2014 and 2013.</w:t>
      </w:r>
    </w:p>
    <w:p>
      <w:pPr>
        <w:spacing w:after="0" w:line="18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Stock Repurchase Programs</w:t>
      </w:r>
      <w:r>
        <w:rPr>
          <w:rFonts w:ascii="Times New Roman" w:cs="Times New Roman" w:eastAsia="Times New Roman" w:hAnsi="Times New Roman"/>
          <w:sz w:val="18"/>
          <w:szCs w:val="18"/>
          <w:color w:val="auto"/>
        </w:rPr>
        <w:t>—In September 2013, the Company's Board of Directors approved an increase in the repurchase limit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previously approved stock repurchase program to $50.0 million. The program authorizes the repurchase of Common Stock from time to time in open market and privately negotiated purchases, including pursuant to one or more trading plans. During the year ended December 31, 2013, the Company repurchased 1.7 million shares of its outstanding Common Stock for $21.0 million, at an average cost of $12.35 per share. There were no stock repurchases during the year ended December 31, 2014. As of December 31, 2014, the Company had up to $29.0 million of Common Stock available to repurchase under its Board authorized stock repurchase program.</w:t>
      </w:r>
    </w:p>
    <w:p>
      <w:pPr>
        <w:spacing w:after="0" w:line="183"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Accumulated Other Comprehensive Income (Loss)</w:t>
      </w:r>
      <w:r>
        <w:rPr>
          <w:rFonts w:ascii="Times New Roman" w:cs="Times New Roman" w:eastAsia="Times New Roman" w:hAnsi="Times New Roman"/>
          <w:sz w:val="18"/>
          <w:szCs w:val="18"/>
          <w:color w:val="auto"/>
        </w:rPr>
        <w:t>—"Accumulated other comprehensive income (loss)" reflected in the Company's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is comprised of the following ($ in thousands):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available-for-sale securities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662</w:t>
            </w:r>
          </w:p>
        </w:tc>
      </w:tr>
      <w:tr>
        <w:trPr>
          <w:trHeight w:val="27"/>
        </w:trPr>
        <w:tc>
          <w:tcPr>
            <w:tcW w:w="7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on cumulative translation adjustment</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r>
      <w:tr>
        <w:trPr>
          <w:trHeight w:val="25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r>
      <w:tr>
        <w:trPr>
          <w:trHeight w:val="20"/>
        </w:trPr>
        <w:tc>
          <w:tcPr>
            <w:tcW w:w="7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12—Stock-Based Compensation Plans and Employee Benefits</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May 22, 2014, the Company's shareholders approved the 2013 Performance Incentive Plan ("iPIP") which is designed to provide, primarily to senior executives and select professionals engaged in the Company's investment activities, long-term compensation which has a direct relationship to the realized returns on investments included in the plan. In 2014, the Company granted 83 iPIP points for the initial 2013-2014 investment pool. All decisions regarding the granting of points under iPIP are made at the discretion of the Board of Directors or a committee of the Board of Directors. The fair value of points are determined using a model that forecasts the Company's projected investment performance. The payout of iPIP is based on the amount of invested capital, investment performance and the Company's total shareholder return, or TSR, as compared to the average TSR of the NAREIT All REIT Index and the Russell 2000 Index during the relevant performance period for the investments in each pool. The Company, as well as any companies not included in each index at the beginning and end of the performance period, are excluded from calculation of the performance of such index. Point holders will not receive a distribution until the Company has received a full return of its capital plus a preferred return distribution, which is based on a preferred return hurdle rate of 9% per annum. Subject to certain vesting and employment requirements, point holders will be paid a combination of cash and stock. iPIP is a liability-classified award which will be remeasured each reporting period at fair value until the awards are settled. Compensation costs relating to iPIP are included in "General and administrative" on the Company's Consolidated Statements of Operations.</w:t>
      </w:r>
    </w:p>
    <w:p>
      <w:pPr>
        <w:spacing w:after="0" w:line="28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Company's shareholders approved the Company's 2009 Long-Term Incentive Plan (the "2009 LTIP") which is designed to provide incentive compensation for officers, key employees, directors and advisors of the Company. The 2009 LTIP provides for awards of stock options, shares of restricted stock, phantom shares, restricted stock units, dividend equivalent rights and other share-based performance awards. A maximum of 8,000,000 shares of Common Stock may be awarded under the 2009 LTIP, plus up to an additional 500,000 shares to the extent that a corresponding number of equity awards previously granted under the Company's 1996 Long-Term Incentive Plan expire or are canceled or forfeited. All awards under the 2009 LTIP are made at the discretion of the Board of Directors or a committee of the Board of Directors.</w:t>
      </w:r>
    </w:p>
    <w:p>
      <w:pPr>
        <w:spacing w:after="0" w:line="24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2006 Long-Term Incentive Plan (the "2006 LTIP") is designed to provide equity-based incentive compensation for officers, key employees, directors, consultants and advisors of the Company. The 2006 LTIP provides for awards of stock options, shares of restricted stock, phantom shares, dividend equivalent rights and other share-based performance awards. A maximum of 4,550,000 shares of Common Stock may be subject to awards under the 2006 LTIP provided that the number of shares of Common Stock reserved for grants of options designated as incentive stock options is 1.0 million, subject to certain anti-</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18"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dilution provisions in the 2006 LTIP. All awards under this Plan are at the discretion of the Board of Directors or a committee of the Board of Directors.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2014, an aggregate of 4.0 million shares remain available for issuance pursuant to future awards under the Company's 2006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2009 Long-Term Incentive Plans.</w:t>
      </w:r>
    </w:p>
    <w:p>
      <w:pPr>
        <w:spacing w:after="0" w:line="30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2007 Incentive Compensation Plan ("Incentive Plan") was approved and adopted by the Board of Directors in 2007 in order to establish performance goals for selected officers and other key employees and to determine bonuses that will be awarded to those officers and other key employees based on the extent to which they achieve those performance goals. Equity-based awards may be made under the Incentive Plan, subject to the terms of the Company's equity incentive plans.</w:t>
      </w:r>
    </w:p>
    <w:p>
      <w:pPr>
        <w:spacing w:after="0" w:line="95"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Company recorded stock-based compensation expense of $13.3 million, $19.3 million and $15.3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ended December 31, 2014, 2013 and 2012 in "General and administrative" on the Company's Consolidated Statements of Operations. As of December 31, 2014, there was $2.2 million of total unrecognized compensation cost related to all unvested restricted stock units that are expected to be recognized over a weighted average remaining vesting/service period of 1.42 years. As of December 31, 2014, approximately $8.7 million of stock-based compensation was included in "Accounts payable, accrued expenses and other liabilities" on the Company's Consolidated Balance Sheets.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4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Changes in non-vested restricted stock units, or Units, during the year ended December 31, 2014 were as follows ($ in thousands, except per share amounts):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20" w:type="dxa"/>
            <w:vAlign w:val="bottom"/>
          </w:tcPr>
          <w:p>
            <w:pPr>
              <w:spacing w:after="0"/>
              <w:rPr>
                <w:sz w:val="13"/>
                <w:szCs w:val="13"/>
                <w:color w:val="auto"/>
              </w:rPr>
            </w:pPr>
          </w:p>
        </w:tc>
        <w:tc>
          <w:tcPr>
            <w:tcW w:w="1380" w:type="dxa"/>
            <w:vAlign w:val="bottom"/>
            <w:vMerge w:val="restart"/>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7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320" w:type="dxa"/>
            <w:vAlign w:val="bottom"/>
          </w:tcPr>
          <w:p>
            <w:pPr>
              <w:spacing w:after="0"/>
              <w:rPr>
                <w:sz w:val="12"/>
                <w:szCs w:val="12"/>
                <w:color w:val="auto"/>
              </w:rPr>
            </w:pPr>
          </w:p>
        </w:tc>
        <w:tc>
          <w:tcPr>
            <w:tcW w:w="1380" w:type="dxa"/>
            <w:vAlign w:val="bottom"/>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December 31, 2013</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2,779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39,659</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December 31, 2014</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4,367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total fair value of Units vested during the years ended December 31, 2014, 2013 and 2012 was $39.2 million, $31.6 million and $29.1 million, respectively.</w:t>
      </w:r>
    </w:p>
    <w:p>
      <w:pPr>
        <w:spacing w:after="0" w:line="77"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2014 Activity</w:t>
      </w:r>
      <w:r>
        <w:rPr>
          <w:rFonts w:ascii="Times New Roman" w:cs="Times New Roman" w:eastAsia="Times New Roman" w:hAnsi="Times New Roman"/>
          <w:sz w:val="18"/>
          <w:szCs w:val="18"/>
          <w:color w:val="auto"/>
        </w:rPr>
        <w:t>—During the year ended December 31, 2014, the Company issued a total of 1,369,809 shares of our Common Stock to employees, net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statutory minimum required tax withholdings, upon the vesting of 2,757,427 Units that were previously granted. These vested Units were primarily comprised of the following:</w:t>
      </w:r>
    </w:p>
    <w:p>
      <w:pPr>
        <w:spacing w:after="0" w:line="134" w:lineRule="exact"/>
        <w:rPr>
          <w:sz w:val="20"/>
          <w:szCs w:val="20"/>
          <w:color w:val="auto"/>
        </w:rPr>
      </w:pPr>
    </w:p>
    <w:p>
      <w:pPr>
        <w:ind w:left="660" w:hanging="247"/>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1,696,053 service-based Units granted to certain employees in 2008 that vested in January 2014;</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 service-based Units granted to certain employees in 2011 and 2013 that vested in 2014; and</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 service-based Units granted to the Company's Chairman and Chief Executive Officer in October 2011 that vested in June 2014.</w:t>
      </w:r>
    </w:p>
    <w:p>
      <w:pPr>
        <w:spacing w:after="0" w:line="184" w:lineRule="exact"/>
        <w:rPr>
          <w:rFonts w:ascii="Times New Roman" w:cs="Times New Roman" w:eastAsia="Times New Roman" w:hAnsi="Times New Roman"/>
          <w:sz w:val="18"/>
          <w:szCs w:val="18"/>
          <w:color w:val="auto"/>
        </w:rPr>
      </w:pPr>
    </w:p>
    <w:p>
      <w:pPr>
        <w:jc w:val="both"/>
        <w:ind w:left="660" w:hanging="247"/>
        <w:spacing w:after="0" w:line="255"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381,374 of performance-based Units, granted on February 1, 2013. The Units vested based on the Company's total shareholder return, or TSR, measured over a performance period ending on the vesting date of December 31, 2014. Under the terms of these Units, vesting ranged from 0% to 200% of the target amount of the awards, depending on the Company's TSR performance relative to the NAREIT All REITs Index (one-half of the target amount of the award) and the Russell 2000 Index (one-half of the target amount of the award) during the performance period. The Company and any companies not included in the index at the beginning and end of the performance period were excluded from calculation of the performance of such index. Based on the Company's TSR performance, the Units vested in an amount equal to 195.5% of the target amount of the original awards of 195,076 Units resulting in an additional 186,298 shares granted.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18"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2014, the Company granted new stock-based compensation awards to certain employees in the form of long-term incentive awards, comprised of the following:</w:t>
      </w:r>
    </w:p>
    <w:p>
      <w:pPr>
        <w:spacing w:after="0" w:line="121" w:lineRule="exact"/>
        <w:rPr>
          <w:sz w:val="20"/>
          <w:szCs w:val="20"/>
          <w:color w:val="auto"/>
        </w:rPr>
      </w:pPr>
    </w:p>
    <w:p>
      <w:pPr>
        <w:jc w:val="both"/>
        <w:ind w:left="660" w:hanging="247"/>
        <w:spacing w:after="0" w:line="258"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10, 2014, the Company granted 67,637 service-based Units representing the right to receive an equivalent number of shares of our Common Stock (after deducting shares for minimum required statutory withholdings) if and when the Units vest. The Units will cliff vest in one installment on December 31, 2016,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As of December 31, 2014, 64,552 of such service-based Units were outstanding.</w:t>
      </w:r>
    </w:p>
    <w:p>
      <w:pPr>
        <w:spacing w:after="0" w:line="143" w:lineRule="exact"/>
        <w:rPr>
          <w:rFonts w:ascii="Times New Roman" w:cs="Times New Roman" w:eastAsia="Times New Roman" w:hAnsi="Times New Roman"/>
          <w:sz w:val="18"/>
          <w:szCs w:val="18"/>
          <w:color w:val="auto"/>
        </w:rPr>
      </w:pPr>
    </w:p>
    <w:p>
      <w:pPr>
        <w:jc w:val="both"/>
        <w:ind w:left="660" w:hanging="247"/>
        <w:spacing w:after="0" w:line="253"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10, 2014, the Company granted 51,726 target amount of performance-based Units based on the Company's TSR measured over a performance period ending on December 31, 2016, which is the date the awards cliff vest. Vesting will range from 0% to 200% of the target amount of the award, depending on the Company's TSR performance relative to the NAREIT All REITs Index (one-half of the target amount of the award) and the Russell 2000 Index (one-half of the target amount of the award) during the performance period. The Company, as well as any companies not included in each index at the beginning and end of the performance period, are excluded from calculation of the performance of such index. To the extent Units vest based on the Company's TSR performance, holders will receive an equivalent number of shares of our Common Stock (after deducting shares for minimum required statutory withholdings),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The fair values of the performance-based Units were determined by utilizing a Monte Carlo model to simulate a range of possible future stock prices for the Company's Common Stock. The assumptions used to estimate the fair value of these performance-based awards were 0.76% for risk-free interest rate and 44.84% for expected stock price volatility. As of December 31, 2014, 50,116 of such performance-based Units were outstanding.</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2014, the Company had the following additional stock-based compensation awards outstanding:</w:t>
      </w:r>
    </w:p>
    <w:p>
      <w:pPr>
        <w:spacing w:after="0" w:line="225" w:lineRule="exact"/>
        <w:rPr>
          <w:sz w:val="20"/>
          <w:szCs w:val="20"/>
          <w:color w:val="auto"/>
        </w:rPr>
      </w:pPr>
    </w:p>
    <w:p>
      <w:pPr>
        <w:jc w:val="both"/>
        <w:ind w:left="660" w:hanging="247"/>
        <w:spacing w:after="0" w:line="258"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194,582 service-based Units, granted on February 1, 2013, representing the right to receive an equivalent number of shares of the Company's Common Stock (after deducting shares for minimum required statutory withholdings) if and when the Units vest. The Units will cliff vest in one installment on February 1, 2016, three years from the grant date,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w:t>
      </w:r>
    </w:p>
    <w:p>
      <w:pPr>
        <w:spacing w:after="0" w:line="143" w:lineRule="exact"/>
        <w:rPr>
          <w:rFonts w:ascii="Times New Roman" w:cs="Times New Roman" w:eastAsia="Times New Roman" w:hAnsi="Times New Roman"/>
          <w:sz w:val="18"/>
          <w:szCs w:val="18"/>
          <w:color w:val="auto"/>
        </w:rPr>
      </w:pPr>
    </w:p>
    <w:p>
      <w:pPr>
        <w:jc w:val="both"/>
        <w:ind w:left="660" w:hanging="247"/>
        <w:spacing w:after="0" w:line="26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10,666 service-based Units granted on various dates to employees with an original vesting term of three years. Upon vesting of these units, holders will receive shares of the Company's Common Stock in the amount of the vested units, net of statutory minimum required tax withholdings. Dividends will accrue as and when dividends are declared by the Company on shares of its Common Stock, but will not be paid unless and until the Units vest and are settled.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175" w:lineRule="exact"/>
        <w:rPr>
          <w:sz w:val="20"/>
          <w:szCs w:val="20"/>
          <w:color w:val="auto"/>
        </w:rPr>
      </w:pPr>
    </w:p>
    <w:p>
      <w:pPr>
        <w:jc w:val="both"/>
        <w:ind w:left="660" w:hanging="247"/>
        <w:spacing w:after="0" w:line="26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2014, the Company granted 235,414 shares of our Common Stock to certain employees as part of annual incentive awards that included a mix of cash and equity awards. The weighted average grant date fair value per share of these awards was $14.89 and the total fair value was $3.5 million. The shares are fully-vested and 132,653 shares were issued net of statutory minimum required tax withholdings. The employees are restricted from selling these shares for up to two years from the date of grant.</w:t>
      </w:r>
    </w:p>
    <w:p>
      <w:pPr>
        <w:spacing w:after="0" w:line="136"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Directors' Awards</w:t>
      </w:r>
      <w:r>
        <w:rPr>
          <w:rFonts w:ascii="Times New Roman" w:cs="Times New Roman" w:eastAsia="Times New Roman" w:hAnsi="Times New Roman"/>
          <w:sz w:val="18"/>
          <w:szCs w:val="18"/>
          <w:color w:val="auto"/>
        </w:rPr>
        <w:t>—Non-employee directors are awarded common stock equivalents, or CSEs, or restricted shares at the time of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meeting in consideration for their services on the Company's Board of Directors. The CSEs and restricted shares generally vest at the time of the next annual shareholders meeting and pay dividends in an amount equal to the dividends paid on an equivalent number of shares of the Company's Common Stock from the date of grant, as and when dividends are paid on the Common Stock.</w:t>
      </w:r>
    </w:p>
    <w:p>
      <w:pPr>
        <w:spacing w:after="0" w:line="18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2014, the Company awarded a total of 8,602 CSEs and 39,570 restricted shares to non-employee Directors pursuant to the Company's Non-Employee Directors Deferral Plan, at a fair value per share of $14.46 at the time of grant. In addition, during the year ended December 31, 2014, the Company issued 55,076 shares of our Common Stock to a former director in settlement of previously vested CSE awards granted under the Non-Employee Directors Deferral Plan. As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18"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December 31, 2014, a total of 278,471 CSEs and restricted shares of our Common Stock granted to members of the Company's Board of Directors remained outstanding under such Plan, with an aggregate intrinsic value of $3.8 million.</w:t>
      </w:r>
    </w:p>
    <w:p>
      <w:pPr>
        <w:spacing w:after="0" w:line="15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401(k) Plan</w:t>
      </w:r>
      <w:r>
        <w:rPr>
          <w:rFonts w:ascii="Times New Roman" w:cs="Times New Roman" w:eastAsia="Times New Roman" w:hAnsi="Times New Roman"/>
          <w:sz w:val="18"/>
          <w:szCs w:val="18"/>
          <w:color w:val="auto"/>
        </w:rPr>
        <w:t>—The Company has a savings and retirement plan (the "401(k) Plan"), which is a voluntary, defined contribution plan. All employees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to participate in the 401(k) Plan following completion of three months of continuous service with the Company. Each participant may contribute on a pretax basis up to the maximum percentage of compensation and dollar amount permissible under Section 402(g) of the Internal Revenue Code not to exceed the limits of Code Sections 401(k), 404 and 415. At the discretion of the Board of Directors, the Company may make matching contributions on the participant's behalf of up to 50% of the first 10% of the participant's annual compensation. The Company made gross contributions of $0.9 million each year for the years ended December 31, 2014, 2013 and 2012.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13—Earnings Per Share</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EPS is calculated using the two-class method, which allocates earnings among common stock and participating securities to calculate EPS when an entity's capital structure includes either two or more classes of common stock or common stock and participating securities. HPU holders are current and former Company employees who purchased high performance common stock units under the Company's High Performance Unit (HPU) Program. These HPU units are treated as a separate class of common stock.</w:t>
      </w:r>
    </w:p>
    <w:p>
      <w:pPr>
        <w:spacing w:after="0" w:line="14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income (loss) from continuing operations used in the basic and diluted earnings per share calculations ($ in thousands, except for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(314,678)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sales of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89,943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86,658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63,472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dividends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08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Income (loss) from continuing operations attributable to iStar Financial Inc. and allocable to</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(34,851)</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(183,848)</w:t>
            </w:r>
          </w:p>
        </w:tc>
        <w:tc>
          <w:tcPr>
            <w:tcW w:w="12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(292,026)</w:t>
            </w:r>
          </w:p>
        </w:tc>
        <w:tc>
          <w:tcPr>
            <w:tcW w:w="0" w:type="dxa"/>
            <w:vAlign w:val="bottom"/>
          </w:tcPr>
          <w:p>
            <w:pPr>
              <w:spacing w:after="0"/>
              <w:rPr>
                <w:sz w:val="1"/>
                <w:szCs w:val="1"/>
                <w:color w:val="auto"/>
              </w:rPr>
            </w:pPr>
          </w:p>
        </w:tc>
      </w:tr>
      <w:tr>
        <w:trPr>
          <w:trHeight w:val="241"/>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shareholders, HPU holders and Participating Security Holders</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allocable to common shares: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Numerator for basic and diluted earnings per share: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continuing operations attributable to iStar Financial Inc. and allocable to</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(177,907)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(282,452)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21,515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26,363</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iStar Financial Inc. and allocable to common shareholders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(155,769)</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(272,997)</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Denominator for basic and diluted earnings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 for basic and diluted earnings per common</w:t>
            </w:r>
          </w:p>
        </w:tc>
        <w:tc>
          <w:tcPr>
            <w:tcW w:w="340" w:type="dxa"/>
            <w:vAlign w:val="bottom"/>
          </w:tcPr>
          <w:p>
            <w:pPr>
              <w:spacing w:after="0"/>
              <w:rPr>
                <w:sz w:val="19"/>
                <w:szCs w:val="19"/>
                <w:color w:val="auto"/>
              </w:rPr>
            </w:pPr>
          </w:p>
        </w:tc>
        <w:tc>
          <w:tcPr>
            <w:tcW w:w="106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85,031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84,990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83,742</w:t>
            </w:r>
          </w:p>
        </w:tc>
        <w:tc>
          <w:tcPr>
            <w:tcW w:w="0" w:type="dxa"/>
            <w:vAlign w:val="bottom"/>
          </w:tcPr>
          <w:p>
            <w:pPr>
              <w:spacing w:after="0"/>
              <w:rPr>
                <w:sz w:val="1"/>
                <w:szCs w:val="1"/>
                <w:color w:val="auto"/>
              </w:rPr>
            </w:pPr>
          </w:p>
        </w:tc>
      </w:tr>
      <w:tr>
        <w:trPr>
          <w:trHeight w:val="281"/>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and diluted earnings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continuing operations attributable to iStar Financial Inc. and allocable to</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shareholders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iStar Financial Inc. and allocable to common shareholders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24765</wp:posOffset>
            </wp:positionV>
            <wp:extent cx="2752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allocable to High Performance Units: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Numerator for basic and diluted earnings per HPU share: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continuing operations attributable to iStar Financial Inc. and allocable to</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HPU 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894</w:t>
            </w:r>
          </w:p>
        </w:tc>
      </w:tr>
      <w:tr>
        <w:trPr>
          <w:trHeight w:val="297"/>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iStar Financial Inc. and allocable to HPU 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(9,253)</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Denominator for basic and diluted earnings per HPU share: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High Performance Units outstanding for basic and diluted earnings per share</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and diluted earnings per HPU share: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5"/>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continuing operations attributable to iStar Financial Inc. and allocable to</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HPU holders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(396.07)</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59.60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iStar Financial Inc. and allocable to HPU holders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(616.87)</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2014, 2013 and 2012, the following shares were not included in the diluted EPS calculation because they were anti-dilutive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34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2014(1)</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2013(1)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2012(1)</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Joint venture shares</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298</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3.00% convertible senior unsecured notes</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16,992</w:t>
            </w:r>
          </w:p>
        </w:tc>
        <w:tc>
          <w:tcPr>
            <w:tcW w:w="1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16,992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Series J convertible perpetual preferred stock</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15,635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1.50% convertible senior unsecured notes</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11,567</w:t>
            </w:r>
          </w:p>
        </w:tc>
        <w:tc>
          <w:tcPr>
            <w:tcW w:w="1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420" w:hanging="412"/>
        <w:spacing w:after="0"/>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2014, 2013 and 2012, the effect of the Company's unvested Units, performance-based Units and CSEs were anti-dilutive.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14—Fair Values</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21"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and</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18"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140"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summarizes the Company's assets and liabilities recorded at fair value on a recurring and non-recurring basis by the above categories ($ in thousands):</w:t>
      </w:r>
    </w:p>
    <w:p>
      <w:pPr>
        <w:spacing w:after="0" w:line="169" w:lineRule="exact"/>
        <w:rPr>
          <w:sz w:val="20"/>
          <w:szCs w:val="20"/>
          <w:color w:val="auto"/>
        </w:rPr>
      </w:pPr>
    </w:p>
    <w:tbl>
      <w:tblPr>
        <w:tblLayout w:type="fixed"/>
        <w:tblInd w:w="52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Using</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Quoted market</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2"/>
                <w:szCs w:val="12"/>
                <w:color w:val="auto"/>
              </w:rPr>
            </w:pPr>
          </w:p>
        </w:tc>
        <w:tc>
          <w:tcPr>
            <w:tcW w:w="122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122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22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12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2014</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Recurring basis: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6,361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liabilities</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7,906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basis: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Impaired loans(1)</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37,169</w:t>
            </w: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Impaired real estate(2)</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7,102</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2013</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Recurring basis: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liabilities</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basis: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Impaired loans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115,423</w:t>
            </w: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Impaired real estate</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35,680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29,936</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jc w:val="both"/>
        <w:ind w:left="420" w:hanging="412"/>
        <w:spacing w:after="0" w:line="255" w:lineRule="auto"/>
        <w:tabs>
          <w:tab w:leader="none" w:pos="4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recorded a recovery of loan losses on one loan with a fair value of $8.5 million based on the loan's remaining term of 1.50 years and interest rate of 4.7% using discounted cash flow analysis. The Company also recorded a provision for loan losses on one loan with a fair value of $5.2 million based on an appraisal. In addition, the Company recorded a provision for loan losses on one loan, collateralized by a land asset, with a fair value of $23.5 million based upon a foreclosure sale agreement. The land asset was acquired by an unconsolidated entity in which the Company is a partner.</w:t>
      </w:r>
    </w:p>
    <w:p>
      <w:pPr>
        <w:spacing w:after="0" w:line="18"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recorded impairment on one real estate asset with a fair value of $7.1 million based on a discount rate of 15.0% using discounted cash flows over a 10 year lease term.</w:t>
      </w:r>
    </w:p>
    <w:p>
      <w:pPr>
        <w:spacing w:after="0" w:line="218"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color w:val="auto"/>
        </w:rPr>
        <w:t>Fair values of financial instruments—</w:t>
      </w:r>
      <w:r>
        <w:rPr>
          <w:rFonts w:ascii="Times New Roman" w:cs="Times New Roman" w:eastAsia="Times New Roman" w:hAnsi="Times New Roman"/>
          <w:sz w:val="18"/>
          <w:szCs w:val="18"/>
          <w:color w:val="auto"/>
        </w:rPr>
        <w:t>The Company's estimated fair values of its loans receivable and other lending investments and debt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$1.4 billion and $4.1 billion, respectively, as of December 31, 2014 and $1.4 billion and $4.5 billion, respectively, as of December 31, 2013. The Company determined that the significant inputs used to value its loans receivable and other lending investments and debt obligations fall within Level 3 of the fair value hierarchy. The carrying value of other financial instruments including cash and cash equivalents, restricted cash, 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are included in the fair value hierarchy table above.</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Given the nature of certain assets and liabilities, clearly determinable market based valuation inputs are often not available, therefore, these assets and liabilities are valued using internal valuation techniques. Subjectivity exists with respect to these internal valuation techniques, therefore, the fair values disclosed may not ultimately be realized by the Company if the assets were sold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18"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the liabilities were settled with third parties. The methods the Company used to estimate the fair values presented in the three tables above are described more fully below for each type of asset and liability.</w:t>
      </w:r>
    </w:p>
    <w:p>
      <w:pPr>
        <w:spacing w:after="0" w:line="11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color w:val="auto"/>
        </w:rPr>
        <w:t>Derivatives</w:t>
      </w:r>
      <w:r>
        <w:rPr>
          <w:rFonts w:ascii="Times New Roman" w:cs="Times New Roman" w:eastAsia="Times New Roman" w:hAnsi="Times New Roman"/>
          <w:sz w:val="18"/>
          <w:szCs w:val="18"/>
          <w:color w:val="auto"/>
        </w:rPr>
        <w:t>—The Company uses interest rate swaps, interest rate caps and foreign exchange contracts to manage its interest rate and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The valuation of these instruments is determined using discounted cash flow analysis on the expected cash flows of each derivative. This analysis reflects the contractual terms of the derivatives, including the period to maturity, and uses observable market-based inputs, including interest rate curves, foreign exchange rates, and implied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Derivative financial instruments subject to master netting agreements are measured on a net basis. The Company has determined that the significant inputs used to value its derivatives fall within Level 2 of the fair value hierarchy.</w:t>
      </w:r>
    </w:p>
    <w:p>
      <w:pPr>
        <w:spacing w:after="0" w:line="14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Impaired loans</w:t>
      </w:r>
      <w:r>
        <w:rPr>
          <w:rFonts w:ascii="Times New Roman" w:cs="Times New Roman" w:eastAsia="Times New Roman" w:hAnsi="Times New Roman"/>
          <w:sz w:val="18"/>
          <w:szCs w:val="18"/>
          <w:color w:val="auto"/>
        </w:rPr>
        <w:t>—The Company's loans identified as being impaired are nearly all collateral dependent loans and are evaluated for impairment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comparing the estimated fair value of the underlying collateral, less costs to sell, to the carrying value of each loan. Due to the nature of the individual properties collateralizing the Company's loans, the Company generally uses a discounted cash flow methodology through internally developed valuation models to estimate the fair value of the collateral. This approach requires the Company to make judgments in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revenue growth, operating costs and costs of completion and the remaining inventory sell out periods. The Company will also consider market comparables if available. In more limited cases, the Company obtains external "as is" appraisals for loan collateral, generally when third party participations exist, and appraised values may be discounted when real estate markets rapidly deteriorate. The Company has determined that significant inputs used in its internal valuation models and appraisals fall within Level 3 of the fair value hierarchy.</w:t>
      </w:r>
    </w:p>
    <w:p>
      <w:pPr>
        <w:spacing w:after="0" w:line="14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Impaired real estate</w:t>
      </w:r>
      <w:r>
        <w:rPr>
          <w:rFonts w:ascii="Times New Roman" w:cs="Times New Roman" w:eastAsia="Times New Roman" w:hAnsi="Times New Roman"/>
          <w:sz w:val="18"/>
          <w:szCs w:val="18"/>
          <w:color w:val="auto"/>
        </w:rPr>
        <w:t>—If the Company determines a real estate asset available and held for sale is impaired, it records an impairment charge to adjust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asset to its estimated fair market value less costs to sell. Due to the nature of individual real estate properties, the Company generally uses a discounted cash flow methodology through internally developed valuation models to estimate the fair value of the assets. This approach requires the Company to make judgments with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market rate growth, operating costs and costs of completion and the remaining inventory sell out periods. The Company will also consider market comparables if available. In more limited cases, the Company obtains external "as is" appraisals for real estate assets and appraised values may be discounted when real estate markets rapidly deteriorate. The Company has determined that significant inputs used in its internal valuation models and appraisals fall within Level 3 of the fair value hierarchy. Additionally, in certain cases, if the Company is under contract to sell an asset, it will mark the asset to the contracted sales price less costs to sell. The Company considers this to be a Level 2 input under the fair value hierarchy.</w:t>
      </w:r>
    </w:p>
    <w:p>
      <w:pPr>
        <w:spacing w:after="0" w:line="150"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Loans receivable and other lending investments</w:t>
      </w:r>
      <w:r>
        <w:rPr>
          <w:rFonts w:ascii="Times New Roman" w:cs="Times New Roman" w:eastAsia="Times New Roman" w:hAnsi="Times New Roman"/>
          <w:sz w:val="18"/>
          <w:szCs w:val="18"/>
          <w:color w:val="auto"/>
        </w:rPr>
        <w:t>—The Company estimates the fair value of its performing loans and other lending investments 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discounted cash flow methodology. This method discounts estimated future cash flows using rates management determines best reflect current market interest rates that would be offered for loans with similar characteristics and credit quality. The Company determined that the significant inputs used to value its loans and other lending investments fall within Level 3 of the fair value hierarchy. For certain lending investments, the Company uses market quotes, to the extent they are available, that fall within Level 2 of the fair value hierarchy or broker quotes that fall within Level 3 of the fair value hierarchy.</w:t>
      </w:r>
    </w:p>
    <w:p>
      <w:pPr>
        <w:spacing w:after="0" w:line="139"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Debt obligations, net</w:t>
      </w:r>
      <w:r>
        <w:rPr>
          <w:rFonts w:ascii="Times New Roman" w:cs="Times New Roman" w:eastAsia="Times New Roman" w:hAnsi="Times New Roman"/>
          <w:sz w:val="18"/>
          <w:szCs w:val="18"/>
          <w:color w:val="auto"/>
        </w:rPr>
        <w:t>—For debt obligations traded in secondary markets, the Company uses market quotes, to the extent they are 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fair value and are considered Level 2 on the fair value hierarchy. For debt obligations not traded in secondary markets, the Company determines fair value using a discounted cash flow methodology, whereby contractual cash flows are discounted at rates that management determines best reflect current market interest rates that would be charged for debt with similar characteristics and credit quality. The Company has determined that the inputs used to value its debt obligations under the discounted cash flow methodology fall within Level 3 of the fair value hierarchy.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18"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15—Segment Reporting</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has determined that it has four reportable segments based on how management reviews and manages its business. These reportable segments include: Real Estate Finance, Net Lease, Operating Properties and Land. The Real Estate Finance segment includes all of the Company's activities related to senior and mezzanine real estate loans and real estate related securities. The Net Lease segment includes all of the Company's activities related to the ownership and leasing of corporate facilities. The Operating Properties segment includes all of the Company's activities and operations related to its commercial and residential properties. The Land segment includes the Company's activities related to its developable land portfolio.</w:t>
      </w:r>
    </w:p>
    <w:p>
      <w:pPr>
        <w:spacing w:after="0" w:line="14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evaluates performance based on the following financial measures for each segment. The Company's segment information is as follows ($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80" w:type="dxa"/>
            <w:vAlign w:val="bottom"/>
          </w:tcPr>
          <w:p>
            <w:pPr>
              <w:spacing w:after="0"/>
              <w:rPr>
                <w:sz w:val="13"/>
                <w:szCs w:val="13"/>
                <w:color w:val="auto"/>
              </w:rPr>
            </w:pPr>
          </w:p>
        </w:tc>
        <w:tc>
          <w:tcPr>
            <w:tcW w:w="10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Net Lease</w:t>
            </w:r>
          </w:p>
        </w:tc>
        <w:tc>
          <w:tcPr>
            <w:tcW w:w="18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Land</w:t>
            </w:r>
          </w:p>
        </w:tc>
        <w:tc>
          <w:tcPr>
            <w:tcW w:w="140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Corporate/Other(1)</w:t>
            </w:r>
          </w:p>
        </w:tc>
        <w:tc>
          <w:tcPr>
            <w:tcW w:w="12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Company Total</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2014:</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151,934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90,331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243,100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122,704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122,704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21,217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10,052</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81,033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sales revenue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15,191</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143,921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156,371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132,331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19,353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10,052</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462,028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from equity method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75,010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94,905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sales of real estate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83,737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89,943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Revenue and other earnings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143,921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217,737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34,319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85,062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646,876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expense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(163,389)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cost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Allocated 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(224,483)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Allocated general and administrative(2)</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(22,588)</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Segment profit (loss)(3)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72,321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54,045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55,014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31,512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164,851</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(recovery of)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assets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34,634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38,841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32,142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73,571</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Capitalized expenditures</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61,186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80,119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145,238</w:t>
            </w:r>
          </w:p>
        </w:tc>
        <w:tc>
          <w:tcPr>
            <w:tcW w:w="0" w:type="dxa"/>
            <w:vAlign w:val="bottom"/>
          </w:tcPr>
          <w:p>
            <w:pPr>
              <w:spacing w:after="0"/>
              <w:rPr>
                <w:sz w:val="1"/>
                <w:szCs w:val="1"/>
                <w:color w:val="auto"/>
              </w:rPr>
            </w:pPr>
          </w:p>
        </w:tc>
      </w:tr>
      <w:tr>
        <w:trPr>
          <w:trHeight w:val="459"/>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8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Lease</w:t>
            </w:r>
          </w:p>
        </w:tc>
        <w:tc>
          <w:tcPr>
            <w:tcW w:w="18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Land</w:t>
            </w:r>
          </w:p>
        </w:tc>
        <w:tc>
          <w:tcPr>
            <w:tcW w:w="140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Corporate/Other(1)</w:t>
            </w:r>
          </w:p>
        </w:tc>
        <w:tc>
          <w:tcPr>
            <w:tcW w:w="120" w:type="dxa"/>
            <w:vAlign w:val="bottom"/>
          </w:tcPr>
          <w:p>
            <w:pPr>
              <w:spacing w:after="0"/>
              <w:rPr>
                <w:sz w:val="13"/>
                <w:szCs w:val="13"/>
                <w:color w:val="auto"/>
              </w:rPr>
            </w:pP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Company Total</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2013</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147,313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86,352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234,567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108,015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3,572</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48,208</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112,763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147,563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124,516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390,790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38,606</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41,520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sales of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82,603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86,658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operations(4)</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18,838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22,233</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Revenue and other earnings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112,763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155,141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232,754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42,178</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543,936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(157,441)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Allocated interest expense(5)</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(266,225)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Allocated general and administrative(2)</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(23,783)</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Segment profit (loss)(3)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73,407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39,367</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(recovery of)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5,489</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assets(5)</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14,353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transfer of interest to unconsolidated</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subsidiary</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7,373</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amortization(5)</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30,599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1,244</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71,530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Capitalized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111,553</w:t>
            </w:r>
          </w:p>
        </w:tc>
        <w:tc>
          <w:tcPr>
            <w:tcW w:w="0" w:type="dxa"/>
            <w:vAlign w:val="bottom"/>
          </w:tcPr>
          <w:p>
            <w:pPr>
              <w:spacing w:after="0"/>
              <w:rPr>
                <w:sz w:val="1"/>
                <w:szCs w:val="1"/>
                <w:color w:val="auto"/>
              </w:rPr>
            </w:pPr>
          </w:p>
        </w:tc>
      </w:tr>
      <w:tr>
        <w:trPr>
          <w:trHeight w:val="297"/>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2012</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149,058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65,706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216,291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133,410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3,975</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47,838</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98,321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397,539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81,373</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103,009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sales of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63,472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63,472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operations(4)</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8,175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27,257</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Revenue and other earnings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142,023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186,236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187,821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85,348</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599,452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(151,458)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Allocated interest expense(5)</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(356,161)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Allocated general and administrative(2)</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(25,705)</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Segment profit (loss)(3)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8,852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9,004</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(recovery of)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81,740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81,740</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assets(5)</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28,501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978</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36,354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amortization(5)</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28,450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70,786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Capitalized expenditures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51,579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83,070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18" w:right="2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8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Lease</w:t>
            </w:r>
          </w:p>
        </w:tc>
        <w:tc>
          <w:tcPr>
            <w:tcW w:w="18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Land</w:t>
            </w:r>
          </w:p>
        </w:tc>
        <w:tc>
          <w:tcPr>
            <w:tcW w:w="140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Corporate/Other(1)</w:t>
            </w:r>
          </w:p>
        </w:tc>
        <w:tc>
          <w:tcPr>
            <w:tcW w:w="12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Company Total</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2014</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1,188,160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628,271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860,283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2,676,714</w:t>
            </w:r>
          </w:p>
        </w:tc>
        <w:tc>
          <w:tcPr>
            <w:tcW w:w="0" w:type="dxa"/>
            <w:vAlign w:val="bottom"/>
          </w:tcPr>
          <w:p>
            <w:pPr>
              <w:spacing w:after="0"/>
              <w:rPr>
                <w:sz w:val="1"/>
                <w:szCs w:val="1"/>
                <w:color w:val="auto"/>
              </w:rPr>
            </w:pP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162,782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118,679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285,982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1,192,681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791,053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978,962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2,962,696</w:t>
            </w:r>
          </w:p>
        </w:tc>
        <w:tc>
          <w:tcPr>
            <w:tcW w:w="0" w:type="dxa"/>
            <w:vAlign w:val="bottom"/>
          </w:tcPr>
          <w:p>
            <w:pPr>
              <w:spacing w:after="0"/>
              <w:rPr>
                <w:sz w:val="1"/>
                <w:szCs w:val="1"/>
                <w:color w:val="auto"/>
              </w:rPr>
            </w:pPr>
          </w:p>
        </w:tc>
      </w:tr>
      <w:tr>
        <w:trPr>
          <w:trHeight w:val="225"/>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receivable and other lending 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1,377,843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1,377,843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125,360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13,220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106,155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109,384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354,119</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portfolio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1,377,843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1,318,041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804,273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1,085,117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109,384</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120" w:type="dxa"/>
            <w:vAlign w:val="bottom"/>
            <w:tcBorders>
              <w:top w:val="single" w:sz="8" w:color="auto"/>
              <w:bottom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color w:val="auto"/>
              </w:rPr>
              <w:t>4,694,658</w:t>
            </w: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768,475</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right w:val="single" w:sz="8" w:color="auto"/>
            </w:tcBorders>
            <w:gridSpan w:val="2"/>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5,463,133</w:t>
            </w:r>
          </w:p>
        </w:tc>
        <w:tc>
          <w:tcPr>
            <w:tcW w:w="0" w:type="dxa"/>
            <w:vAlign w:val="bottom"/>
          </w:tcPr>
          <w:p>
            <w:pPr>
              <w:spacing w:after="0"/>
              <w:rPr>
                <w:sz w:val="1"/>
                <w:szCs w:val="1"/>
                <w:color w:val="auto"/>
              </w:rPr>
            </w:pPr>
          </w:p>
        </w:tc>
      </w:tr>
      <w:tr>
        <w:trPr>
          <w:trHeight w:val="284"/>
        </w:trPr>
        <w:tc>
          <w:tcPr>
            <w:tcW w:w="3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2013</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net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1,358,248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638,088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799,845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2,796,181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228,328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132,189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360,517</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real estate</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1,358,248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866,416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932,034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3,156,698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receivable and other lending investments,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1,370,109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1,370,109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16,032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29,765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145,004</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207,209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portfolio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1,370,109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1,374,656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882,448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961,799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145,004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4,734,016</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Cash and other assets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907,995</w:t>
            </w:r>
          </w:p>
        </w:tc>
        <w:tc>
          <w:tcPr>
            <w:tcW w:w="0" w:type="dxa"/>
            <w:vAlign w:val="bottom"/>
          </w:tcPr>
          <w:p>
            <w:pPr>
              <w:spacing w:after="0" w:line="20" w:lineRule="exact"/>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right w:val="single" w:sz="8" w:color="auto"/>
            </w:tcBorders>
            <w:gridSpan w:val="2"/>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5,642,011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420" w:hanging="412"/>
        <w:spacing w:after="0" w:line="253" w:lineRule="auto"/>
        <w:tabs>
          <w:tab w:leader="none" w:pos="4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included in the other reportable segments above.</w:t>
      </w:r>
    </w:p>
    <w:p>
      <w:pPr>
        <w:ind w:left="420" w:hanging="412"/>
        <w:spacing w:after="0" w:line="241" w:lineRule="auto"/>
        <w:tabs>
          <w:tab w:leader="none" w:pos="4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administrative excludes stock-based compensation expense of $13.3 million, $19.3 million and $15.3 million for the years ended December 31, 2014, 2013 and 2012, respectively.</w:t>
      </w:r>
    </w:p>
    <w:p>
      <w:pPr>
        <w:spacing w:after="0" w:line="162"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is a reconciliation of segment profit (loss) to net income (loss) ($ in thousands):</w:t>
      </w:r>
    </w:p>
    <w:p>
      <w:pPr>
        <w:spacing w:after="0" w:line="145"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6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6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profit (loss)</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164,851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39,367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9,004</w:t>
            </w:r>
          </w:p>
        </w:tc>
      </w:tr>
      <w:tr>
        <w:trPr>
          <w:trHeight w:val="265"/>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(Provision for) recovery of loan losses</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(81,740)</w:t>
            </w:r>
          </w:p>
        </w:tc>
      </w:tr>
      <w:tr>
        <w:trPr>
          <w:trHeight w:val="27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Impairment of assets(4)</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(34,634)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(36,354)</w:t>
            </w:r>
          </w:p>
        </w:tc>
      </w:tr>
      <w:tr>
        <w:trPr>
          <w:trHeight w:val="265"/>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Loss on transfer of interest to unconsolidated subsidiary</w:t>
            </w: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Stock-based compensation expense</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(15,293)</w:t>
            </w:r>
          </w:p>
        </w:tc>
      </w:tr>
      <w:tr>
        <w:trPr>
          <w:trHeight w:val="265"/>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Depreciation and amortization(4)</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(71,530)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(70,786)</w:t>
            </w:r>
          </w:p>
        </w:tc>
      </w:tr>
      <w:tr>
        <w:trPr>
          <w:trHeight w:val="27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Income tax (expense) benefit(4)</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(8,445)</w:t>
            </w:r>
          </w:p>
        </w:tc>
      </w:tr>
      <w:tr>
        <w:trPr>
          <w:trHeight w:val="265"/>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Loss on early extinguishment of debt, net</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(25,369)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(33,190)</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(37,816)</w:t>
            </w:r>
          </w:p>
        </w:tc>
      </w:tr>
      <w:tr>
        <w:trPr>
          <w:trHeight w:val="242"/>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(241,430)</w:t>
            </w:r>
          </w:p>
        </w:tc>
      </w:tr>
      <w:tr>
        <w:trPr>
          <w:trHeight w:val="20"/>
        </w:trPr>
        <w:tc>
          <w:tcPr>
            <w:tcW w:w="6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420" w:hanging="412"/>
        <w:spacing w:after="0"/>
        <w:tabs>
          <w:tab w:leader="none" w:pos="4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2013 and 2012, excludes certain amounts reclassified to discontinued operations on the Company's Consolidated Statements of Operations.</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2013 and 2012, includes related amounts reclassified to discontinued operations on the Company's Consolidated Statements of Operations.</w:t>
      </w:r>
    </w:p>
    <w:p>
      <w:pPr>
        <w:sectPr>
          <w:pgSz w:w="11900" w:h="16838" w:orient="portrait"/>
          <w:cols w:equalWidth="0" w:num="1">
            <w:col w:w="11420"/>
          </w:cols>
          <w:pgMar w:left="240" w:top="118"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18" w:right="2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16—Quarterly Financial Information (Unaudited)</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selected quarterly financial data for the Company ($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Quarters Ended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22"/>
                <w:szCs w:val="22"/>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109,950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113,486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129,843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108,749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common share data:</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iStar Financial Inc.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22,327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(26,572)</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27,608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(26,572)</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share</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84,916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84,819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130,160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84,916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84,819</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HPU share data:</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iStar Financial Inc.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share</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HPU shares—basic and diluted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r>
      <w:tr>
        <w:trPr>
          <w:trHeight w:val="265"/>
        </w:trPr>
        <w:tc>
          <w:tcPr>
            <w:tcW w:w="56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Quarters Ended</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262"/>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22"/>
                <w:szCs w:val="22"/>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95,696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99,919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94,102</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common share data:</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iStar Financial Inc.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shares—basic and diluted</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84,617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85,392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85,125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84,824</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HPU share data:</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iStar Financial Inc.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number of HPU shares—basic and diluted</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93" w:lineRule="exact"/>
        <w:rPr>
          <w:sz w:val="20"/>
          <w:szCs w:val="20"/>
          <w:color w:val="auto"/>
        </w:rPr>
      </w:pPr>
    </w:p>
    <w:p>
      <w:pPr>
        <w:ind w:left="420" w:hanging="412"/>
        <w:spacing w:after="0" w:line="282" w:lineRule="auto"/>
        <w:tabs>
          <w:tab w:leader="none" w:pos="4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quarter ended September 30, 2014, includes net income attributable to iStar Financial Inc. and allocable to Participating Security Holders of $2 and $2 on a basic and dilutive basis, respectively.</w:t>
      </w:r>
    </w:p>
    <w:p>
      <w:pPr>
        <w:sectPr>
          <w:pgSz w:w="11900" w:h="16838" w:orient="portrait"/>
          <w:cols w:equalWidth="0" w:num="1">
            <w:col w:w="11420"/>
          </w:cols>
          <w:pgMar w:left="240" w:top="118"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18" w:right="2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 and Reserves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to Valuation</w:t>
            </w: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12"/>
                <w:szCs w:val="12"/>
                <w:color w:val="auto"/>
              </w:rPr>
            </w:pPr>
          </w:p>
        </w:tc>
        <w:tc>
          <w:tcPr>
            <w:tcW w:w="1120" w:type="dxa"/>
            <w:vAlign w:val="bottom"/>
          </w:tcPr>
          <w:p>
            <w:pPr>
              <w:jc w:val="center"/>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End</w:t>
            </w:r>
          </w:p>
        </w:tc>
        <w:tc>
          <w:tcPr>
            <w:tcW w:w="0" w:type="dxa"/>
            <w:vAlign w:val="bottom"/>
          </w:tcPr>
          <w:p>
            <w:pPr>
              <w:spacing w:after="0"/>
              <w:rPr>
                <w:sz w:val="1"/>
                <w:szCs w:val="1"/>
                <w:color w:val="auto"/>
              </w:rPr>
            </w:pPr>
          </w:p>
        </w:tc>
      </w:tr>
      <w:tr>
        <w:trPr>
          <w:trHeight w:val="195"/>
        </w:trPr>
        <w:tc>
          <w:tcPr>
            <w:tcW w:w="45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249"/>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2012</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 for loan losses(1)(2)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646,624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81,740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(203,865)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524,499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accounts(2)</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5,596</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deferred tax assets(2)</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50,889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40,880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701,181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73,835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570,975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2013</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 for loan losses(1)(2)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524,499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377,204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accounts(2)</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5,857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deferred tax assets(2)</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40,880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19,855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56,262</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570,975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19,855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(152,784)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439,323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 for loan losses(1)(2)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377,204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98,490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accounts(2)</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3,646</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deferred tax assets(2)</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56,262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54,318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439,323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156,454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420" w:hanging="412"/>
        <w:spacing w:after="0"/>
        <w:tabs>
          <w:tab w:leader="none" w:pos="4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5 to the Company's Consolidated Financial Statements.</w:t>
      </w:r>
    </w:p>
    <w:p>
      <w:pPr>
        <w:spacing w:after="0" w:line="17"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3 to the Company's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18" w:right="239" w:bottom="1440" w:gutter="0" w:footer="0" w:header="0"/>
        </w:sectPr>
      </w:pPr>
    </w:p>
    <w:bookmarkStart w:id="99" w:name="page100"/>
    <w:bookmarkEnd w:id="9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2014</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6"/>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Gross Amount Carried</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at Close of Period</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Depreciable</w:t>
            </w:r>
          </w:p>
        </w:tc>
        <w:tc>
          <w:tcPr>
            <w:tcW w:w="0" w:type="dxa"/>
            <w:vAlign w:val="bottom"/>
          </w:tcPr>
          <w:p>
            <w:pPr>
              <w:spacing w:after="0"/>
              <w:rPr>
                <w:sz w:val="1"/>
                <w:szCs w:val="1"/>
                <w:color w:val="auto"/>
              </w:rPr>
            </w:pPr>
          </w:p>
        </w:tc>
      </w:tr>
      <w:tr>
        <w:trPr>
          <w:trHeight w:val="149"/>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Land</w:t>
            </w: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16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5"/>
        </w:trPr>
        <w:tc>
          <w:tcPr>
            <w:tcW w:w="9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Encumbrances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Acquisition(2)</w:t>
            </w: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Pr>
          <w:p>
            <w:pPr>
              <w:spacing w:after="0"/>
              <w:rPr>
                <w:sz w:val="16"/>
                <w:szCs w:val="16"/>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50"/>
        </w:trPr>
        <w:tc>
          <w:tcPr>
            <w:tcW w:w="16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OFFICE FACILITIES:</w:t>
            </w: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OAZ002</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6,652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1,033</w:t>
            </w:r>
          </w:p>
        </w:tc>
        <w:tc>
          <w:tcPr>
            <w:tcW w:w="3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8,636</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2,825</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OAZ003</w:t>
            </w: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6,652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7,972</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2,589</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OAZ004</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6,652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6,857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7,890</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2,570</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OAZ005</w:t>
            </w: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4,339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5,040</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1,645</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OAZ006</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10,780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36,336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10,780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37,630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48,410</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5,827</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OCA002</w:t>
            </w: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5,064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4,139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10,799</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2,229</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OCO001</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16,930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6,476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1,757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23,406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25,163</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8,823</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OCO002</w:t>
            </w: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4,856</w:t>
            </w:r>
          </w:p>
        </w:tc>
        <w:tc>
          <w:tcPr>
            <w:tcW w:w="4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16,752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16,800</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5,356</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OFL001</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14,484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2,517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19,596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22,113</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2,168</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OGA001</w:t>
            </w: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6,744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7,694</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3,142</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OGA002</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5,709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49,091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22,344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5,709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71,435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77,144</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24,788</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Massachusetts</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OMA001</w:t>
            </w: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12,581</w:t>
            </w:r>
          </w:p>
        </w:tc>
        <w:tc>
          <w:tcPr>
            <w:tcW w:w="4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21,947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22,232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23,832</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7,126</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OMD001</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12,033</w:t>
            </w:r>
          </w:p>
        </w:tc>
        <w:tc>
          <w:tcPr>
            <w:tcW w:w="4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18,706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19,446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21,246</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6,044</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Michigan</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OMI001</w:t>
            </w: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5,374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137,956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138,199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143,573</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25,622</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Jersey</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ONJ001</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52,675</w:t>
            </w: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74,429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7,724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74,441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82,165</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22,447</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Jersey</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ONJ002</w:t>
            </w: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11,517</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13,763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14,690</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3,725</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Jersey</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ONJ003</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16,219</w:t>
            </w:r>
          </w:p>
        </w:tc>
        <w:tc>
          <w:tcPr>
            <w:tcW w:w="4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2,456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28,955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2,456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29,722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32,178</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7,967</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OPA001</w:t>
            </w: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26,098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26,049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26,739</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8,656</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Tennessee</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OTN001</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2,702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25,129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(17,064)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10,767</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7,878</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OTX001</w:t>
            </w: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10,628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17,636</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5,589</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OTX002</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15,160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15,306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16,539</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5,480</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OTX003</w:t>
            </w: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2,932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31,235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2,932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43,879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46,811</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15,945</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OTX004</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5,660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6,142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7,372</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2,303</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Wisconsin</w:t>
            </w:r>
          </w:p>
        </w:tc>
        <w:tc>
          <w:tcPr>
            <w:tcW w:w="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OWI001</w:t>
            </w: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1,875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13,914</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(6,147)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1,875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7,767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9,642</w:t>
            </w:r>
          </w:p>
        </w:tc>
        <w:tc>
          <w:tcPr>
            <w:tcW w:w="2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4,696</w:t>
            </w:r>
          </w:p>
        </w:tc>
        <w:tc>
          <w:tcPr>
            <w:tcW w:w="900" w:type="dxa"/>
            <w:vAlign w:val="bottom"/>
            <w:tcBorders>
              <w:bottom w:val="single" w:sz="8" w:color="CCEEFF"/>
            </w:tcBorders>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5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7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109,881</w:t>
            </w:r>
          </w:p>
        </w:tc>
        <w:tc>
          <w:tcPr>
            <w:tcW w:w="4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61,597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593,276</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35,978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62,604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628,247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690,851</w:t>
            </w:r>
          </w:p>
        </w:tc>
        <w:tc>
          <w:tcPr>
            <w:tcW w:w="2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185,440</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INDUSTRIAL FACILITIES:</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IAZ001</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2,519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7,481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2,519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8,490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11,009</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1,249</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IAZ002</w:t>
            </w: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5,221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3,279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10,887</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1,185</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ICA001</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17,736</w:t>
            </w:r>
          </w:p>
        </w:tc>
        <w:tc>
          <w:tcPr>
            <w:tcW w:w="4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19,515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11,635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25,458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37,093</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4,496</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ICA005</w:t>
            </w: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4,591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7,289</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2,697</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ICA006</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7,964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2,876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10,840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11,926</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4,560</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ICA007</w:t>
            </w: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12,367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4,880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20,797</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5,656</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ICA008</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8,378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6,856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16,878</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3,326</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ICA012</w:t>
            </w: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3,044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10,403</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2,266</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ICA013</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3,219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2,633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6,142</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1,240</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38" w:right="239" w:bottom="1440" w:gutter="0" w:footer="0" w:header="0"/>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00"/>
          </w:cols>
          <w:pgMar w:left="260" w:top="738" w:right="239" w:bottom="1440" w:gutter="0" w:footer="0" w:header="0"/>
          <w:type w:val="continuous"/>
        </w:sectPr>
      </w:pPr>
    </w:p>
    <w:bookmarkStart w:id="100" w:name="page101"/>
    <w:bookmarkEnd w:id="10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2014</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Gross Amount Carried</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7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at Close of Period</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Depreciable</w:t>
            </w:r>
          </w:p>
        </w:tc>
        <w:tc>
          <w:tcPr>
            <w:tcW w:w="0" w:type="dxa"/>
            <w:vAlign w:val="bottom"/>
          </w:tcPr>
          <w:p>
            <w:pPr>
              <w:spacing w:after="0"/>
              <w:rPr>
                <w:sz w:val="1"/>
                <w:szCs w:val="1"/>
                <w:color w:val="auto"/>
              </w:rPr>
            </w:pPr>
          </w:p>
        </w:tc>
      </w:tr>
      <w:tr>
        <w:trPr>
          <w:trHeight w:val="149"/>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0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7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5"/>
        </w:trPr>
        <w:tc>
          <w:tcPr>
            <w:tcW w:w="900" w:type="dxa"/>
            <w:vAlign w:val="bottom"/>
            <w:tcBorders>
              <w:bottom w:val="single" w:sz="8" w:color="auto"/>
            </w:tcBorders>
            <w:vMerge w:val="continue"/>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Encumbrances</w:t>
            </w:r>
          </w:p>
        </w:tc>
        <w:tc>
          <w:tcPr>
            <w:tcW w:w="4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Acquisition(2)</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50"/>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ICA014</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4,039</w:t>
            </w: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14,266</w:t>
            </w:r>
          </w:p>
        </w:tc>
        <w:tc>
          <w:tcPr>
            <w:tcW w:w="22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2,434</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ICA015</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6,877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5,501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5,619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17,995</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6,618</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ICA016</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27,456</w:t>
            </w: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27,987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7,619</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15,708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35,606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51,314</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14,473</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ICA017</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8,306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8,894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9,702</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3,241</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ICO001</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2,211</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289</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IFL002</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15,365</w:t>
            </w:r>
          </w:p>
        </w:tc>
        <w:tc>
          <w:tcPr>
            <w:tcW w:w="4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20,846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8,279</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3,510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29,125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32,635</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4,795</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IFL004</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8,676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3,048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11,724</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3,290</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IFL005</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4,586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3,549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4,790</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784</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IFL006</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4,198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(4,497)</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1,177</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521</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IGA001</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13,373</w:t>
            </w:r>
          </w:p>
        </w:tc>
        <w:tc>
          <w:tcPr>
            <w:tcW w:w="4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2,791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24,637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2,791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24,986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27,777</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4,488</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Indiana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IIN001</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9,224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9,686</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2,303</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Massachusetts</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IMA001</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18,400</w:t>
            </w:r>
          </w:p>
        </w:tc>
        <w:tc>
          <w:tcPr>
            <w:tcW w:w="4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21,774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10,979</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7,439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32,753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40,192</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5,391</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Michigan</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IMI001</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9,814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10,413</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2,476</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Minnesota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IMN001</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1,206</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Minnesota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IMN002</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17,690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18,170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24,395</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4,502</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58"/>
        </w:trPr>
        <w:tc>
          <w:tcPr>
            <w:tcW w:w="9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North</w:t>
            </w:r>
          </w:p>
        </w:tc>
        <w:tc>
          <w:tcPr>
            <w:tcW w:w="7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INC001</w:t>
            </w:r>
          </w:p>
        </w:tc>
        <w:tc>
          <w:tcPr>
            <w:tcW w:w="8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5,947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5,947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6,627</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1,543</w:t>
            </w:r>
          </w:p>
        </w:tc>
        <w:tc>
          <w:tcPr>
            <w:tcW w:w="900" w:type="dxa"/>
            <w:vAlign w:val="bottom"/>
            <w:gridSpan w:val="2"/>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8"/>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Carolina</w:t>
            </w:r>
          </w:p>
        </w:tc>
        <w:tc>
          <w:tcPr>
            <w:tcW w:w="7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Jersey</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INJ001</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21,340</w:t>
            </w:r>
          </w:p>
        </w:tc>
        <w:tc>
          <w:tcPr>
            <w:tcW w:w="4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15,376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21,141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8,368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36,517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44,885</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6,085</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INY001</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1,796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5,108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1,796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6,908</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1,939</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ITX003</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3,432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7,049</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719</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ITX004</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13,278</w:t>
            </w:r>
          </w:p>
        </w:tc>
        <w:tc>
          <w:tcPr>
            <w:tcW w:w="4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27,858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1,631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27,442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29,073</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4,872</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ITX005</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8,903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10,263</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3,389</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IVA001</w:t>
            </w: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14,321</w:t>
            </w:r>
          </w:p>
        </w:tc>
        <w:tc>
          <w:tcPr>
            <w:tcW w:w="4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2,619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28,481</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2,619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28,623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31,242</w:t>
            </w:r>
          </w:p>
        </w:tc>
        <w:tc>
          <w:tcPr>
            <w:tcW w:w="2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5,139</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50"/>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700" w:type="dxa"/>
            <w:vAlign w:val="bottom"/>
          </w:tcPr>
          <w:p>
            <w:pPr>
              <w:spacing w:after="0"/>
              <w:rPr>
                <w:sz w:val="21"/>
                <w:szCs w:val="21"/>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  141,269</w:t>
            </w:r>
          </w:p>
        </w:tc>
        <w:tc>
          <w:tcPr>
            <w:tcW w:w="4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112,221</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340,325</w:t>
            </w:r>
          </w:p>
        </w:tc>
        <w:tc>
          <w:tcPr>
            <w:tcW w:w="10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75,408</w:t>
            </w: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  111,148</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416,806</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527,954</w:t>
            </w:r>
          </w:p>
        </w:tc>
        <w:tc>
          <w:tcPr>
            <w:tcW w:w="22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105,966</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LAND:</w:t>
            </w:r>
          </w:p>
        </w:tc>
        <w:tc>
          <w:tcPr>
            <w:tcW w:w="7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LAZ001</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96,700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96,700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96,700</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LAZ002</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13,170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5,144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13,170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18,378</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472</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LCA002</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28,464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2,836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(11,000)</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17,464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20,300</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2,409</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LCA003</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87,300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(11,330)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75,970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75,970</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LCA004</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68,155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(21,405)</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46,750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46,750</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LCA005</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84,100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5,628</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89,728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89,728</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LCA006</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59,100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59,100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59,100</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LCA008</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30,500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30,500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30,500</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LCA009</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4,095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8,323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1,638</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4,095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14,056</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3,507</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LFA001</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7,600</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LFA002</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8,100</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LFA003</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26,600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27,218</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26,600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27,218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53,818</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38" w:right="239" w:bottom="1440" w:gutter="0" w:footer="0" w:header="0"/>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00"/>
          </w:cols>
          <w:pgMar w:left="260" w:top="738" w:right="239" w:bottom="1440" w:gutter="0" w:footer="0" w:header="0"/>
          <w:type w:val="continuous"/>
        </w:sectPr>
      </w:pPr>
    </w:p>
    <w:bookmarkStart w:id="101" w:name="page102"/>
    <w:bookmarkEnd w:id="10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2014</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Gross Amount Carried</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6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7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at Close of Period</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Depreciable</w:t>
            </w:r>
          </w:p>
        </w:tc>
        <w:tc>
          <w:tcPr>
            <w:tcW w:w="0" w:type="dxa"/>
            <w:vAlign w:val="bottom"/>
          </w:tcPr>
          <w:p>
            <w:pPr>
              <w:spacing w:after="0"/>
              <w:rPr>
                <w:sz w:val="1"/>
                <w:szCs w:val="1"/>
                <w:color w:val="auto"/>
              </w:rPr>
            </w:pPr>
          </w:p>
        </w:tc>
      </w:tr>
      <w:tr>
        <w:trPr>
          <w:trHeight w:val="149"/>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0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7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5"/>
        </w:trPr>
        <w:tc>
          <w:tcPr>
            <w:tcW w:w="820" w:type="dxa"/>
            <w:vAlign w:val="bottom"/>
            <w:tcBorders>
              <w:bottom w:val="single" w:sz="8" w:color="auto"/>
            </w:tcBorders>
            <w:vMerge w:val="continue"/>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Encumbrances</w:t>
            </w:r>
          </w:p>
        </w:tc>
        <w:tc>
          <w:tcPr>
            <w:tcW w:w="4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Acquisition(2)</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50"/>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LFA004</w:t>
            </w:r>
          </w:p>
        </w:tc>
        <w:tc>
          <w:tcPr>
            <w:tcW w:w="320" w:type="dxa"/>
            <w:vAlign w:val="bottom"/>
          </w:tcPr>
          <w:p>
            <w:pPr>
              <w:spacing w:after="0"/>
              <w:rPr>
                <w:sz w:val="21"/>
                <w:szCs w:val="21"/>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10,440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LFA005</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9,300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9,300</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LFA006</w:t>
            </w:r>
          </w:p>
        </w:tc>
        <w:tc>
          <w:tcPr>
            <w:tcW w:w="320" w:type="dxa"/>
            <w:vAlign w:val="bottom"/>
          </w:tcPr>
          <w:p>
            <w:pPr>
              <w:spacing w:after="0"/>
              <w:rPr>
                <w:sz w:val="23"/>
                <w:szCs w:val="23"/>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9,300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LFA007</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5,883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5,883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5,883</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LGA001</w:t>
            </w:r>
          </w:p>
        </w:tc>
        <w:tc>
          <w:tcPr>
            <w:tcW w:w="320" w:type="dxa"/>
            <w:vAlign w:val="bottom"/>
          </w:tcPr>
          <w:p>
            <w:pPr>
              <w:spacing w:after="0"/>
              <w:rPr>
                <w:sz w:val="23"/>
                <w:szCs w:val="23"/>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3,800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LGA002</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1,400</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LMD001</w:t>
            </w:r>
          </w:p>
        </w:tc>
        <w:tc>
          <w:tcPr>
            <w:tcW w:w="320" w:type="dxa"/>
            <w:vAlign w:val="bottom"/>
          </w:tcPr>
          <w:p>
            <w:pPr>
              <w:spacing w:after="0"/>
              <w:rPr>
                <w:sz w:val="23"/>
                <w:szCs w:val="23"/>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102,938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102,938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102,938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LMD002</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2,486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2,486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2,486</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326</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Jersey</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LNJ001</w:t>
            </w:r>
          </w:p>
        </w:tc>
        <w:tc>
          <w:tcPr>
            <w:tcW w:w="320" w:type="dxa"/>
            <w:vAlign w:val="bottom"/>
          </w:tcPr>
          <w:p>
            <w:pPr>
              <w:spacing w:after="0"/>
              <w:rPr>
                <w:sz w:val="23"/>
                <w:szCs w:val="23"/>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43,300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38,632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81,932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81,932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LNY001</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52,461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2,525</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52,461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54,986</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LNY002</w:t>
            </w:r>
          </w:p>
        </w:tc>
        <w:tc>
          <w:tcPr>
            <w:tcW w:w="320" w:type="dxa"/>
            <w:vAlign w:val="bottom"/>
          </w:tcPr>
          <w:p>
            <w:pPr>
              <w:spacing w:after="0"/>
              <w:rPr>
                <w:sz w:val="23"/>
                <w:szCs w:val="23"/>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58,900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(9,506)</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49,394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49,394</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LNY003</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3,277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3,825</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3,277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7,102</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Oregon</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LOR001</w:t>
            </w:r>
          </w:p>
        </w:tc>
        <w:tc>
          <w:tcPr>
            <w:tcW w:w="320" w:type="dxa"/>
            <w:vAlign w:val="bottom"/>
          </w:tcPr>
          <w:p>
            <w:pPr>
              <w:spacing w:after="0"/>
              <w:rPr>
                <w:sz w:val="23"/>
                <w:szCs w:val="23"/>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3,889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Oregon</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LOR002</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20,326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(9,558)</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10,768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10,768</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LTX001</w:t>
            </w:r>
          </w:p>
        </w:tc>
        <w:tc>
          <w:tcPr>
            <w:tcW w:w="320" w:type="dxa"/>
            <w:vAlign w:val="bottom"/>
          </w:tcPr>
          <w:p>
            <w:pPr>
              <w:spacing w:after="0"/>
              <w:rPr>
                <w:sz w:val="23"/>
                <w:szCs w:val="23"/>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3,375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3,375</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LTX002</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3,621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3,621</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LVA001</w:t>
            </w:r>
          </w:p>
        </w:tc>
        <w:tc>
          <w:tcPr>
            <w:tcW w:w="320" w:type="dxa"/>
            <w:vAlign w:val="bottom"/>
          </w:tcPr>
          <w:p>
            <w:pPr>
              <w:spacing w:after="0"/>
              <w:rPr>
                <w:sz w:val="23"/>
                <w:szCs w:val="23"/>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60,814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27,115</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87,929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87,929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1,554</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0"/>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LVA001</w:t>
            </w:r>
          </w:p>
        </w:tc>
        <w:tc>
          <w:tcPr>
            <w:tcW w:w="3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11,324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(8,017)</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3,307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3,307</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50"/>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680" w:type="dxa"/>
            <w:vAlign w:val="bottom"/>
          </w:tcPr>
          <w:p>
            <w:pPr>
              <w:spacing w:after="0"/>
              <w:rPr>
                <w:sz w:val="21"/>
                <w:szCs w:val="21"/>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920,503</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16,303</w:t>
            </w:r>
          </w:p>
        </w:tc>
        <w:tc>
          <w:tcPr>
            <w:tcW w:w="10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36,044</w:t>
            </w: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  921,062</w:t>
            </w:r>
          </w:p>
        </w:tc>
        <w:tc>
          <w:tcPr>
            <w:tcW w:w="3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51,788</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972,850</w:t>
            </w:r>
          </w:p>
        </w:tc>
        <w:tc>
          <w:tcPr>
            <w:tcW w:w="2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8,431</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ENTERTAINMENT:</w:t>
            </w:r>
          </w:p>
        </w:tc>
        <w:tc>
          <w:tcPr>
            <w:tcW w:w="32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Alabama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EAL001</w:t>
            </w:r>
          </w:p>
        </w:tc>
        <w:tc>
          <w:tcPr>
            <w:tcW w:w="320" w:type="dxa"/>
            <w:vAlign w:val="bottom"/>
          </w:tcPr>
          <w:p>
            <w:pPr>
              <w:spacing w:after="0"/>
              <w:rPr>
                <w:sz w:val="23"/>
                <w:szCs w:val="23"/>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635</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Alabama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EAL002</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734</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EAZ001</w:t>
            </w:r>
          </w:p>
        </w:tc>
        <w:tc>
          <w:tcPr>
            <w:tcW w:w="320" w:type="dxa"/>
            <w:vAlign w:val="bottom"/>
          </w:tcPr>
          <w:p>
            <w:pPr>
              <w:spacing w:after="0"/>
              <w:rPr>
                <w:sz w:val="23"/>
                <w:szCs w:val="23"/>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1,823</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278</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EAZ002</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1,193</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183</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EAZ003</w:t>
            </w:r>
          </w:p>
        </w:tc>
        <w:tc>
          <w:tcPr>
            <w:tcW w:w="320" w:type="dxa"/>
            <w:vAlign w:val="bottom"/>
          </w:tcPr>
          <w:p>
            <w:pPr>
              <w:spacing w:after="0"/>
              <w:rPr>
                <w:sz w:val="23"/>
                <w:szCs w:val="23"/>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EAZ004</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1,447</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221</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EAZ005</w:t>
            </w:r>
          </w:p>
        </w:tc>
        <w:tc>
          <w:tcPr>
            <w:tcW w:w="320" w:type="dxa"/>
            <w:vAlign w:val="bottom"/>
          </w:tcPr>
          <w:p>
            <w:pPr>
              <w:spacing w:after="0"/>
              <w:rPr>
                <w:sz w:val="23"/>
                <w:szCs w:val="23"/>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207</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EAZ006</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1,091</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EAZ007</w:t>
            </w:r>
          </w:p>
        </w:tc>
        <w:tc>
          <w:tcPr>
            <w:tcW w:w="320" w:type="dxa"/>
            <w:vAlign w:val="bottom"/>
          </w:tcPr>
          <w:p>
            <w:pPr>
              <w:spacing w:after="0"/>
              <w:rPr>
                <w:sz w:val="23"/>
                <w:szCs w:val="23"/>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229</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EAZ008</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1,526</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233</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EAZ009</w:t>
            </w:r>
          </w:p>
        </w:tc>
        <w:tc>
          <w:tcPr>
            <w:tcW w:w="320" w:type="dxa"/>
            <w:vAlign w:val="bottom"/>
          </w:tcPr>
          <w:p>
            <w:pPr>
              <w:spacing w:after="0"/>
              <w:rPr>
                <w:sz w:val="23"/>
                <w:szCs w:val="23"/>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161</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ECA001</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2,521</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384</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ECA002</w:t>
            </w:r>
          </w:p>
        </w:tc>
        <w:tc>
          <w:tcPr>
            <w:tcW w:w="320" w:type="dxa"/>
            <w:vAlign w:val="bottom"/>
          </w:tcPr>
          <w:p>
            <w:pPr>
              <w:spacing w:after="0"/>
              <w:rPr>
                <w:sz w:val="23"/>
                <w:szCs w:val="23"/>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ECA003</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762</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ECA004</w:t>
            </w:r>
          </w:p>
        </w:tc>
        <w:tc>
          <w:tcPr>
            <w:tcW w:w="320" w:type="dxa"/>
            <w:vAlign w:val="bottom"/>
          </w:tcPr>
          <w:p>
            <w:pPr>
              <w:spacing w:after="0"/>
              <w:rPr>
                <w:sz w:val="23"/>
                <w:szCs w:val="23"/>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3,762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575</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ECA005</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1,554</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237</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38" w:right="239" w:bottom="1440" w:gutter="0" w:footer="0" w:header="0"/>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00"/>
          </w:cols>
          <w:pgMar w:left="260" w:top="738" w:right="239" w:bottom="1440" w:gutter="0" w:footer="0" w:header="0"/>
          <w:type w:val="continuous"/>
        </w:sectPr>
      </w:pPr>
    </w:p>
    <w:bookmarkStart w:id="102" w:name="page103"/>
    <w:bookmarkEnd w:id="10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2014</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Gross Amount Carried</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6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7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at Close of Period</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Depreciable</w:t>
            </w:r>
          </w:p>
        </w:tc>
        <w:tc>
          <w:tcPr>
            <w:tcW w:w="0" w:type="dxa"/>
            <w:vAlign w:val="bottom"/>
          </w:tcPr>
          <w:p>
            <w:pPr>
              <w:spacing w:after="0"/>
              <w:rPr>
                <w:sz w:val="1"/>
                <w:szCs w:val="1"/>
                <w:color w:val="auto"/>
              </w:rPr>
            </w:pPr>
          </w:p>
        </w:tc>
      </w:tr>
      <w:tr>
        <w:trPr>
          <w:trHeight w:val="149"/>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0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7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5"/>
        </w:trPr>
        <w:tc>
          <w:tcPr>
            <w:tcW w:w="820" w:type="dxa"/>
            <w:vAlign w:val="bottom"/>
            <w:tcBorders>
              <w:bottom w:val="single" w:sz="8" w:color="auto"/>
            </w:tcBorders>
            <w:vMerge w:val="continue"/>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Encumbrances</w:t>
            </w:r>
          </w:p>
        </w:tc>
        <w:tc>
          <w:tcPr>
            <w:tcW w:w="4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Acquisition(2)</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50"/>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ECA006</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932</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720</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934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1,654</w:t>
            </w:r>
          </w:p>
        </w:tc>
        <w:tc>
          <w:tcPr>
            <w:tcW w:w="22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252</w:t>
            </w:r>
          </w:p>
        </w:tc>
        <w:tc>
          <w:tcPr>
            <w:tcW w:w="2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ECA007</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743</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574</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1,316</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201</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ECA008</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508</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392</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899</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ECA009</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464</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358</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821</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ECA010</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18,000</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18,000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18,000</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4,760</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2003</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ECA011</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1,101</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852</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1,951</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298</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ECA012</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1,572</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2,034</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1,572</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2,039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3,611</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551</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ECA013</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1,953</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25,772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27,725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27,725</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4,042</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ECA014</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852</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659</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1,509</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231</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ECA015</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729</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562</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1,292</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197</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ECA016</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1,159</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896</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1,157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2,053</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314</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ECO001</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602</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466</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1,067</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163</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ECO002</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827</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640</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830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1,470</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224</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ECO003</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944</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729</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946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1,675</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255</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ECO004</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694</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536</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1,229</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188</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ECO005</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533</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412</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947</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ECO006</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1,165</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901</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1,163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2,064</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316</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Connecticut</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ECT001</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1,420</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1,097</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2,515</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385</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Connecticut</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ECT002</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426</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330</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757</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EDE001</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1,390</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1,076</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2,473</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377</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EFL001</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41,809</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41,809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41,809</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15,198</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EFL002</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412</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943</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EFL003</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6,550</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17,118</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6,533</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17,135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23,668</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3,281</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EFL004</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1,382</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1,067</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1,386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2,453</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374</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EFL005</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439</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340</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778</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EFL006</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520</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401</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922</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141</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EFL007</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655</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507</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1,161</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178</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EFL008</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364</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282</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645</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EFL009</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455</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352</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808</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EFL011</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567</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437</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1,005</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EFL012</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689</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532</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1,222</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186</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EFL014</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629</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486</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1,117</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170</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EFL016</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643</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497</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1,139</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EFL018</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833</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643</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1,474</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EFL019</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4,200</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18,272</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4,200</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18,272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22,472</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4,497</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EFL020</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714</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551</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1,263</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193</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38" w:right="239" w:bottom="1440" w:gutter="0" w:footer="0" w:header="0"/>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00"/>
          </w:cols>
          <w:pgMar w:left="260" w:top="738" w:right="239" w:bottom="1440" w:gutter="0" w:footer="0" w:header="0"/>
          <w:type w:val="continuous"/>
        </w:sectPr>
      </w:pPr>
    </w:p>
    <w:bookmarkStart w:id="103" w:name="page104"/>
    <w:bookmarkEnd w:id="10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2014</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Gross Amount Carried</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7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at Close of Period</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Depreciable</w:t>
            </w:r>
          </w:p>
        </w:tc>
        <w:tc>
          <w:tcPr>
            <w:tcW w:w="0" w:type="dxa"/>
            <w:vAlign w:val="bottom"/>
          </w:tcPr>
          <w:p>
            <w:pPr>
              <w:spacing w:after="0"/>
              <w:rPr>
                <w:sz w:val="1"/>
                <w:szCs w:val="1"/>
                <w:color w:val="auto"/>
              </w:rPr>
            </w:pPr>
          </w:p>
        </w:tc>
      </w:tr>
      <w:tr>
        <w:trPr>
          <w:trHeight w:val="149"/>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0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7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5"/>
        </w:trPr>
        <w:tc>
          <w:tcPr>
            <w:tcW w:w="900" w:type="dxa"/>
            <w:vAlign w:val="bottom"/>
            <w:tcBorders>
              <w:bottom w:val="single" w:sz="8" w:color="auto"/>
            </w:tcBorders>
            <w:vMerge w:val="continue"/>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Encumbrances</w:t>
            </w:r>
          </w:p>
        </w:tc>
        <w:tc>
          <w:tcPr>
            <w:tcW w:w="4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Acquisition(2)</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50"/>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EFL021</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470</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364</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833</w:t>
            </w:r>
          </w:p>
        </w:tc>
        <w:tc>
          <w:tcPr>
            <w:tcW w:w="22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w:t>
            </w:r>
          </w:p>
        </w:tc>
        <w:tc>
          <w:tcPr>
            <w:tcW w:w="2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EFL022</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656</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507</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1,165</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178</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EFL023</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19,337</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19,337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19,337</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4,759</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EGA001</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660</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510</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1,168</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179</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EGA002</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371</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286</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372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658</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EGA003</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613</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474</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1,088</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166</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EGA004</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752</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581</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754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1,335</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203</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EGA005</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930</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718</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1,646</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252</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EGA006</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706</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546</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708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1,254</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191</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EGA007</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651</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502</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1,152</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176</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EIL001</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434</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335</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770</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EIL002</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622</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481</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1,104</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168</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EIL003</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8,803</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30,479</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8,803</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30,536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39,339</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5,583</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EIL004</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560</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433</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991</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EIL005</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557</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431</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987</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Indiana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EIN001</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701</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542</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1,242</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Kentucky</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EKY001</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539</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417</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957</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146</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Kentucky</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EKY002</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473</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365</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837</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Massachusetts</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EMA001</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678</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523</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1,199</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183</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Massachusetts</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EMA002</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711</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548</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1,260</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192</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Massachusetts</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EMA003</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672</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519</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1,189</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Massachusetts</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EMA004</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445</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344</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790</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EMD001</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554</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428</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983</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EMD002</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745</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575</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1,322</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EMD003</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468</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362</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829</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EMD004</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1,145</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884</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310</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EMD006</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518</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399</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916</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EMD007</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839</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649</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1,486</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227</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EMD008</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366</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839</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EMD009</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516</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398</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913</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EMD011</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1,458</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1,126</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1,461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2,587</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394</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Michigan</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EMI002</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667</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516</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1,182</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181</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Michigan</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EMI003</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718</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554</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720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1,274</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Michigan</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EMI004</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387</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886</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Michigan</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EMI005</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691</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533</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689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1,222</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Minnesota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EMN001</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861</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666</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1,525</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233</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38" w:right="239" w:bottom="1440" w:gutter="0" w:footer="0" w:header="0"/>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1400"/>
          </w:cols>
          <w:pgMar w:left="260" w:top="738" w:right="239" w:bottom="1440" w:gutter="0" w:footer="0" w:header="0"/>
          <w:type w:val="continuous"/>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2014</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Gross Amount Carried</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6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7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at Close of Period</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Depreciable</w:t>
            </w:r>
          </w:p>
        </w:tc>
        <w:tc>
          <w:tcPr>
            <w:tcW w:w="0" w:type="dxa"/>
            <w:vAlign w:val="bottom"/>
          </w:tcPr>
          <w:p>
            <w:pPr>
              <w:spacing w:after="0"/>
              <w:rPr>
                <w:sz w:val="1"/>
                <w:szCs w:val="1"/>
                <w:color w:val="auto"/>
              </w:rPr>
            </w:pPr>
          </w:p>
        </w:tc>
      </w:tr>
      <w:tr>
        <w:trPr>
          <w:trHeight w:val="149"/>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0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7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5"/>
        </w:trPr>
        <w:tc>
          <w:tcPr>
            <w:tcW w:w="820" w:type="dxa"/>
            <w:vAlign w:val="bottom"/>
            <w:tcBorders>
              <w:bottom w:val="single" w:sz="8" w:color="auto"/>
            </w:tcBorders>
            <w:vMerge w:val="continue"/>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Encumbrances</w:t>
            </w:r>
          </w:p>
        </w:tc>
        <w:tc>
          <w:tcPr>
            <w:tcW w:w="4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Acquisition(2)</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50"/>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Minnesota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EMN002</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2,962</w:t>
            </w:r>
          </w:p>
        </w:tc>
        <w:tc>
          <w:tcPr>
            <w:tcW w:w="10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15,384</w:t>
            </w: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2,962</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15,384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18,346</w:t>
            </w:r>
          </w:p>
        </w:tc>
        <w:tc>
          <w:tcPr>
            <w:tcW w:w="22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3,078</w:t>
            </w:r>
          </w:p>
        </w:tc>
        <w:tc>
          <w:tcPr>
            <w:tcW w:w="2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Minnesota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EMN004</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2,437</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8,715</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2,437</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9,394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11,831</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2,292</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Missouri</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EMO001</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432</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334</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767</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Missouri</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EMO002</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523</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404</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925</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Missouri</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EMO003</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597</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462</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1,058</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162</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Missouri</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EMO004</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1,139</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878</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2,020</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308</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53"/>
        </w:trPr>
        <w:tc>
          <w:tcPr>
            <w:tcW w:w="8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North</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ENC001</w:t>
            </w:r>
          </w:p>
        </w:tc>
        <w:tc>
          <w:tcPr>
            <w:tcW w:w="1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513</w:t>
            </w:r>
          </w:p>
        </w:tc>
        <w:tc>
          <w:tcPr>
            <w:tcW w:w="10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397</w:t>
            </w:r>
          </w:p>
        </w:tc>
        <w:tc>
          <w:tcPr>
            <w:tcW w:w="10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514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911</w:t>
            </w:r>
          </w:p>
        </w:tc>
        <w:tc>
          <w:tcPr>
            <w:tcW w:w="22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139</w:t>
            </w:r>
          </w:p>
        </w:tc>
        <w:tc>
          <w:tcPr>
            <w:tcW w:w="22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3"/>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Carolina</w:t>
            </w:r>
          </w:p>
        </w:tc>
        <w:tc>
          <w:tcPr>
            <w:tcW w:w="68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8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North</w:t>
            </w:r>
          </w:p>
        </w:tc>
        <w:tc>
          <w:tcPr>
            <w:tcW w:w="6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ENC002</w:t>
            </w:r>
          </w:p>
        </w:tc>
        <w:tc>
          <w:tcPr>
            <w:tcW w:w="13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615</w:t>
            </w:r>
          </w:p>
        </w:tc>
        <w:tc>
          <w:tcPr>
            <w:tcW w:w="10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476</w:t>
            </w:r>
          </w:p>
        </w:tc>
        <w:tc>
          <w:tcPr>
            <w:tcW w:w="10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1,090</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w:t>
            </w: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Carolina</w:t>
            </w:r>
          </w:p>
        </w:tc>
        <w:tc>
          <w:tcPr>
            <w:tcW w:w="68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North</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ENC003</w:t>
            </w:r>
          </w:p>
        </w:tc>
        <w:tc>
          <w:tcPr>
            <w:tcW w:w="1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530</w:t>
            </w:r>
          </w:p>
        </w:tc>
        <w:tc>
          <w:tcPr>
            <w:tcW w:w="10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410</w:t>
            </w:r>
          </w:p>
        </w:tc>
        <w:tc>
          <w:tcPr>
            <w:tcW w:w="10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939</w:t>
            </w:r>
          </w:p>
        </w:tc>
        <w:tc>
          <w:tcPr>
            <w:tcW w:w="22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3"/>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Carolina</w:t>
            </w:r>
          </w:p>
        </w:tc>
        <w:tc>
          <w:tcPr>
            <w:tcW w:w="68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8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North</w:t>
            </w:r>
          </w:p>
        </w:tc>
        <w:tc>
          <w:tcPr>
            <w:tcW w:w="6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ENC004</w:t>
            </w:r>
          </w:p>
        </w:tc>
        <w:tc>
          <w:tcPr>
            <w:tcW w:w="13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520</w:t>
            </w:r>
          </w:p>
        </w:tc>
        <w:tc>
          <w:tcPr>
            <w:tcW w:w="10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402</w:t>
            </w:r>
          </w:p>
        </w:tc>
        <w:tc>
          <w:tcPr>
            <w:tcW w:w="10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921</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141</w:t>
            </w: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Carolina</w:t>
            </w:r>
          </w:p>
        </w:tc>
        <w:tc>
          <w:tcPr>
            <w:tcW w:w="68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North</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ENC005</w:t>
            </w:r>
          </w:p>
        </w:tc>
        <w:tc>
          <w:tcPr>
            <w:tcW w:w="1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1,227</w:t>
            </w:r>
          </w:p>
        </w:tc>
        <w:tc>
          <w:tcPr>
            <w:tcW w:w="10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948</w:t>
            </w:r>
          </w:p>
        </w:tc>
        <w:tc>
          <w:tcPr>
            <w:tcW w:w="10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2,178</w:t>
            </w:r>
          </w:p>
        </w:tc>
        <w:tc>
          <w:tcPr>
            <w:tcW w:w="22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332</w:t>
            </w:r>
          </w:p>
        </w:tc>
        <w:tc>
          <w:tcPr>
            <w:tcW w:w="22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3"/>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Carolina</w:t>
            </w:r>
          </w:p>
        </w:tc>
        <w:tc>
          <w:tcPr>
            <w:tcW w:w="68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8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North</w:t>
            </w:r>
          </w:p>
        </w:tc>
        <w:tc>
          <w:tcPr>
            <w:tcW w:w="6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ENC006</w:t>
            </w:r>
          </w:p>
        </w:tc>
        <w:tc>
          <w:tcPr>
            <w:tcW w:w="13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336</w:t>
            </w:r>
          </w:p>
        </w:tc>
        <w:tc>
          <w:tcPr>
            <w:tcW w:w="10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259</w:t>
            </w:r>
          </w:p>
        </w:tc>
        <w:tc>
          <w:tcPr>
            <w:tcW w:w="10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594</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w:t>
            </w: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Carolina</w:t>
            </w:r>
          </w:p>
        </w:tc>
        <w:tc>
          <w:tcPr>
            <w:tcW w:w="68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North</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ENC007</w:t>
            </w:r>
          </w:p>
        </w:tc>
        <w:tc>
          <w:tcPr>
            <w:tcW w:w="1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452</w:t>
            </w:r>
          </w:p>
        </w:tc>
        <w:tc>
          <w:tcPr>
            <w:tcW w:w="10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349</w:t>
            </w:r>
          </w:p>
        </w:tc>
        <w:tc>
          <w:tcPr>
            <w:tcW w:w="10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453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802</w:t>
            </w:r>
          </w:p>
        </w:tc>
        <w:tc>
          <w:tcPr>
            <w:tcW w:w="22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122</w:t>
            </w:r>
          </w:p>
        </w:tc>
        <w:tc>
          <w:tcPr>
            <w:tcW w:w="22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3"/>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Carolina</w:t>
            </w:r>
          </w:p>
        </w:tc>
        <w:tc>
          <w:tcPr>
            <w:tcW w:w="68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8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North</w:t>
            </w:r>
          </w:p>
        </w:tc>
        <w:tc>
          <w:tcPr>
            <w:tcW w:w="6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ENC008</w:t>
            </w:r>
          </w:p>
        </w:tc>
        <w:tc>
          <w:tcPr>
            <w:tcW w:w="13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828</w:t>
            </w:r>
          </w:p>
        </w:tc>
        <w:tc>
          <w:tcPr>
            <w:tcW w:w="10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640</w:t>
            </w:r>
          </w:p>
        </w:tc>
        <w:tc>
          <w:tcPr>
            <w:tcW w:w="10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1,470</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224</w:t>
            </w: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Carolina</w:t>
            </w:r>
          </w:p>
        </w:tc>
        <w:tc>
          <w:tcPr>
            <w:tcW w:w="68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North</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ENC009</w:t>
            </w:r>
          </w:p>
        </w:tc>
        <w:tc>
          <w:tcPr>
            <w:tcW w:w="1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531</w:t>
            </w:r>
          </w:p>
        </w:tc>
        <w:tc>
          <w:tcPr>
            <w:tcW w:w="10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409</w:t>
            </w:r>
          </w:p>
        </w:tc>
        <w:tc>
          <w:tcPr>
            <w:tcW w:w="10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532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941</w:t>
            </w:r>
          </w:p>
        </w:tc>
        <w:tc>
          <w:tcPr>
            <w:tcW w:w="22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22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3"/>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Carolina</w:t>
            </w:r>
          </w:p>
        </w:tc>
        <w:tc>
          <w:tcPr>
            <w:tcW w:w="68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8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North</w:t>
            </w:r>
          </w:p>
        </w:tc>
        <w:tc>
          <w:tcPr>
            <w:tcW w:w="6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ENC010</w:t>
            </w:r>
          </w:p>
        </w:tc>
        <w:tc>
          <w:tcPr>
            <w:tcW w:w="13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1,249</w:t>
            </w:r>
          </w:p>
        </w:tc>
        <w:tc>
          <w:tcPr>
            <w:tcW w:w="10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965</w:t>
            </w:r>
          </w:p>
        </w:tc>
        <w:tc>
          <w:tcPr>
            <w:tcW w:w="10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2,211</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338</w:t>
            </w: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Carolina</w:t>
            </w:r>
          </w:p>
        </w:tc>
        <w:tc>
          <w:tcPr>
            <w:tcW w:w="68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North</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ENC011</w:t>
            </w:r>
          </w:p>
        </w:tc>
        <w:tc>
          <w:tcPr>
            <w:tcW w:w="1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615</w:t>
            </w:r>
          </w:p>
        </w:tc>
        <w:tc>
          <w:tcPr>
            <w:tcW w:w="10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475</w:t>
            </w:r>
          </w:p>
        </w:tc>
        <w:tc>
          <w:tcPr>
            <w:tcW w:w="10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616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1,091</w:t>
            </w:r>
          </w:p>
        </w:tc>
        <w:tc>
          <w:tcPr>
            <w:tcW w:w="22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166</w:t>
            </w:r>
          </w:p>
        </w:tc>
        <w:tc>
          <w:tcPr>
            <w:tcW w:w="22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3"/>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Carolina</w:t>
            </w:r>
          </w:p>
        </w:tc>
        <w:tc>
          <w:tcPr>
            <w:tcW w:w="68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8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North</w:t>
            </w:r>
          </w:p>
        </w:tc>
        <w:tc>
          <w:tcPr>
            <w:tcW w:w="6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ENC012</w:t>
            </w:r>
          </w:p>
        </w:tc>
        <w:tc>
          <w:tcPr>
            <w:tcW w:w="13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638</w:t>
            </w:r>
          </w:p>
        </w:tc>
        <w:tc>
          <w:tcPr>
            <w:tcW w:w="10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494</w:t>
            </w:r>
          </w:p>
        </w:tc>
        <w:tc>
          <w:tcPr>
            <w:tcW w:w="10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1,131</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173</w:t>
            </w: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8"/>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Carolina</w:t>
            </w:r>
          </w:p>
        </w:tc>
        <w:tc>
          <w:tcPr>
            <w:tcW w:w="68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Jersey</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ENJ001</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1,560</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2,019</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1,560</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2,015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3,575</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547</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Jersey</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ENJ002</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1,075</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830</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1,907</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291</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Nevada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ENV001</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569</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440</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1,008</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ENY001</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779</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603</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1,381</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211</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ENY002</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571</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442</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1,015</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ENY004</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499</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385</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883</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ENY005</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453</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350</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804</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ENY006</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421</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326</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749</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ENY007</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640</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494</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1,136</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173</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ENY008</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414</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320</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733</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ENY009</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516</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399</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914</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ENY010</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1,240</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959</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2,196</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336</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ENY011</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761</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587</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763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1,350</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206</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ENY012</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675</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521</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1,194</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183</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ENY013</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920</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711</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922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1,633</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249</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ENY014</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723</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558</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1,279</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196</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ENY015</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967</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747</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970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1,717</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262</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ENY016</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885</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683</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1,566</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38" w:right="239" w:bottom="1440" w:gutter="0" w:footer="0" w:header="0"/>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1400"/>
          </w:cols>
          <w:pgMar w:left="260" w:top="738" w:right="239" w:bottom="1440" w:gutter="0" w:footer="0" w:header="0"/>
          <w:type w:val="continuous"/>
        </w:sectPr>
      </w:pPr>
    </w:p>
    <w:bookmarkStart w:id="105" w:name="page106"/>
    <w:bookmarkEnd w:id="10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2014</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Gross Amount Carried</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7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at Close of Period</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Depreciable</w:t>
            </w:r>
          </w:p>
        </w:tc>
        <w:tc>
          <w:tcPr>
            <w:tcW w:w="0" w:type="dxa"/>
            <w:vAlign w:val="bottom"/>
          </w:tcPr>
          <w:p>
            <w:pPr>
              <w:spacing w:after="0"/>
              <w:rPr>
                <w:sz w:val="1"/>
                <w:szCs w:val="1"/>
                <w:color w:val="auto"/>
              </w:rPr>
            </w:pPr>
          </w:p>
        </w:tc>
      </w:tr>
      <w:tr>
        <w:trPr>
          <w:trHeight w:val="149"/>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0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7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5"/>
        </w:trPr>
        <w:tc>
          <w:tcPr>
            <w:tcW w:w="840" w:type="dxa"/>
            <w:vAlign w:val="bottom"/>
            <w:tcBorders>
              <w:bottom w:val="single" w:sz="8" w:color="auto"/>
            </w:tcBorders>
            <w:vMerge w:val="continue"/>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Encumbrances</w:t>
            </w:r>
          </w:p>
        </w:tc>
        <w:tc>
          <w:tcPr>
            <w:tcW w:w="46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Acquisition(2)</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ENY017</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1,492</w:t>
            </w:r>
          </w:p>
        </w:tc>
        <w:tc>
          <w:tcPr>
            <w:tcW w:w="10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1,933</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1,492</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1,937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3,429</w:t>
            </w:r>
          </w:p>
        </w:tc>
        <w:tc>
          <w:tcPr>
            <w:tcW w:w="22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523</w:t>
            </w:r>
          </w:p>
        </w:tc>
        <w:tc>
          <w:tcPr>
            <w:tcW w:w="2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ENY018</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1,471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1,904</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1,471</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3,371</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516</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Ohio</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EOH001</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562</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434</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997</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Ohio</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EOH002</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967</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1,252</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967</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2,217</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339</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Ohio</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EOH003</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365</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281</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645</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Ohio</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EOH004</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508</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393</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903</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Oklahoma</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EOK001</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557</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431</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987</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Oklahoma</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EOK002</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1,235</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954</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2,192</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334</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Oregon</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EOR002</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508</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393</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900</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EPA001</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527</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407</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935</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EPA002</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544</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421</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967</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EPA003</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528</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409</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936</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EPA004</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527</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407</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933</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Puerto Rico</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EPR001</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1,230</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950</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2,183</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333</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Rhode Island</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ERI001</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1,100</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850</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1,098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1,948</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298</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58"/>
        </w:trPr>
        <w:tc>
          <w:tcPr>
            <w:tcW w:w="8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South</w:t>
            </w:r>
          </w:p>
        </w:tc>
        <w:tc>
          <w:tcPr>
            <w:tcW w:w="6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ESC002</w:t>
            </w:r>
          </w:p>
        </w:tc>
        <w:tc>
          <w:tcPr>
            <w:tcW w:w="13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429</w:t>
            </w:r>
          </w:p>
        </w:tc>
        <w:tc>
          <w:tcPr>
            <w:tcW w:w="10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332</w:t>
            </w:r>
          </w:p>
        </w:tc>
        <w:tc>
          <w:tcPr>
            <w:tcW w:w="10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762</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w:t>
            </w: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8"/>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Carolina</w:t>
            </w:r>
          </w:p>
        </w:tc>
        <w:tc>
          <w:tcPr>
            <w:tcW w:w="68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South</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ESC003</w:t>
            </w:r>
          </w:p>
        </w:tc>
        <w:tc>
          <w:tcPr>
            <w:tcW w:w="1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1,196</w:t>
            </w:r>
          </w:p>
        </w:tc>
        <w:tc>
          <w:tcPr>
            <w:tcW w:w="10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924</w:t>
            </w:r>
          </w:p>
        </w:tc>
        <w:tc>
          <w:tcPr>
            <w:tcW w:w="10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1,199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2,123</w:t>
            </w:r>
          </w:p>
        </w:tc>
        <w:tc>
          <w:tcPr>
            <w:tcW w:w="22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324</w:t>
            </w:r>
          </w:p>
        </w:tc>
        <w:tc>
          <w:tcPr>
            <w:tcW w:w="22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3"/>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Carolina</w:t>
            </w:r>
          </w:p>
        </w:tc>
        <w:tc>
          <w:tcPr>
            <w:tcW w:w="68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Tennessee</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ETN001</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260</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598</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ETX001</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1,045</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1,353</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1,045</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1,356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2,401</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366</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ETX002</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767</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593</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1,358</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208</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ETX004</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1,083</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838</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1,081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1,919</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294</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ETX005</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682</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528</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1,209</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185</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ETX006</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622</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480</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1,101</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168</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ETX007</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1,261</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975</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2,233</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342</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ETX008</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1,108</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1,433</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1,108</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1,430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2,538</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388</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ETX009</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549</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425</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918</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ETX010</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671</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518</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1,191</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ETX011</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981</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758</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1,742</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266</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ETX013</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485</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375</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859</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131</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ETX014</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567</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438</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1,004</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154</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ETX017</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726</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561</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1,289</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196</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ETX018</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976</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753</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1,731</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264</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ETX019</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675</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521</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1,198</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183</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ETX020</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821</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634</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1,454</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222</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ETX021</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491</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379</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869</w:t>
            </w:r>
          </w:p>
        </w:tc>
        <w:tc>
          <w:tcPr>
            <w:tcW w:w="2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2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ETX022</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766</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592</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1,360</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38" w:right="239" w:bottom="1440" w:gutter="0" w:footer="0" w:header="0"/>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1400"/>
          </w:cols>
          <w:pgMar w:left="260" w:top="738" w:right="239" w:bottom="1440" w:gutter="0" w:footer="0" w:header="0"/>
          <w:type w:val="continuous"/>
        </w:sectPr>
      </w:pPr>
    </w:p>
    <w:bookmarkStart w:id="106" w:name="page107"/>
    <w:bookmarkEnd w:id="10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2014</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Gross Amount Carried</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7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at Close of Period</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Depreciable</w:t>
            </w:r>
          </w:p>
        </w:tc>
        <w:tc>
          <w:tcPr>
            <w:tcW w:w="0" w:type="dxa"/>
            <w:vAlign w:val="bottom"/>
          </w:tcPr>
          <w:p>
            <w:pPr>
              <w:spacing w:after="0"/>
              <w:rPr>
                <w:sz w:val="1"/>
                <w:szCs w:val="1"/>
                <w:color w:val="auto"/>
              </w:rPr>
            </w:pPr>
          </w:p>
        </w:tc>
      </w:tr>
      <w:tr>
        <w:trPr>
          <w:trHeight w:val="149"/>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0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7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5"/>
        </w:trPr>
        <w:tc>
          <w:tcPr>
            <w:tcW w:w="840" w:type="dxa"/>
            <w:vAlign w:val="bottom"/>
            <w:tcBorders>
              <w:bottom w:val="single" w:sz="8" w:color="auto"/>
            </w:tcBorders>
            <w:vMerge w:val="continue"/>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Encumbrances</w:t>
            </w:r>
          </w:p>
        </w:tc>
        <w:tc>
          <w:tcPr>
            <w:tcW w:w="46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Acquisition(2)</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Utah</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EUT001</w:t>
            </w:r>
          </w:p>
        </w:tc>
        <w:tc>
          <w:tcPr>
            <w:tcW w:w="320" w:type="dxa"/>
            <w:vAlign w:val="bottom"/>
          </w:tcPr>
          <w:p>
            <w:pPr>
              <w:spacing w:after="0"/>
              <w:rPr>
                <w:sz w:val="21"/>
                <w:szCs w:val="21"/>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219</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EVA001</w:t>
            </w: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1,467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1,471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2,605</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397</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EVA002</w:t>
            </w:r>
          </w:p>
        </w:tc>
        <w:tc>
          <w:tcPr>
            <w:tcW w:w="32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1,941</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296</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EVA003</w:t>
            </w: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310</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EVA004</w:t>
            </w:r>
          </w:p>
        </w:tc>
        <w:tc>
          <w:tcPr>
            <w:tcW w:w="32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2,183</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334</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EVA005</w:t>
            </w: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1,120</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EVA006</w:t>
            </w:r>
          </w:p>
        </w:tc>
        <w:tc>
          <w:tcPr>
            <w:tcW w:w="32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EVA007</w:t>
            </w: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2,638</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403</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EVA008</w:t>
            </w:r>
          </w:p>
        </w:tc>
        <w:tc>
          <w:tcPr>
            <w:tcW w:w="32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191</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EVA009</w:t>
            </w: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1,957</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298</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EVA010</w:t>
            </w:r>
          </w:p>
        </w:tc>
        <w:tc>
          <w:tcPr>
            <w:tcW w:w="32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1,882</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287</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EVA011</w:t>
            </w: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2,201</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336</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EVA012</w:t>
            </w:r>
          </w:p>
        </w:tc>
        <w:tc>
          <w:tcPr>
            <w:tcW w:w="32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1,806</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276</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EVA013</w:t>
            </w: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1,269</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194</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Washington</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EWA001</w:t>
            </w:r>
          </w:p>
        </w:tc>
        <w:tc>
          <w:tcPr>
            <w:tcW w:w="32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8,000</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2,116</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2003</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Wisconsin</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EWI001</w:t>
            </w: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1,198</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183</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Wisconsin</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EWI002</w:t>
            </w:r>
          </w:p>
        </w:tc>
        <w:tc>
          <w:tcPr>
            <w:tcW w:w="32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Wisconsin</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EWI003</w:t>
            </w: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1,242</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Wisconsin</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EWI004</w:t>
            </w:r>
          </w:p>
        </w:tc>
        <w:tc>
          <w:tcPr>
            <w:tcW w:w="32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1,816</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278</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Wisconsin</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EWI005</w:t>
            </w:r>
          </w:p>
        </w:tc>
        <w:tc>
          <w:tcPr>
            <w:tcW w:w="3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2,589</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394</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680" w:type="dxa"/>
            <w:vAlign w:val="bottom"/>
          </w:tcPr>
          <w:p>
            <w:pPr>
              <w:spacing w:after="0"/>
              <w:rPr>
                <w:sz w:val="21"/>
                <w:szCs w:val="21"/>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129,798</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248,396</w:t>
            </w:r>
          </w:p>
        </w:tc>
        <w:tc>
          <w:tcPr>
            <w:tcW w:w="10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89,411</w:t>
            </w: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  129,781</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337,824</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467,605</w:t>
            </w:r>
          </w:p>
        </w:tc>
        <w:tc>
          <w:tcPr>
            <w:tcW w:w="2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85,812</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6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RAZ003</w:t>
            </w:r>
          </w:p>
        </w:tc>
        <w:tc>
          <w:tcPr>
            <w:tcW w:w="32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4,875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8,855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515</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RAZ004</w:t>
            </w: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2,184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4,056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(1,588)</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2,184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4,652</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194</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RAZ005</w:t>
            </w:r>
          </w:p>
        </w:tc>
        <w:tc>
          <w:tcPr>
            <w:tcW w:w="32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2,666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5,046</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326</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RCA001</w:t>
            </w: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2,569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3,031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2,569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5,970</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413</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RCO001</w:t>
            </w:r>
          </w:p>
        </w:tc>
        <w:tc>
          <w:tcPr>
            <w:tcW w:w="32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5,195</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8,105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1,048</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RFL003</w:t>
            </w: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(1)</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14,235</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2,147</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Hawaii</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RHI001</w:t>
            </w:r>
          </w:p>
        </w:tc>
        <w:tc>
          <w:tcPr>
            <w:tcW w:w="32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21,155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(10,144)</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14,404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1,895</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RIL001</w:t>
            </w: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1,529</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406</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RIL002</w:t>
            </w:r>
          </w:p>
        </w:tc>
        <w:tc>
          <w:tcPr>
            <w:tcW w:w="32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29,675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5,606</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14,934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35,281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50,215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2,961</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Mexico</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RNM001</w:t>
            </w: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(1)</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8,370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8,398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10,103</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1,592</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RNY001</w:t>
            </w:r>
          </w:p>
        </w:tc>
        <w:tc>
          <w:tcPr>
            <w:tcW w:w="320" w:type="dxa"/>
            <w:vAlign w:val="bottom"/>
          </w:tcPr>
          <w:p>
            <w:pPr>
              <w:spacing w:after="0"/>
              <w:rPr>
                <w:sz w:val="23"/>
                <w:szCs w:val="23"/>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6,073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6,792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7,503</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1,725</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RPA001</w:t>
            </w: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5,687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56,950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2,367</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5,687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59,317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65,004</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6,264</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53"/>
        </w:trPr>
        <w:tc>
          <w:tcPr>
            <w:tcW w:w="8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South</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RSC001</w:t>
            </w:r>
          </w:p>
        </w:tc>
        <w:tc>
          <w:tcPr>
            <w:tcW w:w="320" w:type="dxa"/>
            <w:vAlign w:val="bottom"/>
          </w:tcPr>
          <w:p>
            <w:pPr>
              <w:spacing w:after="0"/>
              <w:rPr>
                <w:sz w:val="13"/>
                <w:szCs w:val="13"/>
                <w:color w:val="auto"/>
              </w:rPr>
            </w:pP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3"/>
                <w:szCs w:val="13"/>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1,337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2,351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185</w:t>
            </w:r>
          </w:p>
        </w:tc>
        <w:tc>
          <w:tcPr>
            <w:tcW w:w="900" w:type="dxa"/>
            <w:vAlign w:val="bottom"/>
            <w:gridSpan w:val="2"/>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3"/>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Carolina</w:t>
            </w:r>
          </w:p>
        </w:tc>
        <w:tc>
          <w:tcPr>
            <w:tcW w:w="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RTX001</w:t>
            </w: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(1)</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3,538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4,215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3,514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7,924</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1,249</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38" w:right="239" w:bottom="1440" w:gutter="0" w:footer="0" w:header="0"/>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1400"/>
          </w:cols>
          <w:pgMar w:left="260" w:top="738" w:right="239" w:bottom="1440" w:gutter="0" w:footer="0" w:header="0"/>
          <w:type w:val="continuous"/>
        </w:sectPr>
      </w:pPr>
    </w:p>
    <w:bookmarkStart w:id="107" w:name="page108"/>
    <w:bookmarkEnd w:id="10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2014</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6"/>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Gross Amount Carried</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at Close of Period</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Depreciable</w:t>
            </w:r>
          </w:p>
        </w:tc>
        <w:tc>
          <w:tcPr>
            <w:tcW w:w="0" w:type="dxa"/>
            <w:vAlign w:val="bottom"/>
          </w:tcPr>
          <w:p>
            <w:pPr>
              <w:spacing w:after="0"/>
              <w:rPr>
                <w:sz w:val="1"/>
                <w:szCs w:val="1"/>
                <w:color w:val="auto"/>
              </w:rPr>
            </w:pPr>
          </w:p>
        </w:tc>
      </w:tr>
      <w:tr>
        <w:trPr>
          <w:trHeight w:val="149"/>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4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0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16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5"/>
        </w:trPr>
        <w:tc>
          <w:tcPr>
            <w:tcW w:w="84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Encumbrances</w:t>
            </w:r>
          </w:p>
        </w:tc>
        <w:tc>
          <w:tcPr>
            <w:tcW w:w="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 w:type="dxa"/>
            <w:vAlign w:val="bottom"/>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Acquisition(2)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5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RTX002</w:t>
            </w:r>
          </w:p>
        </w:tc>
        <w:tc>
          <w:tcPr>
            <w:tcW w:w="52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2,709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RTX003</w:t>
            </w:r>
          </w:p>
        </w:tc>
        <w:tc>
          <w:tcPr>
            <w:tcW w:w="520" w:type="dxa"/>
            <w:vAlign w:val="bottom"/>
            <w:shd w:val="clear" w:color="auto" w:fill="CCEEFF"/>
          </w:tcPr>
          <w:p>
            <w:pPr>
              <w:spacing w:after="0"/>
              <w:rPr>
                <w:sz w:val="23"/>
                <w:szCs w:val="23"/>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1,391</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Utah</w:t>
            </w: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RUT001</w:t>
            </w:r>
          </w:p>
        </w:tc>
        <w:tc>
          <w:tcPr>
            <w:tcW w:w="52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9,477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1,226</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RVA001</w:t>
            </w:r>
          </w:p>
        </w:tc>
        <w:tc>
          <w:tcPr>
            <w:tcW w:w="5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4,720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16,711</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4,720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16,711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21,431</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1,010</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5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640" w:type="dxa"/>
            <w:vAlign w:val="bottom"/>
          </w:tcPr>
          <w:p>
            <w:pPr>
              <w:spacing w:after="0"/>
              <w:rPr>
                <w:sz w:val="21"/>
                <w:szCs w:val="21"/>
                <w:color w:val="auto"/>
              </w:rPr>
            </w:pPr>
          </w:p>
        </w:tc>
        <w:tc>
          <w:tcPr>
            <w:tcW w:w="52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58,835</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154,415</w:t>
            </w:r>
          </w:p>
        </w:tc>
        <w:tc>
          <w:tcPr>
            <w:tcW w:w="10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27,654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57,908</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182,996</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240,904</w:t>
            </w:r>
          </w:p>
        </w:tc>
        <w:tc>
          <w:tcPr>
            <w:tcW w:w="2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23,156</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HOTEL:</w:t>
            </w:r>
          </w:p>
        </w:tc>
        <w:tc>
          <w:tcPr>
            <w:tcW w:w="64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HCA002</w:t>
            </w:r>
          </w:p>
        </w:tc>
        <w:tc>
          <w:tcPr>
            <w:tcW w:w="52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4,394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27,030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4,394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26,159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30,553</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11,311</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1998</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HCA003</w:t>
            </w:r>
          </w:p>
        </w:tc>
        <w:tc>
          <w:tcPr>
            <w:tcW w:w="520" w:type="dxa"/>
            <w:vAlign w:val="bottom"/>
            <w:shd w:val="clear" w:color="auto" w:fill="CCEEFF"/>
          </w:tcPr>
          <w:p>
            <w:pPr>
              <w:spacing w:after="0"/>
              <w:rPr>
                <w:sz w:val="23"/>
                <w:szCs w:val="23"/>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3,308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20,623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19,959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23,267</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8,614</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1998</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HCO001</w:t>
            </w:r>
          </w:p>
        </w:tc>
        <w:tc>
          <w:tcPr>
            <w:tcW w:w="52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7,865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8,854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3,278</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1998</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HGA001</w:t>
            </w:r>
          </w:p>
        </w:tc>
        <w:tc>
          <w:tcPr>
            <w:tcW w:w="520" w:type="dxa"/>
            <w:vAlign w:val="bottom"/>
            <w:shd w:val="clear" w:color="auto" w:fill="CCEEFF"/>
          </w:tcPr>
          <w:p>
            <w:pPr>
              <w:spacing w:after="0"/>
              <w:rPr>
                <w:sz w:val="23"/>
                <w:szCs w:val="23"/>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6,378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25,514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6,378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26,372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32,750</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3,700</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Hawaii</w:t>
            </w: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HHI001</w:t>
            </w:r>
          </w:p>
        </w:tc>
        <w:tc>
          <w:tcPr>
            <w:tcW w:w="52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17,996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17,996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17,996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24,569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42,565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4,531</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Hawaii</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HHI002</w:t>
            </w:r>
          </w:p>
        </w:tc>
        <w:tc>
          <w:tcPr>
            <w:tcW w:w="520" w:type="dxa"/>
            <w:vAlign w:val="bottom"/>
            <w:shd w:val="clear" w:color="auto" w:fill="CCEEFF"/>
          </w:tcPr>
          <w:p>
            <w:pPr>
              <w:spacing w:after="0"/>
              <w:rPr>
                <w:sz w:val="23"/>
                <w:szCs w:val="23"/>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13,090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16,090</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1,628</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Utah</w:t>
            </w: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HUT001</w:t>
            </w:r>
          </w:p>
        </w:tc>
        <w:tc>
          <w:tcPr>
            <w:tcW w:w="52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32,695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31,637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37,257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13,790</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1998</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Washington</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HWA004</w:t>
            </w:r>
          </w:p>
        </w:tc>
        <w:tc>
          <w:tcPr>
            <w:tcW w:w="5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5,101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32,080</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5,101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31,049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36,150</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13,383</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1998</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50"/>
        </w:trPr>
        <w:tc>
          <w:tcPr>
            <w:tcW w:w="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64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47,039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175,803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4,644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47,039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180,447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227,486</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60,235</w:t>
            </w:r>
          </w:p>
        </w:tc>
        <w:tc>
          <w:tcPr>
            <w:tcW w:w="22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APARTMENT/RESIDENTIAL:</w:t>
            </w:r>
          </w:p>
        </w:tc>
        <w:tc>
          <w:tcPr>
            <w:tcW w:w="3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AAZ001</w:t>
            </w:r>
          </w:p>
        </w:tc>
        <w:tc>
          <w:tcPr>
            <w:tcW w:w="52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15,795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ACA001</w:t>
            </w:r>
          </w:p>
        </w:tc>
        <w:tc>
          <w:tcPr>
            <w:tcW w:w="520" w:type="dxa"/>
            <w:vAlign w:val="bottom"/>
            <w:shd w:val="clear" w:color="auto" w:fill="CCEEFF"/>
          </w:tcPr>
          <w:p>
            <w:pPr>
              <w:spacing w:after="0"/>
              <w:rPr>
                <w:sz w:val="23"/>
                <w:szCs w:val="23"/>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29,333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(33,290)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3,376</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ACA002</w:t>
            </w:r>
          </w:p>
        </w:tc>
        <w:tc>
          <w:tcPr>
            <w:tcW w:w="52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10,078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40,312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(43,252)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7,138</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AFL001</w:t>
            </w:r>
          </w:p>
        </w:tc>
        <w:tc>
          <w:tcPr>
            <w:tcW w:w="520" w:type="dxa"/>
            <w:vAlign w:val="bottom"/>
            <w:shd w:val="clear" w:color="auto" w:fill="CCEEFF"/>
          </w:tcPr>
          <w:p>
            <w:pPr>
              <w:spacing w:after="0"/>
              <w:rPr>
                <w:sz w:val="23"/>
                <w:szCs w:val="23"/>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2,394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24,206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(26,420)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180</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AFL002</w:t>
            </w:r>
          </w:p>
        </w:tc>
        <w:tc>
          <w:tcPr>
            <w:tcW w:w="52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15,260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AFL003</w:t>
            </w:r>
          </w:p>
        </w:tc>
        <w:tc>
          <w:tcPr>
            <w:tcW w:w="520" w:type="dxa"/>
            <w:vAlign w:val="bottom"/>
            <w:shd w:val="clear" w:color="auto" w:fill="CCEEFF"/>
          </w:tcPr>
          <w:p>
            <w:pPr>
              <w:spacing w:after="0"/>
              <w:rPr>
                <w:sz w:val="23"/>
                <w:szCs w:val="23"/>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30,900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30,900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(56,430)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2,685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5,370</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AGA001</w:t>
            </w:r>
          </w:p>
        </w:tc>
        <w:tc>
          <w:tcPr>
            <w:tcW w:w="52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11,850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20,109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25,136</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Hawaii</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AHI001</w:t>
            </w:r>
          </w:p>
        </w:tc>
        <w:tc>
          <w:tcPr>
            <w:tcW w:w="520" w:type="dxa"/>
            <w:vAlign w:val="bottom"/>
            <w:shd w:val="clear" w:color="auto" w:fill="CCEEFF"/>
          </w:tcPr>
          <w:p>
            <w:pPr>
              <w:spacing w:after="0"/>
              <w:rPr>
                <w:sz w:val="23"/>
                <w:szCs w:val="23"/>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8,080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12,120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(18,535)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1,665</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Hawaii</w:t>
            </w:r>
          </w:p>
        </w:tc>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AHI003</w:t>
            </w:r>
          </w:p>
        </w:tc>
        <w:tc>
          <w:tcPr>
            <w:tcW w:w="52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9,417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483</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Jersey</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ANJ001</w:t>
            </w:r>
          </w:p>
        </w:tc>
        <w:tc>
          <w:tcPr>
            <w:tcW w:w="520" w:type="dxa"/>
            <w:vAlign w:val="bottom"/>
            <w:shd w:val="clear" w:color="auto" w:fill="CCEEFF"/>
          </w:tcPr>
          <w:p>
            <w:pPr>
              <w:spacing w:after="0"/>
              <w:rPr>
                <w:sz w:val="23"/>
                <w:szCs w:val="23"/>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36,405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64,719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(100,639)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485</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Nevada</w:t>
            </w:r>
          </w:p>
        </w:tc>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ANZ001</w:t>
            </w:r>
          </w:p>
        </w:tc>
        <w:tc>
          <w:tcPr>
            <w:tcW w:w="52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18,117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106,829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(117,328)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7,618</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5"/>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APA001</w:t>
            </w:r>
          </w:p>
        </w:tc>
        <w:tc>
          <w:tcPr>
            <w:tcW w:w="520" w:type="dxa"/>
            <w:vAlign w:val="bottom"/>
            <w:shd w:val="clear" w:color="auto" w:fill="CCEEFF"/>
          </w:tcPr>
          <w:p>
            <w:pPr>
              <w:spacing w:after="0"/>
              <w:rPr>
                <w:sz w:val="23"/>
                <w:szCs w:val="23"/>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44,438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82,527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(117,620)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3,271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9,345</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APA002</w:t>
            </w:r>
          </w:p>
        </w:tc>
        <w:tc>
          <w:tcPr>
            <w:tcW w:w="52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15,890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29,510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15,891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21,153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37,044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Washington</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AWA001</w:t>
            </w:r>
          </w:p>
        </w:tc>
        <w:tc>
          <w:tcPr>
            <w:tcW w:w="5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2,342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44,478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(44,703)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2,117</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5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640" w:type="dxa"/>
            <w:vAlign w:val="bottom"/>
          </w:tcPr>
          <w:p>
            <w:pPr>
              <w:spacing w:after="0"/>
              <w:rPr>
                <w:sz w:val="21"/>
                <w:szCs w:val="21"/>
                <w:color w:val="auto"/>
              </w:rPr>
            </w:pPr>
          </w:p>
        </w:tc>
        <w:tc>
          <w:tcPr>
            <w:tcW w:w="52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191,386</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501,461</w:t>
            </w:r>
          </w:p>
        </w:tc>
        <w:tc>
          <w:tcPr>
            <w:tcW w:w="10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(577,095)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33,597</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82,155</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115,752</w:t>
            </w:r>
          </w:p>
        </w:tc>
        <w:tc>
          <w:tcPr>
            <w:tcW w:w="2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MIXED USE:</w:t>
            </w:r>
          </w:p>
        </w:tc>
        <w:tc>
          <w:tcPr>
            <w:tcW w:w="64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MAZ002</w:t>
            </w:r>
          </w:p>
        </w:tc>
        <w:tc>
          <w:tcPr>
            <w:tcW w:w="52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52,544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20,731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73,427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83,457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8,752</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MCA001</w:t>
            </w:r>
          </w:p>
        </w:tc>
        <w:tc>
          <w:tcPr>
            <w:tcW w:w="520" w:type="dxa"/>
            <w:vAlign w:val="bottom"/>
            <w:shd w:val="clear" w:color="auto" w:fill="CCEEFF"/>
          </w:tcPr>
          <w:p>
            <w:pPr>
              <w:spacing w:after="0"/>
              <w:rPr>
                <w:sz w:val="23"/>
                <w:szCs w:val="23"/>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5,869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5,870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6,500</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262</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MFL001</w:t>
            </w:r>
          </w:p>
        </w:tc>
        <w:tc>
          <w:tcPr>
            <w:tcW w:w="52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14,261</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1,742</w:t>
            </w:r>
          </w:p>
        </w:tc>
        <w:tc>
          <w:tcPr>
            <w:tcW w:w="9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MFL002</w:t>
            </w:r>
          </w:p>
        </w:tc>
        <w:tc>
          <w:tcPr>
            <w:tcW w:w="520" w:type="dxa"/>
            <w:vAlign w:val="bottom"/>
            <w:shd w:val="clear" w:color="auto" w:fill="CCEEFF"/>
          </w:tcPr>
          <w:p>
            <w:pPr>
              <w:spacing w:after="0"/>
              <w:rPr>
                <w:sz w:val="23"/>
                <w:szCs w:val="23"/>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18,229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20,899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18,229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22,536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40,765</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729</w:t>
            </w:r>
          </w:p>
        </w:tc>
        <w:tc>
          <w:tcPr>
            <w:tcW w:w="9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38" w:right="239" w:bottom="1440" w:gutter="0" w:footer="0" w:header="0"/>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1400"/>
          </w:cols>
          <w:pgMar w:left="260" w:top="738" w:right="239" w:bottom="144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2014</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7"/>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Gross Amount Carried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at Close of Period</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Building and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Depreciable</w:t>
            </w:r>
          </w:p>
        </w:tc>
        <w:tc>
          <w:tcPr>
            <w:tcW w:w="0" w:type="dxa"/>
            <w:vAlign w:val="bottom"/>
          </w:tcPr>
          <w:p>
            <w:pPr>
              <w:spacing w:after="0"/>
              <w:rPr>
                <w:sz w:val="1"/>
                <w:szCs w:val="1"/>
                <w:color w:val="auto"/>
              </w:rPr>
            </w:pPr>
          </w:p>
        </w:tc>
      </w:tr>
      <w:tr>
        <w:trPr>
          <w:trHeight w:val="149"/>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0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Subsequent to</w:t>
            </w:r>
          </w:p>
        </w:tc>
        <w:tc>
          <w:tcPr>
            <w:tcW w:w="100" w:type="dxa"/>
            <w:vAlign w:val="bottom"/>
          </w:tcPr>
          <w:p>
            <w:pPr>
              <w:spacing w:after="0"/>
              <w:rPr>
                <w:sz w:val="12"/>
                <w:szCs w:val="12"/>
                <w:color w:val="auto"/>
              </w:rPr>
            </w:pPr>
          </w:p>
        </w:tc>
        <w:tc>
          <w:tcPr>
            <w:tcW w:w="7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5"/>
        </w:trPr>
        <w:tc>
          <w:tcPr>
            <w:tcW w:w="820" w:type="dxa"/>
            <w:vAlign w:val="bottom"/>
            <w:tcBorders>
              <w:bottom w:val="single" w:sz="8" w:color="auto"/>
            </w:tcBorders>
            <w:vMerge w:val="continue"/>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Encumbrances</w:t>
            </w:r>
          </w:p>
        </w:tc>
        <w:tc>
          <w:tcPr>
            <w:tcW w:w="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 w:type="dxa"/>
            <w:vAlign w:val="bottom"/>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Acquisition(2)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50"/>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MFL003</w:t>
            </w:r>
          </w:p>
        </w:tc>
        <w:tc>
          <w:tcPr>
            <w:tcW w:w="16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11,886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332</w:t>
            </w:r>
          </w:p>
        </w:tc>
        <w:tc>
          <w:tcPr>
            <w:tcW w:w="90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7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MFL004</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14,652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15,534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19,735</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418</w:t>
            </w:r>
          </w:p>
        </w:tc>
        <w:tc>
          <w:tcPr>
            <w:tcW w:w="90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65"/>
        </w:trPr>
        <w:tc>
          <w:tcPr>
            <w:tcW w:w="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6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MGA001</w:t>
            </w: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tcPr>
          <w:p>
            <w:pPr>
              <w:jc w:val="right"/>
              <w:ind w:right="12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4,480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17,916</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2,274</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4,479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20,191</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24,670</w:t>
            </w:r>
          </w:p>
        </w:tc>
        <w:tc>
          <w:tcPr>
            <w:tcW w:w="2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705</w:t>
            </w:r>
          </w:p>
        </w:tc>
        <w:tc>
          <w:tcPr>
            <w:tcW w:w="900" w:type="dxa"/>
            <w:vAlign w:val="bottom"/>
            <w:tcBorders>
              <w:bottom w:val="single" w:sz="8" w:color="CCEEFF"/>
            </w:tcBorders>
            <w:gridSpan w:val="2"/>
          </w:tcPr>
          <w:p>
            <w:pPr>
              <w:jc w:val="center"/>
              <w:ind w:left="133"/>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55"/>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6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53,918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123,011</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24,345</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53,766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147,508</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201,274</w:t>
            </w:r>
          </w:p>
        </w:tc>
        <w:tc>
          <w:tcPr>
            <w:tcW w:w="2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12,940</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251,150</w:t>
            </w:r>
          </w:p>
        </w:tc>
        <w:tc>
          <w:tcPr>
            <w:tcW w:w="4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1,575,297</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2,152,990</w:t>
            </w:r>
          </w:p>
        </w:tc>
        <w:tc>
          <w:tcPr>
            <w:tcW w:w="10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(283,611)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1,416,905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2,027,771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3,444,676</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1"/>
              </w:rPr>
              <w:t>(5)</w:t>
            </w:r>
            <w:r>
              <w:rPr>
                <w:rFonts w:ascii="Times New Roman" w:cs="Times New Roman" w:eastAsia="Times New Roman" w:hAnsi="Times New Roman"/>
                <w:sz w:val="13"/>
                <w:szCs w:val="13"/>
                <w:color w:val="auto"/>
                <w:w w:val="71"/>
                <w:vertAlign w:val="superscript"/>
              </w:rPr>
              <w:t>(4)</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481,980</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420" w:hanging="412"/>
        <w:spacing w:after="0"/>
        <w:tabs>
          <w:tab w:leader="none" w:pos="4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properties pledged as collateral under the Company's secured credit facilities with a total book value of $381.6 million</w:t>
      </w:r>
    </w:p>
    <w:p>
      <w:pPr>
        <w:spacing w:after="0" w:line="17"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impairments and unit sales.</w:t>
      </w:r>
    </w:p>
    <w:p>
      <w:pPr>
        <w:spacing w:after="0" w:line="1"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properties have land improvements which have depreciable lives of 15 to 20 years.</w:t>
      </w:r>
    </w:p>
    <w:p>
      <w:pPr>
        <w:spacing w:after="0" w:line="1"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cost for Federal income tax purposes was approximately $3.78 billion at December 31, 2014.</w:t>
      </w:r>
    </w:p>
    <w:p>
      <w:pPr>
        <w:spacing w:after="0" w:line="1"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$13.1 million relating to accumulated depreciation for real estate assets held for sale as of December 31, 2014.</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738" w:right="239" w:bottom="1440" w:gutter="0" w:footer="0" w:header="0"/>
        </w:sectPr>
      </w:pPr>
    </w:p>
    <w:bookmarkStart w:id="109" w:name="page110"/>
    <w:bookmarkEnd w:id="109"/>
    <w:p>
      <w:pPr>
        <w:ind w:left="4980"/>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279" w:lineRule="exact"/>
        <w:rPr>
          <w:sz w:val="20"/>
          <w:szCs w:val="20"/>
          <w:color w:val="auto"/>
        </w:rPr>
      </w:pPr>
    </w:p>
    <w:p>
      <w:pPr>
        <w:jc w:val="right"/>
        <w:ind w:right="1799"/>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As of December 31, 2014</w:t>
      </w:r>
    </w:p>
    <w:p>
      <w:pPr>
        <w:spacing w:after="0" w:line="1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hanging="352"/>
        <w:spacing w:after="0"/>
        <w:tabs>
          <w:tab w:leader="none" w:pos="3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Real Estate:</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reconciles Real Estate from January 1, 2012 to December 31, 2014:</w:t>
      </w:r>
    </w:p>
    <w:p>
      <w:pPr>
        <w:spacing w:after="0" w:line="367" w:lineRule="exact"/>
        <w:rPr>
          <w:sz w:val="20"/>
          <w:szCs w:val="20"/>
          <w:color w:val="auto"/>
        </w:rPr>
      </w:pPr>
    </w:p>
    <w:tbl>
      <w:tblPr>
        <w:tblLayout w:type="fixed"/>
        <w:tblInd w:w="1920" w:type="dxa"/>
        <w:tblCellMar>
          <w:top w:w="0" w:type="dxa"/>
          <w:left w:w="0" w:type="dxa"/>
          <w:bottom w:w="0" w:type="dxa"/>
          <w:right w:w="0" w:type="dxa"/>
        </w:tblCellMar>
      </w:tblPr>
      <w:tr>
        <w:trPr>
          <w:trHeight w:val="195"/>
        </w:trPr>
        <w:tc>
          <w:tcPr>
            <w:tcW w:w="3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3,589,072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3,763,310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3,927,750</w:t>
            </w: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Improvements and additions</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145,238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126,664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111,760</w:t>
            </w: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through foreclosure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77,867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31,764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269,100</w:t>
            </w: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acquisitions</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69,379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(510,504)</w:t>
            </w: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(34,796)</w:t>
            </w:r>
          </w:p>
        </w:tc>
      </w:tr>
      <w:tr>
        <w:trPr>
          <w:trHeight w:val="27"/>
        </w:trPr>
        <w:tc>
          <w:tcPr>
            <w:tcW w:w="3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3,444,676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3,589,072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3,763,310</w:t>
            </w:r>
          </w:p>
        </w:tc>
      </w:tr>
      <w:tr>
        <w:trPr>
          <w:trHeight w:val="20"/>
        </w:trPr>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60" w:hanging="352"/>
        <w:spacing w:after="0"/>
        <w:tabs>
          <w:tab w:leader="none" w:pos="3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Accumulated Depreciation:</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reconciles Accumulated Depreciation from January 1, 2012 to December 31, 2014:</w:t>
      </w:r>
    </w:p>
    <w:p>
      <w:pPr>
        <w:spacing w:after="0" w:line="367" w:lineRule="exact"/>
        <w:rPr>
          <w:sz w:val="20"/>
          <w:szCs w:val="20"/>
          <w:color w:val="auto"/>
        </w:rPr>
      </w:pPr>
    </w:p>
    <w:tbl>
      <w:tblPr>
        <w:tblLayout w:type="fixed"/>
        <w:tblInd w:w="1960" w:type="dxa"/>
        <w:tblCellMar>
          <w:top w:w="0" w:type="dxa"/>
          <w:left w:w="0" w:type="dxa"/>
          <w:bottom w:w="0" w:type="dxa"/>
          <w:right w:w="0" w:type="dxa"/>
        </w:tblCellMar>
      </w:tblPr>
      <w:tr>
        <w:trPr>
          <w:trHeight w:val="195"/>
        </w:trPr>
        <w:tc>
          <w:tcPr>
            <w:tcW w:w="35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(356,810)</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(59,968)</w:t>
            </w:r>
          </w:p>
        </w:tc>
      </w:tr>
      <w:tr>
        <w:trPr>
          <w:trHeight w:val="27"/>
        </w:trPr>
        <w:tc>
          <w:tcPr>
            <w:tcW w:w="3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28,432</w:t>
            </w:r>
          </w:p>
        </w:tc>
      </w:tr>
      <w:tr>
        <w:trPr>
          <w:trHeight w:val="257"/>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(481,980)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(432,374)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(388,346)</w:t>
            </w:r>
          </w:p>
        </w:tc>
      </w:tr>
      <w:tr>
        <w:trPr>
          <w:trHeight w:val="20"/>
        </w:trPr>
        <w:tc>
          <w:tcPr>
            <w:tcW w:w="3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08"/>
        </w:trPr>
        <w:tc>
          <w:tcPr>
            <w:tcW w:w="352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738"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IV—Mortgage Loans on Real Estate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December 31, 2014</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Face</w:t>
            </w:r>
          </w:p>
        </w:tc>
        <w:tc>
          <w:tcPr>
            <w:tcW w:w="160" w:type="dxa"/>
            <w:vAlign w:val="bottom"/>
          </w:tcPr>
          <w:p>
            <w:pPr>
              <w:spacing w:after="0"/>
              <w:rPr>
                <w:sz w:val="13"/>
                <w:szCs w:val="13"/>
                <w:color w:val="auto"/>
              </w:rPr>
            </w:pPr>
          </w:p>
        </w:tc>
        <w:tc>
          <w:tcPr>
            <w:tcW w:w="8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Periodic</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9"/>
        </w:trPr>
        <w:tc>
          <w:tcPr>
            <w:tcW w:w="1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 of Loan/Borrower</w:t>
            </w:r>
          </w:p>
        </w:tc>
        <w:tc>
          <w:tcPr>
            <w:tcW w:w="120" w:type="dxa"/>
            <w:vAlign w:val="bottom"/>
            <w:vMerge w:val="restart"/>
          </w:tcPr>
          <w:p>
            <w:pPr>
              <w:spacing w:after="0"/>
              <w:rPr>
                <w:sz w:val="12"/>
                <w:szCs w:val="12"/>
                <w:color w:val="auto"/>
              </w:rPr>
            </w:pPr>
          </w:p>
        </w:tc>
        <w:tc>
          <w:tcPr>
            <w:tcW w:w="20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Underlying Property Type</w:t>
            </w:r>
          </w:p>
        </w:tc>
        <w:tc>
          <w:tcPr>
            <w:tcW w:w="120" w:type="dxa"/>
            <w:vAlign w:val="bottom"/>
            <w:vMerge w:val="restart"/>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Accrual</w:t>
            </w: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Mortgages(1)</w:t>
            </w:r>
          </w:p>
        </w:tc>
        <w:tc>
          <w:tcPr>
            <w:tcW w:w="0" w:type="dxa"/>
            <w:vAlign w:val="bottom"/>
          </w:tcPr>
          <w:p>
            <w:pPr>
              <w:spacing w:after="0"/>
              <w:rPr>
                <w:sz w:val="1"/>
                <w:szCs w:val="1"/>
                <w:color w:val="auto"/>
              </w:rPr>
            </w:pPr>
          </w:p>
        </w:tc>
      </w:tr>
      <w:tr>
        <w:trPr>
          <w:trHeight w:val="195"/>
        </w:trPr>
        <w:tc>
          <w:tcPr>
            <w:tcW w:w="1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Dates</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Terms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Liens</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Mortgages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191"/>
        </w:trPr>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Senior Mortgages:</w:t>
            </w: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Borrower A</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LIBOR + 5.25%</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LIBOR + 5.25%</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2017</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IO</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$142,736</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140,553</w:t>
            </w:r>
          </w:p>
        </w:tc>
        <w:tc>
          <w:tcPr>
            <w:tcW w:w="0" w:type="dxa"/>
            <w:vAlign w:val="bottom"/>
          </w:tcPr>
          <w:p>
            <w:pPr>
              <w:spacing w:after="0"/>
              <w:rPr>
                <w:sz w:val="1"/>
                <w:szCs w:val="1"/>
                <w:color w:val="auto"/>
              </w:rPr>
            </w:pPr>
          </w:p>
        </w:tc>
      </w:tr>
      <w:tr>
        <w:trPr>
          <w:trHeight w:val="78"/>
        </w:trPr>
        <w:tc>
          <w:tcPr>
            <w:tcW w:w="1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Borrower B(3)</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Mixed Use/Mixed Collateral</w:t>
            </w: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+ 8%</w:t>
            </w: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+ 8%</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2017</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IO</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118,750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117,818</w:t>
            </w:r>
          </w:p>
        </w:tc>
        <w:tc>
          <w:tcPr>
            <w:tcW w:w="0" w:type="dxa"/>
            <w:vAlign w:val="bottom"/>
          </w:tcPr>
          <w:p>
            <w:pPr>
              <w:spacing w:after="0"/>
              <w:rPr>
                <w:sz w:val="1"/>
                <w:szCs w:val="1"/>
                <w:color w:val="auto"/>
              </w:rPr>
            </w:pPr>
          </w:p>
        </w:tc>
      </w:tr>
      <w:tr>
        <w:trPr>
          <w:trHeight w:val="78"/>
        </w:trPr>
        <w:tc>
          <w:tcPr>
            <w:tcW w:w="1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Borrower C</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Mixed Use/Mixed Collateral</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LIBOR + 6%</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LIBOR + 6%</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July 2017</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IO</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93,500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92,525</w:t>
            </w:r>
          </w:p>
        </w:tc>
        <w:tc>
          <w:tcPr>
            <w:tcW w:w="0" w:type="dxa"/>
            <w:vAlign w:val="bottom"/>
          </w:tcPr>
          <w:p>
            <w:pPr>
              <w:spacing w:after="0"/>
              <w:rPr>
                <w:sz w:val="1"/>
                <w:szCs w:val="1"/>
                <w:color w:val="auto"/>
              </w:rPr>
            </w:pPr>
          </w:p>
        </w:tc>
      </w:tr>
      <w:tr>
        <w:trPr>
          <w:trHeight w:val="78"/>
        </w:trPr>
        <w:tc>
          <w:tcPr>
            <w:tcW w:w="1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Borrower D</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Apartment/Residential</w:t>
            </w: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+ 5.25%</w:t>
            </w: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 + 5.25%</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2015</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IO</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63,842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64,574</w:t>
            </w:r>
          </w:p>
        </w:tc>
        <w:tc>
          <w:tcPr>
            <w:tcW w:w="0" w:type="dxa"/>
            <w:vAlign w:val="bottom"/>
          </w:tcPr>
          <w:p>
            <w:pPr>
              <w:spacing w:after="0"/>
              <w:rPr>
                <w:sz w:val="1"/>
                <w:szCs w:val="1"/>
                <w:color w:val="auto"/>
              </w:rPr>
            </w:pPr>
          </w:p>
        </w:tc>
      </w:tr>
      <w:tr>
        <w:trPr>
          <w:trHeight w:val="78"/>
        </w:trPr>
        <w:tc>
          <w:tcPr>
            <w:tcW w:w="1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Borrower E(4)</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LIBOR + 3%</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LIBOR + 3%</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July 2009</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IO</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46,075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24,270</w:t>
            </w:r>
          </w:p>
        </w:tc>
        <w:tc>
          <w:tcPr>
            <w:tcW w:w="0" w:type="dxa"/>
            <w:vAlign w:val="bottom"/>
          </w:tcPr>
          <w:p>
            <w:pPr>
              <w:spacing w:after="0"/>
              <w:rPr>
                <w:sz w:val="1"/>
                <w:szCs w:val="1"/>
                <w:color w:val="auto"/>
              </w:rPr>
            </w:pPr>
          </w:p>
        </w:tc>
      </w:tr>
      <w:tr>
        <w:trPr>
          <w:trHeight w:val="78"/>
        </w:trPr>
        <w:tc>
          <w:tcPr>
            <w:tcW w:w="1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880" w:type="dxa"/>
            <w:vAlign w:val="bottom"/>
            <w:gridSpan w:val="2"/>
            <w:shd w:val="clear" w:color="auto" w:fill="CCEEFF"/>
          </w:tcPr>
          <w:p>
            <w:pPr>
              <w:ind w:left="180"/>
              <w:spacing w:after="0" w:line="153" w:lineRule="exact"/>
              <w:rPr>
                <w:sz w:val="20"/>
                <w:szCs w:val="20"/>
                <w:color w:val="auto"/>
              </w:rPr>
            </w:pPr>
            <w:r>
              <w:rPr>
                <w:rFonts w:ascii="Times New Roman" w:cs="Times New Roman" w:eastAsia="Times New Roman" w:hAnsi="Times New Roman"/>
                <w:sz w:val="14"/>
                <w:szCs w:val="14"/>
                <w:color w:val="auto"/>
              </w:rPr>
              <w:t>Senior mortgages</w:t>
            </w:r>
          </w:p>
        </w:tc>
        <w:tc>
          <w:tcPr>
            <w:tcW w:w="212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Apartment/Residential, Retail,</w:t>
            </w:r>
          </w:p>
        </w:tc>
        <w:tc>
          <w:tcPr>
            <w:tcW w:w="144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Fixed: 4% to 13%</w:t>
            </w:r>
          </w:p>
        </w:tc>
        <w:tc>
          <w:tcPr>
            <w:tcW w:w="144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Fixed: 4% to 9.68%</w:t>
            </w:r>
          </w:p>
        </w:tc>
        <w:tc>
          <w:tcPr>
            <w:tcW w:w="112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2015 to 2024</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individually &lt;3%</w:t>
            </w:r>
          </w:p>
        </w:tc>
        <w:tc>
          <w:tcPr>
            <w:tcW w:w="21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Land, Industrial/R&amp;D, Mixed</w:t>
            </w:r>
          </w:p>
        </w:tc>
        <w:tc>
          <w:tcPr>
            <w:tcW w:w="1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Variable: LIBOR +</w:t>
            </w:r>
          </w:p>
        </w:tc>
        <w:tc>
          <w:tcPr>
            <w:tcW w:w="1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Variable: LIBOR +</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Use/Mixed Collateral, Office,</w:t>
            </w:r>
          </w:p>
        </w:tc>
        <w:tc>
          <w:tcPr>
            <w:tcW w:w="1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2.75% to LIBOR +</w:t>
            </w:r>
          </w:p>
        </w:tc>
        <w:tc>
          <w:tcPr>
            <w:tcW w:w="1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2.75% to LIBOR +</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276,626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233,355</w:t>
            </w:r>
          </w:p>
        </w:tc>
        <w:tc>
          <w:tcPr>
            <w:tcW w:w="0" w:type="dxa"/>
            <w:vAlign w:val="bottom"/>
          </w:tcPr>
          <w:p>
            <w:pPr>
              <w:spacing w:after="0"/>
              <w:rPr>
                <w:sz w:val="1"/>
                <w:szCs w:val="1"/>
                <w:color w:val="auto"/>
              </w:rPr>
            </w:pPr>
          </w:p>
        </w:tc>
      </w:tr>
      <w:tr>
        <w:trPr>
          <w:trHeight w:val="193"/>
        </w:trPr>
        <w:tc>
          <w:tcPr>
            <w:tcW w:w="1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Hotel, Other</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741,529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673,095</w:t>
            </w:r>
          </w:p>
        </w:tc>
        <w:tc>
          <w:tcPr>
            <w:tcW w:w="0" w:type="dxa"/>
            <w:vAlign w:val="bottom"/>
          </w:tcPr>
          <w:p>
            <w:pPr>
              <w:spacing w:after="0"/>
              <w:rPr>
                <w:sz w:val="1"/>
                <w:szCs w:val="1"/>
                <w:color w:val="auto"/>
              </w:rPr>
            </w:pPr>
          </w:p>
        </w:tc>
      </w:tr>
      <w:tr>
        <w:trPr>
          <w:trHeight w:val="178"/>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Subordinate Mortgages:</w:t>
            </w: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1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Borrower F</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April 2015</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IO</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24,992</w:t>
            </w:r>
          </w:p>
        </w:tc>
        <w:tc>
          <w:tcPr>
            <w:tcW w:w="0" w:type="dxa"/>
            <w:vAlign w:val="bottom"/>
          </w:tcPr>
          <w:p>
            <w:pPr>
              <w:spacing w:after="0"/>
              <w:rPr>
                <w:sz w:val="1"/>
                <w:szCs w:val="1"/>
                <w:color w:val="auto"/>
              </w:rPr>
            </w:pPr>
          </w:p>
        </w:tc>
      </w:tr>
      <w:tr>
        <w:trPr>
          <w:trHeight w:val="73"/>
        </w:trPr>
        <w:tc>
          <w:tcPr>
            <w:tcW w:w="1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880" w:type="dxa"/>
            <w:vAlign w:val="bottom"/>
            <w:gridSpan w:val="2"/>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Subordinate mortgages</w:t>
            </w:r>
          </w:p>
        </w:tc>
        <w:tc>
          <w:tcPr>
            <w:tcW w:w="212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Retail, Hotel, Other</w:t>
            </w:r>
          </w:p>
        </w:tc>
        <w:tc>
          <w:tcPr>
            <w:tcW w:w="144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Fixed: 6.8% to 14%</w:t>
            </w:r>
          </w:p>
        </w:tc>
        <w:tc>
          <w:tcPr>
            <w:tcW w:w="144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Fixed: 8.12% to 14%</w:t>
            </w:r>
          </w:p>
        </w:tc>
        <w:tc>
          <w:tcPr>
            <w:tcW w:w="112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2015 to 2057</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28,274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28,339</w:t>
            </w:r>
          </w:p>
        </w:tc>
        <w:tc>
          <w:tcPr>
            <w:tcW w:w="0" w:type="dxa"/>
            <w:vAlign w:val="bottom"/>
          </w:tcPr>
          <w:p>
            <w:pPr>
              <w:spacing w:after="0"/>
              <w:rPr>
                <w:sz w:val="1"/>
                <w:szCs w:val="1"/>
                <w:color w:val="auto"/>
              </w:rPr>
            </w:pPr>
          </w:p>
        </w:tc>
      </w:tr>
      <w:tr>
        <w:trPr>
          <w:trHeight w:val="193"/>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individually &lt;3%</w:t>
            </w: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53,274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53,331</w:t>
            </w:r>
          </w:p>
        </w:tc>
        <w:tc>
          <w:tcPr>
            <w:tcW w:w="0" w:type="dxa"/>
            <w:vAlign w:val="bottom"/>
          </w:tcPr>
          <w:p>
            <w:pPr>
              <w:spacing w:after="0"/>
              <w:rPr>
                <w:sz w:val="1"/>
                <w:szCs w:val="1"/>
                <w:color w:val="auto"/>
              </w:rPr>
            </w:pPr>
          </w:p>
        </w:tc>
      </w:tr>
      <w:tr>
        <w:trPr>
          <w:trHeight w:val="178"/>
        </w:trPr>
        <w:tc>
          <w:tcPr>
            <w:tcW w:w="1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mortgages</w:t>
            </w: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$794,803</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726,426</w:t>
            </w:r>
          </w:p>
        </w:tc>
        <w:tc>
          <w:tcPr>
            <w:tcW w:w="0" w:type="dxa"/>
            <w:vAlign w:val="bottom"/>
          </w:tcPr>
          <w:p>
            <w:pPr>
              <w:spacing w:after="0"/>
              <w:rPr>
                <w:sz w:val="1"/>
                <w:szCs w:val="1"/>
                <w:color w:val="auto"/>
              </w:rPr>
            </w:pPr>
          </w:p>
        </w:tc>
      </w:tr>
      <w:tr>
        <w:trPr>
          <w:trHeight w:val="59"/>
        </w:trPr>
        <w:tc>
          <w:tcPr>
            <w:tcW w:w="176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3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420" w:hanging="412"/>
        <w:spacing w:after="0"/>
        <w:tabs>
          <w:tab w:leader="none" w:pos="4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presented net of asset-specific reserves of $64.4 million on impaired loans. Impairment is measured using the estimated fair value of collateral, less costs to sell.</w:t>
      </w:r>
    </w:p>
    <w:p>
      <w:pPr>
        <w:spacing w:after="0" w:line="17"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amount of mortgages approximated the federal income tax basis.</w:t>
      </w:r>
    </w:p>
    <w:p>
      <w:pPr>
        <w:spacing w:after="0" w:line="1"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2014, included a LIBOR interest rate floor of 0.25%.</w:t>
      </w:r>
    </w:p>
    <w:p>
      <w:pPr>
        <w:spacing w:after="0" w:line="1" w:lineRule="exact"/>
        <w:rPr>
          <w:rFonts w:ascii="Times New Roman" w:cs="Times New Roman" w:eastAsia="Times New Roman" w:hAnsi="Times New Roman"/>
          <w:sz w:val="14"/>
          <w:szCs w:val="14"/>
          <w:color w:val="auto"/>
        </w:rPr>
      </w:pPr>
    </w:p>
    <w:p>
      <w:pPr>
        <w:ind w:left="420" w:hanging="412"/>
        <w:spacing w:after="0" w:line="258" w:lineRule="auto"/>
        <w:tabs>
          <w:tab w:leader="none" w:pos="4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is in default with $46.1 million of principal that is more than 90 days delinquent. Loan is designated as non-performing and is on non-accrual status. As of December 31, 2014, included a LIBOR interest rate floor of 4.0%.</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118"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7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27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Schedule IV—Mortgage Loans on Real Estate (Continued)</w:t>
      </w:r>
    </w:p>
    <w:p>
      <w:pPr>
        <w:spacing w:after="0" w:line="27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As of December 31, 2014</w:t>
      </w:r>
    </w:p>
    <w:p>
      <w:pPr>
        <w:spacing w:after="0" w:line="27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Mortgage Loans on Real Estate: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Mortgage Loans on Real Estate from January 1, 2012 to December 31, 2014(1):</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827,796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2,449,554</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mortgage loans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476,332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2,205</w:t>
            </w:r>
          </w:p>
        </w:tc>
      </w:tr>
      <w:tr>
        <w:trPr>
          <w:trHeight w:val="243"/>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under existing mortgage loans</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29,887</w:t>
            </w: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Other(2)</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26,156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33,324</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Deductions(3):</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Collections of principal</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(700,943)</w:t>
            </w: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Recovery of (provision for) loan losses</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(121,869)</w:t>
            </w: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Transfers to real estate and equity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(270,359)</w:t>
            </w:r>
          </w:p>
        </w:tc>
      </w:tr>
      <w:tr>
        <w:trPr>
          <w:trHeight w:val="243"/>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premium</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4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726,426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1,421,654</w:t>
            </w:r>
          </w:p>
        </w:tc>
      </w:tr>
      <w:tr>
        <w:trPr>
          <w:trHeight w:val="20"/>
        </w:trPr>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420" w:hanging="412"/>
        <w:spacing w:after="0"/>
        <w:tabs>
          <w:tab w:leader="none" w:pos="4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represent the carrying value of loans, which are net of asset specific reserves.</w:t>
      </w:r>
    </w:p>
    <w:p>
      <w:pPr>
        <w:spacing w:after="0" w:line="17"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amortization of discount, deferred interest capitalized and mark-to-market adjustments resulting from changes in foreign exchange rates.</w:t>
      </w:r>
    </w:p>
    <w:p>
      <w:pPr>
        <w:spacing w:after="0" w:line="1"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presented net of charge-offs of $239.6 million, $152.8 million and $106.9 million for the years ended December 31, 2014, 2013 and 2012,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219"/>
          </w:cols>
          <w:pgMar w:left="240" w:top="118" w:right="1440" w:bottom="1440" w:gutter="0" w:footer="0" w:header="0"/>
        </w:sectPr>
      </w:pPr>
    </w:p>
    <w:bookmarkStart w:id="112" w:name="page113"/>
    <w:bookmarkEnd w:id="1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and Disagreements with Registered Public Accounting Firm on Accounting and Financial Disclosure</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7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r>
        <w:rPr>
          <w:rFonts w:ascii="Times New Roman" w:cs="Times New Roman" w:eastAsia="Times New Roman" w:hAnsi="Times New Roman"/>
          <w:sz w:val="18"/>
          <w:szCs w:val="18"/>
          <w:color w:val="auto"/>
        </w:rPr>
        <w:t>—The Company has established and maintains disclosure controls and procedures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Both the Chief Executive Officer and the Chief Financial Officer are members of the disclosure committee.</w:t>
      </w:r>
    </w:p>
    <w:p>
      <w:pPr>
        <w:spacing w:after="0" w:line="24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Based upon their evaluation as of December 31, 2014, the Chief Executive Officer and Chief Financial Officer concluded that the Company's disclosure controls and procedures (as such term is defined in Rules 13a-15(e) under the Securities and Exchange Act of 1934, as amended (the "Exchange Act")) are effective.</w:t>
      </w:r>
    </w:p>
    <w:p>
      <w:pPr>
        <w:spacing w:after="0" w:line="226"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r>
        <w:rPr>
          <w:rFonts w:ascii="Times New Roman" w:cs="Times New Roman" w:eastAsia="Times New Roman" w:hAnsi="Times New Roman"/>
          <w:sz w:val="18"/>
          <w:szCs w:val="18"/>
          <w:color w:val="auto"/>
        </w:rPr>
        <w:t>—Management is responsible for establishing and maintaining 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internal control over financial reporting, as defined in Exchange Act Rule 13a-15(f). Under the supervision and with the participation of the disclosure committee and other members of management, including the Chief Executive Officer and Chief Financial Officer, management carried out its evaluation of the effectiveness of the Company's internal control over financial reporting based on the framework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in 2013 by the Committee of Sponsoring Organizations of the Treadway Commission.</w:t>
      </w:r>
    </w:p>
    <w:p>
      <w:pPr>
        <w:spacing w:after="0" w:line="236"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Based on management's assessment under the framework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management has concluded that its internal control over financial reporting was effective as of December 31, 2014.</w:t>
      </w:r>
    </w:p>
    <w:p>
      <w:pPr>
        <w:spacing w:after="0" w:line="21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internal control over financial reporting as of December 31, 2014, has been audited by PricewaterhouseCoopers LLP, an independent registered public accounting firm, as stated in their report which appears on page 45.</w:t>
      </w:r>
    </w:p>
    <w:p>
      <w:pPr>
        <w:spacing w:after="0" w:line="212"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r>
        <w:rPr>
          <w:rFonts w:ascii="Times New Roman" w:cs="Times New Roman" w:eastAsia="Times New Roman" w:hAnsi="Times New Roman"/>
          <w:sz w:val="18"/>
          <w:szCs w:val="18"/>
          <w:color w:val="auto"/>
        </w:rPr>
        <w:t>—There have been no changes during the last fiscal quarter in the Company's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controls identified in connection with the evaluation required by paragraph (d) of Exchange Act Rules 13a-15 or 15d-15 that have materially affected, or are reasonably likely to materially affect, the Company's internal control over financial reporting.</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118" w:right="239" w:bottom="1440" w:gutter="0" w:footer="0" w:header="0"/>
        </w:sectPr>
      </w:pPr>
    </w:p>
    <w:bookmarkStart w:id="113" w:name="page114"/>
    <w:bookmarkEnd w:id="1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 of the Registrant</w:t>
      </w:r>
    </w:p>
    <w:p>
      <w:pPr>
        <w:spacing w:after="0" w:line="283"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Portions of the Company's definitive proxy statement for the 2015 annual meeting of shareholders to be filed within 120 days after the close of the Company's fiscal year are incorporated herein by reference.</w:t>
      </w:r>
    </w:p>
    <w:p>
      <w:pPr>
        <w:spacing w:after="0" w:line="21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83"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Portions of the Company's definitive proxy statement for the 2015 annual meeting of shareholders to be filed within 120 days after the close of the Company's fiscal year are incorporated herein by reference.</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83"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Portions of the Company's definitive proxy statement for the 2015 annual meeting of shareholders to be filed within 120 days after the close of the Company's fiscal year are incorporated herein by reference.</w:t>
      </w:r>
    </w:p>
    <w:p>
      <w:pPr>
        <w:spacing w:after="0" w:line="7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Related Transactions and Director Independence</w:t>
      </w:r>
    </w:p>
    <w:p>
      <w:pPr>
        <w:spacing w:after="0" w:line="324"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Portions of the Company's definitive proxy statement for the 2015 annual meeting of shareholders to be filed within 120 days after the close of the Company's fiscal year are incorporated herein by reference.</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Registered Public Accounting Firm Fees and Services</w:t>
      </w:r>
    </w:p>
    <w:p>
      <w:pPr>
        <w:spacing w:after="0" w:line="148"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Portions of the Company's definitive proxy statement for the 2015 annual meeting of shareholders to be filed within 120 days after the close of the Company's fiscal year are incorporated herein by reference.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tab/>
        <w:t>Exhibits, Financial Statement Schedules and Reports on Form 8-K</w:t>
      </w:r>
    </w:p>
    <w:p>
      <w:pPr>
        <w:spacing w:after="0" w:line="364"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Financial statements and schedules—see Index to Financial Statements and Schedules included in Item 8.</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Exhibits—see index on following page.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421"/>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500" w:type="dxa"/>
            <w:vAlign w:val="bottom"/>
            <w:vMerge w:val="restart"/>
          </w:tcPr>
          <w:p>
            <w:pPr>
              <w:ind w:left="456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0" w:type="dxa"/>
            <w:vAlign w:val="bottom"/>
          </w:tcPr>
          <w:p>
            <w:pPr>
              <w:spacing w:after="0"/>
              <w:rPr>
                <w:sz w:val="1"/>
                <w:szCs w:val="1"/>
                <w:color w:val="auto"/>
              </w:rPr>
            </w:pPr>
          </w:p>
        </w:tc>
      </w:tr>
      <w:tr>
        <w:trPr>
          <w:trHeight w:val="195"/>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1"/>
                <w:szCs w:val="21"/>
                <w:color w:val="auto"/>
              </w:rPr>
            </w:pPr>
          </w:p>
        </w:tc>
        <w:tc>
          <w:tcPr>
            <w:tcW w:w="10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Amended and Restated Charter of the Company (including the Articles Supplementary for each Series of the Company's Preferred Stock).(1)</w:t>
            </w:r>
          </w:p>
        </w:tc>
        <w:tc>
          <w:tcPr>
            <w:tcW w:w="0" w:type="dxa"/>
            <w:vAlign w:val="bottom"/>
          </w:tcPr>
          <w:p>
            <w:pPr>
              <w:spacing w:after="0"/>
              <w:rPr>
                <w:sz w:val="1"/>
                <w:szCs w:val="1"/>
                <w:color w:val="auto"/>
              </w:rPr>
            </w:pPr>
          </w:p>
        </w:tc>
      </w:tr>
      <w:tr>
        <w:trPr>
          <w:trHeight w:val="459"/>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Bylaws of the Company.(2)</w:t>
            </w:r>
          </w:p>
        </w:tc>
        <w:tc>
          <w:tcPr>
            <w:tcW w:w="0" w:type="dxa"/>
            <w:vAlign w:val="bottom"/>
          </w:tcPr>
          <w:p>
            <w:pPr>
              <w:spacing w:after="0"/>
              <w:rPr>
                <w:sz w:val="1"/>
                <w:szCs w:val="1"/>
                <w:color w:val="auto"/>
              </w:rPr>
            </w:pPr>
          </w:p>
        </w:tc>
      </w:tr>
      <w:tr>
        <w:trPr>
          <w:trHeight w:val="459"/>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Articles Supplementary for High Performance Common Stock-Series 1.(4)</w:t>
            </w:r>
          </w:p>
        </w:tc>
        <w:tc>
          <w:tcPr>
            <w:tcW w:w="0" w:type="dxa"/>
            <w:vAlign w:val="bottom"/>
          </w:tcPr>
          <w:p>
            <w:pPr>
              <w:spacing w:after="0"/>
              <w:rPr>
                <w:sz w:val="1"/>
                <w:szCs w:val="1"/>
                <w:color w:val="auto"/>
              </w:rPr>
            </w:pPr>
          </w:p>
        </w:tc>
      </w:tr>
      <w:tr>
        <w:trPr>
          <w:trHeight w:val="459"/>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Articles Supplementary for High Performance Common Stock-Series 2.(4)</w:t>
            </w:r>
          </w:p>
        </w:tc>
        <w:tc>
          <w:tcPr>
            <w:tcW w:w="0" w:type="dxa"/>
            <w:vAlign w:val="bottom"/>
          </w:tcPr>
          <w:p>
            <w:pPr>
              <w:spacing w:after="0"/>
              <w:rPr>
                <w:sz w:val="1"/>
                <w:szCs w:val="1"/>
                <w:color w:val="auto"/>
              </w:rPr>
            </w:pPr>
          </w:p>
        </w:tc>
      </w:tr>
      <w:tr>
        <w:trPr>
          <w:trHeight w:val="459"/>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Articles Supplementary for High Performance Common Stock-Series 3.(4)</w:t>
            </w:r>
          </w:p>
        </w:tc>
        <w:tc>
          <w:tcPr>
            <w:tcW w:w="0" w:type="dxa"/>
            <w:vAlign w:val="bottom"/>
          </w:tcPr>
          <w:p>
            <w:pPr>
              <w:spacing w:after="0"/>
              <w:rPr>
                <w:sz w:val="1"/>
                <w:szCs w:val="1"/>
                <w:color w:val="auto"/>
              </w:rPr>
            </w:pPr>
          </w:p>
        </w:tc>
      </w:tr>
      <w:tr>
        <w:trPr>
          <w:trHeight w:val="459"/>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Articles Supplementary relating to Series E Preferred Stock.(5)</w:t>
            </w:r>
          </w:p>
        </w:tc>
        <w:tc>
          <w:tcPr>
            <w:tcW w:w="0" w:type="dxa"/>
            <w:vAlign w:val="bottom"/>
          </w:tcPr>
          <w:p>
            <w:pPr>
              <w:spacing w:after="0"/>
              <w:rPr>
                <w:sz w:val="1"/>
                <w:szCs w:val="1"/>
                <w:color w:val="auto"/>
              </w:rPr>
            </w:pPr>
          </w:p>
        </w:tc>
      </w:tr>
      <w:tr>
        <w:trPr>
          <w:trHeight w:val="459"/>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Articles Supplementary relating to Series F Preferred Stock.(29)</w:t>
            </w:r>
          </w:p>
        </w:tc>
        <w:tc>
          <w:tcPr>
            <w:tcW w:w="0" w:type="dxa"/>
            <w:vAlign w:val="bottom"/>
          </w:tcPr>
          <w:p>
            <w:pPr>
              <w:spacing w:after="0"/>
              <w:rPr>
                <w:sz w:val="1"/>
                <w:szCs w:val="1"/>
                <w:color w:val="auto"/>
              </w:rPr>
            </w:pPr>
          </w:p>
        </w:tc>
      </w:tr>
      <w:tr>
        <w:trPr>
          <w:trHeight w:val="459"/>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Articles Supplementary relating to Series G Preferred Stock.(7)</w:t>
            </w:r>
          </w:p>
        </w:tc>
        <w:tc>
          <w:tcPr>
            <w:tcW w:w="0" w:type="dxa"/>
            <w:vAlign w:val="bottom"/>
          </w:tcPr>
          <w:p>
            <w:pPr>
              <w:spacing w:after="0"/>
              <w:rPr>
                <w:sz w:val="1"/>
                <w:szCs w:val="1"/>
                <w:color w:val="auto"/>
              </w:rPr>
            </w:pPr>
          </w:p>
        </w:tc>
      </w:tr>
      <w:tr>
        <w:trPr>
          <w:trHeight w:val="459"/>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Articles Supplementary relating to Series I Preferred Stock.(9)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1420"/>
          </w:cols>
          <w:pgMar w:left="240" w:top="118" w:right="23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187"/>
        </w:trPr>
        <w:tc>
          <w:tcPr>
            <w:tcW w:w="3260" w:type="dxa"/>
            <w:vAlign w:val="bottom"/>
          </w:tcPr>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6"/>
        </w:trPr>
        <w:tc>
          <w:tcPr>
            <w:tcW w:w="3260" w:type="dxa"/>
            <w:vAlign w:val="bottom"/>
          </w:tcPr>
          <w:p>
            <w:pPr>
              <w:jc w:val="center"/>
              <w:ind w:right="23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0" w:type="dxa"/>
            <w:vAlign w:val="bottom"/>
            <w:vMerge w:val="restart"/>
          </w:tcPr>
          <w:p>
            <w:pPr>
              <w:ind w:left="222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0" w:type="dxa"/>
            <w:vAlign w:val="bottom"/>
          </w:tcPr>
          <w:p>
            <w:pPr>
              <w:spacing w:after="0"/>
              <w:rPr>
                <w:sz w:val="1"/>
                <w:szCs w:val="1"/>
                <w:color w:val="auto"/>
              </w:rPr>
            </w:pPr>
          </w:p>
        </w:tc>
      </w:tr>
      <w:tr>
        <w:trPr>
          <w:trHeight w:val="190"/>
        </w:trPr>
        <w:tc>
          <w:tcPr>
            <w:tcW w:w="3260" w:type="dxa"/>
            <w:vAlign w:val="bottom"/>
          </w:tcPr>
          <w:p>
            <w:pPr>
              <w:jc w:val="center"/>
              <w:ind w:right="23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color w:val="auto"/>
        </w:rPr>
        <w:t>Articles Supplementary relating to Series J Preferred Stock.(17)</w:t>
      </w:r>
    </w:p>
    <w:p>
      <w:pPr>
        <w:spacing w:after="0" w:line="252"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Form of 77/8% Series E Cumulative Redeemable Preferred Stock Certificate.(5)</w:t>
      </w:r>
    </w:p>
    <w:p>
      <w:pPr>
        <w:spacing w:after="0" w:line="252"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Form of 7.8% Series F Cumulative Redeemable Preferred Stock Certificate.(6)</w:t>
      </w:r>
    </w:p>
    <w:p>
      <w:pPr>
        <w:spacing w:after="0" w:line="252"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Form of 7.65% Series G Cumulative Redeemable Preferred Stock Certificate.(7)</w:t>
      </w:r>
    </w:p>
    <w:p>
      <w:pPr>
        <w:spacing w:after="0" w:line="252"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Form of 7.50% Series I Cumulative Redeemable Preferred Stock Certificate.(9)</w:t>
      </w:r>
    </w:p>
    <w:p>
      <w:pPr>
        <w:spacing w:after="0" w:line="252"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Form of 4.50% Series J Cumulative Convertible Perpetual Preferred Stock Certificate.(23)</w:t>
      </w:r>
    </w:p>
    <w:p>
      <w:pPr>
        <w:spacing w:after="0" w:line="252"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Form of Stock Certificate for the Company's Common Stock.</w:t>
      </w:r>
    </w:p>
    <w:p>
      <w:pPr>
        <w:spacing w:after="0" w:line="252"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Form of Global Note evidencing 5.85% Senior Notes due 2017 issued on March 9, 2007.(21)</w:t>
      </w:r>
    </w:p>
    <w:p>
      <w:pPr>
        <w:spacing w:after="0" w:line="252"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Form of Global Note evidencing 5.875% Senior Notes due 2016 issued on February 21, 2006.(16)</w:t>
      </w:r>
    </w:p>
    <w:p>
      <w:pPr>
        <w:spacing w:after="0" w:line="252"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Form of Global Note evidencing 6.05% Senior Notes due 2015 issued on April 21, 2005.(14)</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7"/>
          <w:szCs w:val="17"/>
          <w:color w:val="auto"/>
        </w:rPr>
        <w:t>Form of Global Note evidencing 9.0% Senior Series B Notes due 2017 issued on July 9, 2012.(26)</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color w:val="auto"/>
        </w:rPr>
        <w:t>Form of Global Note evidencing 7.125% Senior Notes due 2018 issued on November 13, 2012.(27)</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color w:val="auto"/>
        </w:rPr>
        <w:t>Form of Global Note evidencing 3.00% Convertible Senior Notes due 2016 issued on November 13, 2012.(27)</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7"/>
          <w:szCs w:val="17"/>
          <w:color w:val="auto"/>
        </w:rPr>
        <w:t>Form of Global Note evidencing 3.875% Senior Notes due 2016 issued on May 10, 2013.(28)</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7"/>
          <w:szCs w:val="17"/>
          <w:color w:val="auto"/>
        </w:rPr>
        <w:t>Form of Global Note evidencing 4.875% Senior Notes due 2018 issued on May 10, 2013.(28)</w:t>
      </w:r>
    </w:p>
    <w:p>
      <w:pPr>
        <w:spacing w:after="0" w:line="252" w:lineRule="exact"/>
        <w:rPr>
          <w:sz w:val="20"/>
          <w:szCs w:val="20"/>
          <w:color w:val="auto"/>
        </w:rPr>
      </w:pPr>
    </w:p>
    <w:p>
      <w:pPr>
        <w:ind w:left="960" w:right="3280" w:hanging="697"/>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color w:val="auto"/>
        </w:rPr>
        <w:t>Form of Rule 144A Global Note evidencing 1.50% Convertible Senior Notes due 2016 issued on November 19, 2013.(11)</w:t>
      </w:r>
    </w:p>
    <w:p>
      <w:pPr>
        <w:spacing w:after="0" w:line="189"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7"/>
          <w:szCs w:val="17"/>
          <w:color w:val="auto"/>
        </w:rPr>
        <w:t>Form of Global Note, No. 1-A evidencing 4.00% Senior Notes due 2017 issued on June 13, 2014.(30)</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7"/>
          <w:szCs w:val="17"/>
          <w:color w:val="auto"/>
        </w:rPr>
        <w:t>Form of Global Note, No. 1-B evidencing 4.00% Senior Notes due 2017 issued on June 13, 2014.(30)</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4.18</w:t>
      </w:r>
      <w:r>
        <w:rPr>
          <w:sz w:val="20"/>
          <w:szCs w:val="20"/>
          <w:color w:val="auto"/>
        </w:rPr>
        <w:tab/>
      </w:r>
      <w:r>
        <w:rPr>
          <w:rFonts w:ascii="Times New Roman" w:cs="Times New Roman" w:eastAsia="Times New Roman" w:hAnsi="Times New Roman"/>
          <w:sz w:val="17"/>
          <w:szCs w:val="17"/>
          <w:color w:val="auto"/>
        </w:rPr>
        <w:t>Form of Global Note, No. 2-A evidencing 5.00% Senior Notes due 2019 issued on June 13, 2014.(30)</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4.19</w:t>
      </w:r>
      <w:r>
        <w:rPr>
          <w:sz w:val="20"/>
          <w:szCs w:val="20"/>
          <w:color w:val="auto"/>
        </w:rPr>
        <w:tab/>
      </w:r>
      <w:r>
        <w:rPr>
          <w:rFonts w:ascii="Times New Roman" w:cs="Times New Roman" w:eastAsia="Times New Roman" w:hAnsi="Times New Roman"/>
          <w:sz w:val="17"/>
          <w:szCs w:val="17"/>
          <w:color w:val="auto"/>
        </w:rPr>
        <w:t>Form of Global Note, No. 2-B evidencing 5.00% Senior Notes due 2019 issued on June 13, 2014.(30)</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4.20</w:t>
      </w:r>
      <w:r>
        <w:rPr>
          <w:sz w:val="20"/>
          <w:szCs w:val="20"/>
          <w:color w:val="auto"/>
        </w:rPr>
        <w:tab/>
      </w:r>
      <w:r>
        <w:rPr>
          <w:rFonts w:ascii="Times New Roman" w:cs="Times New Roman" w:eastAsia="Times New Roman" w:hAnsi="Times New Roman"/>
          <w:sz w:val="17"/>
          <w:szCs w:val="17"/>
          <w:color w:val="auto"/>
        </w:rPr>
        <w:t>Eighth Supplemental Indenture, dated as of April 21, 2005, governing the 6.05% Senior Notes due 2015.(15)</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color w:val="auto"/>
        </w:rPr>
        <w:t>Eleventh Supplemental Indenture, dated as of February 21, 2006, governing the 5.875% Senior Notes due 2016.(16)</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7"/>
          <w:szCs w:val="17"/>
          <w:color w:val="auto"/>
        </w:rPr>
        <w:t>Seventeenth Supplemental Indenture, dated as of March 9, 2007, governing the 5.85% Senior Notes due 2017.(20)</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7"/>
          <w:szCs w:val="17"/>
          <w:color w:val="auto"/>
        </w:rPr>
        <w:t>Base Indenture, dated as of February 5, 2001, between the Company and State Street Bank and Trust Company.(3)</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7"/>
          <w:szCs w:val="17"/>
          <w:color w:val="auto"/>
        </w:rPr>
        <w:t>Indenture, dated as of May 8, 2012, between the Company and U.S. Bank National Association governing the 9.0% Senior Series B Notes due</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2017.(25)</w:t>
      </w:r>
    </w:p>
    <w:p>
      <w:pPr>
        <w:spacing w:after="0" w:line="234"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7"/>
          <w:szCs w:val="17"/>
          <w:color w:val="auto"/>
        </w:rPr>
        <w:t>Twenty-First Supplemental Indenture, dated as of November 13, 2012 governing the 7.125% Senior Notes due 2018.(27)</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7"/>
          <w:szCs w:val="17"/>
          <w:color w:val="auto"/>
        </w:rPr>
        <w:t>Twenty-Second Supplemental Indenture, dated as of November 13, 2012 governing the 3.00% Convertible Senior Notes due 2016.(27)</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4.27</w:t>
      </w:r>
      <w:r>
        <w:rPr>
          <w:sz w:val="20"/>
          <w:szCs w:val="20"/>
          <w:color w:val="auto"/>
        </w:rPr>
        <w:tab/>
      </w:r>
      <w:r>
        <w:rPr>
          <w:rFonts w:ascii="Times New Roman" w:cs="Times New Roman" w:eastAsia="Times New Roman" w:hAnsi="Times New Roman"/>
          <w:sz w:val="17"/>
          <w:szCs w:val="17"/>
          <w:color w:val="auto"/>
        </w:rPr>
        <w:t>Twenty-Third Supplemental Indenture, dated as of May 10, 2013, governing the 3.875% Senior Notes due 2016.(28)</w:t>
      </w:r>
    </w:p>
    <w:p>
      <w:pPr>
        <w:spacing w:after="0" w:line="2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20"/>
          </w:cols>
          <w:pgMar w:left="240" w:top="118" w:right="4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87"/>
        </w:trPr>
        <w:tc>
          <w:tcPr>
            <w:tcW w:w="3260" w:type="dxa"/>
            <w:vAlign w:val="bottom"/>
          </w:tcPr>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6"/>
        </w:trPr>
        <w:tc>
          <w:tcPr>
            <w:tcW w:w="3260" w:type="dxa"/>
            <w:vAlign w:val="bottom"/>
          </w:tcPr>
          <w:p>
            <w:pPr>
              <w:jc w:val="center"/>
              <w:ind w:right="23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0" w:type="dxa"/>
            <w:vAlign w:val="bottom"/>
            <w:vMerge w:val="restart"/>
          </w:tcPr>
          <w:p>
            <w:pPr>
              <w:ind w:left="222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0" w:type="dxa"/>
            <w:vAlign w:val="bottom"/>
          </w:tcPr>
          <w:p>
            <w:pPr>
              <w:spacing w:after="0"/>
              <w:rPr>
                <w:sz w:val="1"/>
                <w:szCs w:val="1"/>
                <w:color w:val="auto"/>
              </w:rPr>
            </w:pPr>
          </w:p>
        </w:tc>
      </w:tr>
      <w:tr>
        <w:trPr>
          <w:trHeight w:val="190"/>
        </w:trPr>
        <w:tc>
          <w:tcPr>
            <w:tcW w:w="3260" w:type="dxa"/>
            <w:vAlign w:val="bottom"/>
          </w:tcPr>
          <w:p>
            <w:pPr>
              <w:jc w:val="center"/>
              <w:ind w:right="23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4.28</w:t>
      </w:r>
      <w:r>
        <w:rPr>
          <w:sz w:val="20"/>
          <w:szCs w:val="20"/>
          <w:color w:val="auto"/>
        </w:rPr>
        <w:tab/>
      </w:r>
      <w:r>
        <w:rPr>
          <w:rFonts w:ascii="Times New Roman" w:cs="Times New Roman" w:eastAsia="Times New Roman" w:hAnsi="Times New Roman"/>
          <w:sz w:val="17"/>
          <w:szCs w:val="17"/>
          <w:color w:val="auto"/>
        </w:rPr>
        <w:t>Twenty-Fourth Supplemental Indenture, dated as of May 10, 2013, governing the 4.875% Senior Notes due 2018.(28)</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4.29</w:t>
      </w:r>
      <w:r>
        <w:rPr>
          <w:sz w:val="20"/>
          <w:szCs w:val="20"/>
          <w:color w:val="auto"/>
        </w:rPr>
        <w:tab/>
      </w:r>
      <w:r>
        <w:rPr>
          <w:rFonts w:ascii="Times New Roman" w:cs="Times New Roman" w:eastAsia="Times New Roman" w:hAnsi="Times New Roman"/>
          <w:sz w:val="17"/>
          <w:szCs w:val="17"/>
          <w:color w:val="auto"/>
        </w:rPr>
        <w:t>Twenty-Sixth Supplemental Indenture, dated June 13, 2014, governing the 4.00% Senior Notes due 2017.(30)</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4.30</w:t>
      </w:r>
      <w:r>
        <w:rPr>
          <w:sz w:val="20"/>
          <w:szCs w:val="20"/>
          <w:color w:val="auto"/>
        </w:rPr>
        <w:tab/>
      </w:r>
      <w:r>
        <w:rPr>
          <w:rFonts w:ascii="Times New Roman" w:cs="Times New Roman" w:eastAsia="Times New Roman" w:hAnsi="Times New Roman"/>
          <w:sz w:val="17"/>
          <w:szCs w:val="17"/>
          <w:color w:val="auto"/>
        </w:rPr>
        <w:t>Twenty-Seventh Supplemental Indenture, dated June 13, 2014, governing the 5.00% Senior Notes due 2019.(30)</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iStar Financial Inc. 2007 Incentive Compensation Plan.(31)</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iStar Financial Inc. 2009 Long Term Incentive Compensation Plan.(18)</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iStar Financial Inc. 2013 Performance Incentive Plan.(18)</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Non-Employee Directors' Deferral Plan.(10)</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Form of Restricted Stock Unit Award Agreement.(19)</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Form of Restricted Stock Unit Award Agreement (Performance-Based Vesting).(22)</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color w:val="auto"/>
        </w:rPr>
        <w:t>Form of Award Agreement For Investment Pool.</w:t>
      </w:r>
    </w:p>
    <w:p>
      <w:pPr>
        <w:spacing w:after="0" w:line="252" w:lineRule="exact"/>
        <w:rPr>
          <w:sz w:val="20"/>
          <w:szCs w:val="20"/>
          <w:color w:val="auto"/>
        </w:rPr>
      </w:pPr>
    </w:p>
    <w:p>
      <w:pPr>
        <w:ind w:left="960" w:hanging="697"/>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Credit Agreement, dated as of March 19, 2012, by the Company, the banks set forth therein and Barclays Bank PLC, as administrative agent, Bank Of America, N.A., as syndication agent, JPMorgan Chase Bank, N.A., as documentation agent.(24)</w:t>
      </w:r>
    </w:p>
    <w:p>
      <w:pPr>
        <w:spacing w:after="0" w:line="189" w:lineRule="exact"/>
        <w:rPr>
          <w:sz w:val="20"/>
          <w:szCs w:val="20"/>
          <w:color w:val="auto"/>
        </w:rPr>
      </w:pPr>
    </w:p>
    <w:p>
      <w:pPr>
        <w:ind w:left="960" w:right="320" w:hanging="697"/>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Security Agreement, dated as of March 19, 2012, made by the Company, and the other parties thereto in favor of Barclays Bank PLC, as administrative agent.(24)</w:t>
      </w:r>
    </w:p>
    <w:p>
      <w:pPr>
        <w:spacing w:after="0" w:line="189"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Computation of Ratio of Earnings to fixed charges and Earnings to fixed charges and preferred stock dividends.</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Computation of Ratio of Adjusted EBITDA to interest expense and preferred dividends.</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14.0</w:t>
      </w:r>
      <w:r>
        <w:rPr>
          <w:sz w:val="20"/>
          <w:szCs w:val="20"/>
          <w:color w:val="auto"/>
        </w:rPr>
        <w:tab/>
      </w:r>
      <w:r>
        <w:rPr>
          <w:rFonts w:ascii="Times New Roman" w:cs="Times New Roman" w:eastAsia="Times New Roman" w:hAnsi="Times New Roman"/>
          <w:sz w:val="17"/>
          <w:szCs w:val="17"/>
          <w:color w:val="auto"/>
        </w:rPr>
        <w:t>iStar Financial Inc. Code of Conduct.(12)</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Subsidiaries of the Company.</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PricewaterhouseCoopers LLP.</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7"/>
          <w:szCs w:val="17"/>
          <w:color w:val="auto"/>
        </w:rPr>
        <w:t>Certifications pursuant to Section 302 of the Sarbanes-Oxley Act.</w:t>
      </w:r>
    </w:p>
    <w:p>
      <w:pPr>
        <w:spacing w:after="0" w:line="252"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32.0</w:t>
      </w:r>
      <w:r>
        <w:rPr>
          <w:sz w:val="20"/>
          <w:szCs w:val="20"/>
          <w:color w:val="auto"/>
        </w:rPr>
        <w:tab/>
      </w:r>
      <w:r>
        <w:rPr>
          <w:rFonts w:ascii="Times New Roman" w:cs="Times New Roman" w:eastAsia="Times New Roman" w:hAnsi="Times New Roman"/>
          <w:sz w:val="17"/>
          <w:szCs w:val="17"/>
          <w:color w:val="auto"/>
        </w:rPr>
        <w:t>Certifications pursuant to Section 906 of the Sarbanes-Oxley Act.</w:t>
      </w:r>
    </w:p>
    <w:p>
      <w:pPr>
        <w:spacing w:after="0" w:line="252" w:lineRule="exact"/>
        <w:rPr>
          <w:sz w:val="20"/>
          <w:szCs w:val="20"/>
          <w:color w:val="auto"/>
        </w:rPr>
      </w:pPr>
    </w:p>
    <w:p>
      <w:pPr>
        <w:ind w:left="960" w:hanging="68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XBRL-related documents</w:t>
      </w:r>
    </w:p>
    <w:p>
      <w:pPr>
        <w:spacing w:after="0" w:line="252" w:lineRule="exact"/>
        <w:rPr>
          <w:rFonts w:ascii="Times New Roman" w:cs="Times New Roman" w:eastAsia="Times New Roman" w:hAnsi="Times New Roman"/>
          <w:sz w:val="18"/>
          <w:szCs w:val="18"/>
          <w:color w:val="auto"/>
        </w:rPr>
      </w:pPr>
    </w:p>
    <w:p>
      <w:pPr>
        <w:ind w:left="960" w:hanging="68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39" w:lineRule="exact"/>
        <w:rPr>
          <w:sz w:val="20"/>
          <w:szCs w:val="20"/>
          <w:color w:val="auto"/>
        </w:rPr>
      </w:pPr>
    </w:p>
    <w:p>
      <w:pPr>
        <w:ind w:left="420" w:hanging="412"/>
        <w:spacing w:after="0"/>
        <w:tabs>
          <w:tab w:leader="none" w:pos="4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Quarterly Report on Form 10-Q for the quarter ended March 31, 2000 filed on May 15, 2000.</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8-K filed on October 25, 2013.</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Form S-3 Registration Statement filed on February 12, 2001.</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Quarterly Report on Form 10-Q for the quarter ended September 30, 2002 filed on November 14, 2002.</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8-A filed on July 8, 2003.</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8-A filed on September 25, 2003.</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8-A filed on December 10, 2003.</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Annual Report on Form 10-K for the year ended December 31, 2003 filed on March 15, 2004.</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8-A filed on February 27, 2004.</w:t>
      </w:r>
    </w:p>
    <w:p>
      <w:pPr>
        <w:sectPr>
          <w:pgSz w:w="11900" w:h="16838" w:orient="portrait"/>
          <w:cols w:equalWidth="0" w:num="1">
            <w:col w:w="11100"/>
          </w:cols>
          <w:pgMar w:left="240" w:top="118" w:right="559" w:bottom="1440" w:gutter="0" w:footer="0" w:header="0"/>
        </w:sectPr>
      </w:pP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1100"/>
          </w:cols>
          <w:pgMar w:left="240" w:top="118" w:right="559" w:bottom="1440" w:gutter="0" w:footer="0" w:header="0"/>
          <w:type w:val="continuous"/>
        </w:sectPr>
      </w:pPr>
    </w:p>
    <w:bookmarkStart w:id="116" w:name="page117"/>
    <w:bookmarkEnd w:id="1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3" w:lineRule="exact"/>
        <w:rPr>
          <w:sz w:val="20"/>
          <w:szCs w:val="20"/>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Definitive Proxy Statement filed on April 28, 2004.</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8-K filed on November 19, 2013.</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Annual Report on Form 10-K for the year ended December 31, 2004 filed on March 16, 2005.</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Falcon Financial Investment Trust's Form 8-K filed on January 24, 2005.</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8-K filed on April 20, 2005.</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Annual Report on Form 10-K for the year ended December 31, 2005 filed on March 16, 2006.</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8-K filed on February 24, 2006.</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8-K filed on March 18, 2013.</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Definitive Proxy Statement filed on April 11, 2014.</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8-K filed on January 25, 2007.</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8-K filed on March 15, 2007.</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Quarterly Report on Form 10-Q for the quarter ended March 31, 2007 filed on May 9, 2007.</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Quarterly Report on Form 10-Q for the quarter ended March 31, 2008 filed on May 9, 2008.</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8-A filed on March 18, 2013.</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8-K filed on March 23, 2012.</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8-K filed on May 11, 2012.</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Form S-4 Registration Statement filed on June 8, 2012.</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8-K filed on November 19, 2012.</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8-K filed on May 16, 2013.</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8-K filed on September 30, 2003.</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Current Report on Form 8-K filed on June 13, 2014.</w:t>
      </w:r>
    </w:p>
    <w:p>
      <w:pPr>
        <w:spacing w:after="0" w:line="55"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from the Company's Definitive Proxy Statement filed on April 27, 2007.</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8"/>
        <w:spacing w:after="0" w:line="403" w:lineRule="auto"/>
        <w:tabs>
          <w:tab w:leader="none" w:pos="10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20"/>
          </w:cols>
          <w:pgMar w:left="240" w:top="118" w:right="239" w:bottom="1440" w:gutter="0" w:footer="0" w:header="0"/>
        </w:sectPr>
      </w:pPr>
    </w:p>
    <w:bookmarkStart w:id="117" w:name="page118"/>
    <w:bookmarkEnd w:id="1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4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iSTAR FINANCIAL INC.</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45" w:lineRule="exact"/>
        <w:rPr>
          <w:sz w:val="20"/>
          <w:szCs w:val="20"/>
          <w:color w:val="auto"/>
        </w:rPr>
      </w:pPr>
    </w:p>
    <w:p>
      <w:pPr>
        <w:ind w:left="280"/>
        <w:spacing w:after="0"/>
        <w:tabs>
          <w:tab w:leader="none" w:pos="7860" w:val="left"/>
        </w:tabs>
        <w:rPr>
          <w:sz w:val="20"/>
          <w:szCs w:val="20"/>
          <w:color w:val="auto"/>
        </w:rPr>
      </w:pPr>
      <w:r>
        <w:rPr>
          <w:rFonts w:ascii="Times New Roman" w:cs="Times New Roman" w:eastAsia="Times New Roman" w:hAnsi="Times New Roman"/>
          <w:sz w:val="18"/>
          <w:szCs w:val="18"/>
          <w:color w:val="auto"/>
        </w:rPr>
        <w:t>Date: March 2, 2015</w:t>
      </w:r>
      <w:r>
        <w:rPr>
          <w:sz w:val="20"/>
          <w:szCs w:val="20"/>
          <w:color w:val="auto"/>
        </w:rPr>
        <w:tab/>
      </w:r>
      <w:r>
        <w:rPr>
          <w:rFonts w:ascii="Times New Roman" w:cs="Times New Roman" w:eastAsia="Times New Roman" w:hAnsi="Times New Roman"/>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color w:val="auto"/>
        </w:rPr>
        <w:t>Jay Sugarman</w:t>
      </w:r>
    </w:p>
    <w:p>
      <w:pPr>
        <w:spacing w:after="0" w:line="2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i w:val="1"/>
          <w:iCs w:val="1"/>
          <w:color w:val="auto"/>
        </w:rPr>
        <w:t>Chairman of the Board of Directors and Chief</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i w:val="1"/>
          <w:iCs w:val="1"/>
          <w:color w:val="auto"/>
        </w:rPr>
        <w:t>Executive Officer (principal executive officer)</w:t>
      </w:r>
    </w:p>
    <w:p>
      <w:pPr>
        <w:spacing w:after="0" w:line="4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iSTAR FINANCIAL INC.</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45" w:lineRule="exact"/>
        <w:rPr>
          <w:sz w:val="20"/>
          <w:szCs w:val="20"/>
          <w:color w:val="auto"/>
        </w:rPr>
      </w:pPr>
    </w:p>
    <w:p>
      <w:pPr>
        <w:ind w:left="280"/>
        <w:spacing w:after="0"/>
        <w:tabs>
          <w:tab w:leader="none" w:pos="7880" w:val="left"/>
        </w:tabs>
        <w:rPr>
          <w:sz w:val="20"/>
          <w:szCs w:val="20"/>
          <w:color w:val="auto"/>
        </w:rPr>
      </w:pPr>
      <w:r>
        <w:rPr>
          <w:rFonts w:ascii="Times New Roman" w:cs="Times New Roman" w:eastAsia="Times New Roman" w:hAnsi="Times New Roman"/>
          <w:sz w:val="18"/>
          <w:szCs w:val="18"/>
          <w:color w:val="auto"/>
        </w:rPr>
        <w:t>Date: March 2, 2015</w:t>
      </w:r>
      <w:r>
        <w:rPr>
          <w:sz w:val="20"/>
          <w:szCs w:val="20"/>
          <w:color w:val="auto"/>
        </w:rPr>
        <w:tab/>
      </w:r>
      <w:r>
        <w:rPr>
          <w:rFonts w:ascii="Times New Roman" w:cs="Times New Roman" w:eastAsia="Times New Roman" w:hAnsi="Times New Roman"/>
          <w:sz w:val="17"/>
          <w:szCs w:val="17"/>
          <w:color w:val="auto"/>
        </w:rPr>
        <w:t>/s/ DAVID DISTASO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color w:val="auto"/>
        </w:rPr>
        <w:t>David DiStaso</w:t>
      </w:r>
    </w:p>
    <w:p>
      <w:pPr>
        <w:spacing w:after="0" w:line="2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and</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31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67"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2015</w:t>
            </w:r>
          </w:p>
        </w:tc>
        <w:tc>
          <w:tcPr>
            <w:tcW w:w="33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JAY SUGARMAN</w:t>
            </w:r>
          </w:p>
        </w:tc>
      </w:tr>
      <w:tr>
        <w:trPr>
          <w:trHeight w:val="27"/>
        </w:trPr>
        <w:tc>
          <w:tcPr>
            <w:tcW w:w="34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16"/>
        </w:trPr>
        <w:tc>
          <w:tcPr>
            <w:tcW w:w="34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Jay Sugarman</w:t>
            </w:r>
          </w:p>
        </w:tc>
      </w:tr>
      <w:tr>
        <w:trPr>
          <w:trHeight w:val="216"/>
        </w:trPr>
        <w:tc>
          <w:tcPr>
            <w:tcW w:w="34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of the Board of Directors</w:t>
            </w:r>
          </w:p>
        </w:tc>
      </w:tr>
      <w:tr>
        <w:trPr>
          <w:trHeight w:val="236"/>
        </w:trPr>
        <w:tc>
          <w:tcPr>
            <w:tcW w:w="34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59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2015</w:t>
            </w:r>
          </w:p>
        </w:tc>
        <w:tc>
          <w:tcPr>
            <w:tcW w:w="330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ROBERT W. HOLMAN, JR.</w:t>
            </w:r>
          </w:p>
        </w:tc>
      </w:tr>
      <w:tr>
        <w:trPr>
          <w:trHeight w:val="27"/>
        </w:trPr>
        <w:tc>
          <w:tcPr>
            <w:tcW w:w="34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16"/>
        </w:trPr>
        <w:tc>
          <w:tcPr>
            <w:tcW w:w="34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Robert W. Holman, Jr.</w:t>
            </w:r>
          </w:p>
        </w:tc>
      </w:tr>
      <w:tr>
        <w:trPr>
          <w:trHeight w:val="236"/>
        </w:trPr>
        <w:tc>
          <w:tcPr>
            <w:tcW w:w="34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59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2015</w:t>
            </w:r>
          </w:p>
        </w:tc>
        <w:tc>
          <w:tcPr>
            <w:tcW w:w="330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ROBIN JOSEPHS</w:t>
            </w:r>
          </w:p>
        </w:tc>
      </w:tr>
      <w:tr>
        <w:trPr>
          <w:trHeight w:val="27"/>
        </w:trPr>
        <w:tc>
          <w:tcPr>
            <w:tcW w:w="34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16"/>
        </w:trPr>
        <w:tc>
          <w:tcPr>
            <w:tcW w:w="34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Robin Josephs</w:t>
            </w:r>
          </w:p>
        </w:tc>
      </w:tr>
      <w:tr>
        <w:trPr>
          <w:trHeight w:val="236"/>
        </w:trPr>
        <w:tc>
          <w:tcPr>
            <w:tcW w:w="34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59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2015</w:t>
            </w:r>
          </w:p>
        </w:tc>
        <w:tc>
          <w:tcPr>
            <w:tcW w:w="330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JOHN G. MCDONALD</w:t>
            </w:r>
          </w:p>
        </w:tc>
      </w:tr>
      <w:tr>
        <w:trPr>
          <w:trHeight w:val="27"/>
        </w:trPr>
        <w:tc>
          <w:tcPr>
            <w:tcW w:w="34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16"/>
        </w:trPr>
        <w:tc>
          <w:tcPr>
            <w:tcW w:w="34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G. McDonald</w:t>
            </w:r>
          </w:p>
        </w:tc>
      </w:tr>
      <w:tr>
        <w:trPr>
          <w:trHeight w:val="236"/>
        </w:trPr>
        <w:tc>
          <w:tcPr>
            <w:tcW w:w="34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59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2015</w:t>
            </w:r>
          </w:p>
        </w:tc>
        <w:tc>
          <w:tcPr>
            <w:tcW w:w="330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DALE A. REISS</w:t>
            </w:r>
          </w:p>
        </w:tc>
      </w:tr>
      <w:tr>
        <w:trPr>
          <w:trHeight w:val="27"/>
        </w:trPr>
        <w:tc>
          <w:tcPr>
            <w:tcW w:w="34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16"/>
        </w:trPr>
        <w:tc>
          <w:tcPr>
            <w:tcW w:w="34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Dale A. Reiss</w:t>
            </w:r>
          </w:p>
        </w:tc>
      </w:tr>
      <w:tr>
        <w:trPr>
          <w:trHeight w:val="236"/>
        </w:trPr>
        <w:tc>
          <w:tcPr>
            <w:tcW w:w="34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59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2015</w:t>
            </w:r>
          </w:p>
        </w:tc>
        <w:tc>
          <w:tcPr>
            <w:tcW w:w="330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BARRY W. RIDINGS</w:t>
            </w:r>
          </w:p>
        </w:tc>
      </w:tr>
      <w:tr>
        <w:trPr>
          <w:trHeight w:val="27"/>
        </w:trPr>
        <w:tc>
          <w:tcPr>
            <w:tcW w:w="34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16"/>
        </w:trPr>
        <w:tc>
          <w:tcPr>
            <w:tcW w:w="34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Barry W. Ridings</w:t>
            </w:r>
          </w:p>
        </w:tc>
      </w:tr>
      <w:tr>
        <w:trPr>
          <w:trHeight w:val="236"/>
        </w:trPr>
        <w:tc>
          <w:tcPr>
            <w:tcW w:w="34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702"/>
        </w:trPr>
        <w:tc>
          <w:tcPr>
            <w:tcW w:w="3400" w:type="dxa"/>
            <w:vAlign w:val="bottom"/>
          </w:tcPr>
          <w:p>
            <w:pPr>
              <w:spacing w:after="0"/>
              <w:rPr>
                <w:sz w:val="24"/>
                <w:szCs w:val="24"/>
                <w:color w:val="auto"/>
              </w:rPr>
            </w:pPr>
          </w:p>
        </w:tc>
        <w:tc>
          <w:tcPr>
            <w:tcW w:w="33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114</w:t>
            </w:r>
          </w:p>
        </w:tc>
        <w:tc>
          <w:tcPr>
            <w:tcW w:w="44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18" w:name="page119"/>
    <w:bookmarkEnd w:id="118"/>
    <w:p>
      <w:pPr>
        <w:ind w:left="9380"/>
        <w:spacing w:after="0"/>
        <w:rPr>
          <w:sz w:val="20"/>
          <w:szCs w:val="20"/>
          <w:color w:val="auto"/>
        </w:rPr>
      </w:pPr>
      <w:r>
        <w:rPr>
          <w:rFonts w:ascii="Times New Roman" w:cs="Times New Roman" w:eastAsia="Times New Roman" w:hAnsi="Times New Roman"/>
          <w:sz w:val="17"/>
          <w:szCs w:val="17"/>
          <w:b w:val="1"/>
          <w:bCs w:val="1"/>
          <w:color w:val="auto"/>
        </w:rPr>
        <w:t>Exhibit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27305</wp:posOffset>
            </wp:positionV>
            <wp:extent cx="5334000" cy="7555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34000" cy="7555230"/>
                    </a:xfrm>
                    <a:prstGeom prst="rect">
                      <a:avLst/>
                    </a:prstGeom>
                    <a:noFill/>
                  </pic:spPr>
                </pic:pic>
              </a:graphicData>
            </a:graphic>
          </wp:anchor>
        </w:drawing>
      </w:r>
    </w:p>
    <w:p>
      <w:pPr>
        <w:sectPr>
          <w:pgSz w:w="11900" w:h="16838" w:orient="portrait"/>
          <w:cols w:equalWidth="0" w:num="1">
            <w:col w:w="10220"/>
          </w:cols>
          <w:pgMar w:left="1440" w:top="792" w:right="239" w:bottom="1440"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9324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932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 and Earnings to Fixed Charges and Preferred Dividends</w:t>
      </w:r>
    </w:p>
    <w:p>
      <w:pPr>
        <w:spacing w:after="0" w:line="3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 in thousands, except ratios)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2"/>
        </w:trPr>
        <w:tc>
          <w:tcPr>
            <w:tcW w:w="5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2010</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Pre-tax income from continuing operations before earnings from equity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method investments and other items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(253,818)</w:t>
            </w:r>
          </w:p>
        </w:tc>
      </w:tr>
      <w:tr>
        <w:trPr>
          <w:trHeight w:val="243"/>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 Fixed charges as calculated below</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232,037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270,872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359,844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348,664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349,041</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 Distributions from operations of equity method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105,586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85,766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32,650</w:t>
            </w:r>
          </w:p>
        </w:tc>
      </w:tr>
      <w:tr>
        <w:trPr>
          <w:trHeight w:val="243"/>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Capitalized interest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7"/>
        </w:trPr>
        <w:tc>
          <w:tcPr>
            <w:tcW w:w="5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earnings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142,089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29,960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282,822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127,407</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Fixed charges: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224,483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266,225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356,161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345,914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346,500</w:t>
            </w:r>
          </w:p>
        </w:tc>
      </w:tr>
      <w:tr>
        <w:trPr>
          <w:trHeight w:val="243"/>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 Capitalized interest</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466</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Implied interest component on the company's rent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2,075</w:t>
            </w: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Fixed charges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232,037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270,872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359,844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348,664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349,041</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dividends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51,320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49,020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42,320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42,320</w:t>
            </w: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Fixed charges and preferred dividends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283,357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319,892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402,164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390,984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391,361</w:t>
            </w: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to fixed charges(2)</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Earnings to fixed charges and preferred dividends(2)</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2012, 2011 and 2010, interest expense includes $1,064, $3,728 and $32,734, respectively, of interest expense reclassified to discontinued operations.</w:t>
      </w:r>
    </w:p>
    <w:p>
      <w:pPr>
        <w:spacing w:after="0" w:line="17" w:lineRule="exact"/>
        <w:rPr>
          <w:rFonts w:ascii="Times New Roman" w:cs="Times New Roman" w:eastAsia="Times New Roman" w:hAnsi="Times New Roman"/>
          <w:sz w:val="14"/>
          <w:szCs w:val="14"/>
          <w:color w:val="auto"/>
        </w:rPr>
      </w:pPr>
    </w:p>
    <w:p>
      <w:pPr>
        <w:ind w:left="660" w:right="20" w:hanging="652"/>
        <w:spacing w:after="0" w:line="258" w:lineRule="auto"/>
        <w:tabs>
          <w:tab w:leader="none" w:pos="6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2014, 2013, 2012, 2011 and 2010 earnings were not sufficient to cover fixed charges by $89,948, $240,912, $305,450, $65,842 and $221,634, respectively, and earnings were not sufficient to cover fixed charges and preferred dividends by $141,268, $289,932, $347,770, $108,162 and $263,954, respectively.</w:t>
      </w:r>
    </w:p>
    <w:p>
      <w:pPr>
        <w:sectPr>
          <w:pgSz w:w="11900" w:h="16838" w:orient="portrait"/>
          <w:cols w:equalWidth="0" w:num="1">
            <w:col w:w="11420"/>
          </w:cols>
          <w:pgMar w:left="240" w:top="792"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Computation of Ratio of Adjusted EBITDA to Interest Expense and Preferred Dividends</w:t>
      </w:r>
    </w:p>
    <w:p>
      <w:pPr>
        <w:spacing w:after="0" w:line="3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 in thousands, except ratios)</w:t>
      </w:r>
    </w:p>
    <w:p>
      <w:pPr>
        <w:spacing w:after="0" w:line="200" w:lineRule="exact"/>
        <w:rPr>
          <w:sz w:val="20"/>
          <w:szCs w:val="20"/>
          <w:color w:val="auto"/>
        </w:rPr>
      </w:pPr>
    </w:p>
    <w:p>
      <w:pPr>
        <w:spacing w:after="0" w:line="230"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2"/>
        </w:trPr>
        <w:tc>
          <w:tcPr>
            <w:tcW w:w="47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2010</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EBITDA(1):</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15,765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80,206</w:t>
            </w:r>
          </w:p>
        </w:tc>
      </w:tr>
      <w:tr>
        <w:trPr>
          <w:trHeight w:val="243"/>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 Interest expense(2)</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228,395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269,921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356,161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345,914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346,500</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Income tax expense (benefit)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7,023</w:t>
            </w:r>
          </w:p>
        </w:tc>
      </w:tr>
      <w:tr>
        <w:trPr>
          <w:trHeight w:val="243"/>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 Depreciation and amortization(3)</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79,042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74,673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70,786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63,928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70,786</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 Provision for (recovery of) loan losses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81,740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46,412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331,487</w:t>
            </w:r>
          </w:p>
        </w:tc>
      </w:tr>
      <w:tr>
        <w:trPr>
          <w:trHeight w:val="243"/>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 Impairment of assets(4)</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34,634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36,354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22,381</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Loss on transfer of interest to unconsolidated subsidiary</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19,261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29,702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19,355</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(Gain) loss on early extinguishment of debt, net(5)</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25,369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(110,075)</w:t>
            </w: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Adjusted EBITDA(1)</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398,717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298,833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349,754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376,464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767,663</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 and preferred dividends: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228,395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269,921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356,161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345,914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346,500</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dividends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51,320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49,020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42,320</w:t>
            </w: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 and preferred dividends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279,715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318,941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398,481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388,234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388,820</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EBITDA/Interest expense and preferred dividends</w:t>
            </w: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1.4x</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0.9x</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0.9x</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1.0x</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2.0x</w:t>
            </w:r>
          </w:p>
        </w:tc>
      </w:tr>
      <w:tr>
        <w:trPr>
          <w:trHeight w:val="27"/>
        </w:trPr>
        <w:tc>
          <w:tcPr>
            <w:tcW w:w="4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47" w:lineRule="exact"/>
        <w:rPr>
          <w:sz w:val="20"/>
          <w:szCs w:val="20"/>
          <w:color w:val="auto"/>
        </w:rPr>
      </w:pPr>
    </w:p>
    <w:p>
      <w:pPr>
        <w:jc w:val="both"/>
        <w:ind w:left="340" w:hanging="332"/>
        <w:spacing w:after="0" w:line="246"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should be examined in conjunction with net income (loss) as shown in the Company's Consolidated Statements of Operations. Adjusted EBITDA should not be considered as an alternative to net income (loss) (determined in accordance with GAAP), as an indicator of the Company's performance, or to cash flows from operating activities (determined in accordance with GAAP) as a measure of the Company's liquidity, nor is Adjusted EBITDA an indicative of funds available to fund the Company's cash needs or available for distribution to shareholders. Rather, Adjusted EBITDA is an additional measure for the Company to use to analyze how the business is performing. It should be noted that the Company's manner of calculating Adjusted EBITDA may differ from the calculations of similarly-titled measures by other companies. See computation of Adjusted EBITDA on page 33.</w:t>
      </w:r>
    </w:p>
    <w:p>
      <w:pPr>
        <w:spacing w:after="0" w:line="1" w:lineRule="exact"/>
        <w:rPr>
          <w:rFonts w:ascii="Times New Roman" w:cs="Times New Roman" w:eastAsia="Times New Roman" w:hAnsi="Times New Roman"/>
          <w:sz w:val="14"/>
          <w:szCs w:val="14"/>
          <w:color w:val="auto"/>
        </w:rPr>
      </w:pPr>
    </w:p>
    <w:p>
      <w:pPr>
        <w:ind w:left="340" w:right="20" w:hanging="332"/>
        <w:spacing w:after="0" w:line="249"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2012, 2011 and 2010, interest expense includes $1,064, $3,728 and $32,734, respectively, of interest expense reclassified to discontinued operations. Interest expense also includes the Company's proportionate share of interest for equity method investments.</w:t>
      </w:r>
    </w:p>
    <w:p>
      <w:pPr>
        <w:jc w:val="both"/>
        <w:ind w:left="340" w:hanging="332"/>
        <w:spacing w:after="0" w:line="322"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2014, 2013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 xml:space="preserve"> 2012, 2011 and 2010, depreciation and amortization includes $0, $264, $2,016, $5,837 and $14,117, respectively, of depreciation and amortization reclassified to discontinued operations. Depreciation and amortization also includes our proportionate share of depreciation and amortization expense for equity method investments.</w:t>
      </w:r>
    </w:p>
    <w:p>
      <w:pPr>
        <w:spacing w:after="0" w:line="146" w:lineRule="exact"/>
        <w:rPr>
          <w:rFonts w:ascii="Times New Roman" w:cs="Times New Roman" w:eastAsia="Times New Roman" w:hAnsi="Times New Roman"/>
          <w:sz w:val="14"/>
          <w:szCs w:val="14"/>
          <w:color w:val="auto"/>
        </w:rPr>
      </w:pPr>
    </w:p>
    <w:p>
      <w:pPr>
        <w:ind w:left="340" w:hanging="332"/>
        <w:spacing w:after="0" w:line="290"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2014, 2013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 xml:space="preserve"> 2012, 2011 and 2010, impairment of assets includes $0</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 xml:space="preserve"> $1,764, $22,576, $9,147 and $9,572, respectively, of impairment of assets reclassified to discontinued operations.</w:t>
      </w:r>
    </w:p>
    <w:p>
      <w:pPr>
        <w:spacing w:after="0" w:line="1" w:lineRule="exact"/>
        <w:rPr>
          <w:rFonts w:ascii="Times New Roman" w:cs="Times New Roman" w:eastAsia="Times New Roman" w:hAnsi="Times New Roman"/>
          <w:sz w:val="14"/>
          <w:szCs w:val="14"/>
          <w:color w:val="auto"/>
        </w:rPr>
      </w:pPr>
    </w:p>
    <w:p>
      <w:pPr>
        <w:ind w:left="340" w:hanging="332"/>
        <w:spacing w:after="0" w:line="255"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2014, 2013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 xml:space="preserve"> 2012 and 2010, loss on early extinguishment of debt excludes the portion of losses paid in cash of $0</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 xml:space="preserve"> $13,535, $15,411 and $1,152, respectively.</w:t>
      </w:r>
    </w:p>
    <w:p>
      <w:pPr>
        <w:sectPr>
          <w:pgSz w:w="11900" w:h="16838" w:orient="portrait"/>
          <w:cols w:equalWidth="0" w:num="1">
            <w:col w:w="11420"/>
          </w:cols>
          <w:pgMar w:left="240" w:top="792" w:right="2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tcPr>
          <w:p>
            <w:pPr>
              <w:spacing w:after="0"/>
              <w:rPr>
                <w:sz w:val="16"/>
                <w:szCs w:val="16"/>
                <w:color w:val="auto"/>
              </w:rPr>
            </w:pPr>
          </w:p>
        </w:tc>
        <w:tc>
          <w:tcPr>
            <w:tcW w:w="1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State of Formation</w:t>
            </w:r>
          </w:p>
        </w:tc>
        <w:tc>
          <w:tcPr>
            <w:tcW w:w="120" w:type="dxa"/>
            <w:vAlign w:val="bottom"/>
          </w:tcPr>
          <w:p>
            <w:pPr>
              <w:spacing w:after="0"/>
              <w:rPr>
                <w:sz w:val="16"/>
                <w:szCs w:val="16"/>
                <w:color w:val="auto"/>
              </w:rPr>
            </w:pPr>
          </w:p>
        </w:tc>
        <w:tc>
          <w:tcPr>
            <w:tcW w:w="41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Other Names Used</w:t>
            </w:r>
          </w:p>
        </w:tc>
      </w:tr>
      <w:tr>
        <w:trPr>
          <w:trHeight w:val="242"/>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12 Union Street—Westborough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1"/>
                <w:szCs w:val="21"/>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100 Elkhorn Road—Sun Valley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100 Riverview Condominium Association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 Chapel Street Lender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38 North Almaden Boulevard Venture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45-10 19th Avenue—Astoria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210 5th Ave. Venture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221 American Boulevard—Bloomington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240 S Pineapple Office—Sarasota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240 S Pineapple Parking—Sarasota LLC</w:t>
            </w: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246 Spring Street LOC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300 Riverview Condominium Association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328-342 Washington Blvd—Jersey City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333 Rector Park—River Rose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iStar Garden City LLC</w:t>
            </w: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401 W Michigan Street—Milwaukee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475-525 Sycamore Drive—Milpitas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500 Woodward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500 Woodward Café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560 Cottonwood Drive—Milpitas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615 E. Weber Drive—Tempe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628 East Cleveland Street—Clearwater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1000</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 Clark Street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1000</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 Clark Street Partners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1050 N. El Mirage Road—Avondale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1200 Holiday Drive—Coconut Grove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8440 Warner Crossing—Tempe LLC</w:t>
            </w: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1250 N. El Mirage Road—Avondale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1419-1425 Locust Street—Philadelphia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1504-1530 McCarthy Boulevard—Milpitas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1515 Dock Street—Tacoma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1804</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McCarthy Boulevard—Milpitas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1855</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Barber Lane—Milpitas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2003-2007 Nonconnah Boulevard—Memphis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2021</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Lakeside Boulevard—Richardson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2220</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First Street—Fort Myers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2611 Corporate West Drive Venture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2611 CWD Net Lease REIT</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410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2901</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Kinwest Parkway—Irving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3000 Waterview Parkway—Richardson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3150 SW 38th Avenue—Miami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3376</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Peachtree Commercial Unit 1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3376</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Peachtree Commercial Unit 2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3376</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Peachtree Hotel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bl>
    <w:p>
      <w:pPr>
        <w:sectPr>
          <w:pgSz w:w="11900" w:h="16838" w:orient="portrait"/>
          <w:cols w:equalWidth="0" w:num="1">
            <w:col w:w="11420"/>
          </w:cols>
          <w:pgMar w:left="240" w:top="792" w:right="2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tcPr>
          <w:p>
            <w:pPr>
              <w:spacing w:after="0"/>
              <w:rPr>
                <w:sz w:val="16"/>
                <w:szCs w:val="16"/>
                <w:color w:val="auto"/>
              </w:rPr>
            </w:pPr>
          </w:p>
        </w:tc>
        <w:tc>
          <w:tcPr>
            <w:tcW w:w="1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State of Formation</w:t>
            </w:r>
          </w:p>
        </w:tc>
        <w:tc>
          <w:tcPr>
            <w:tcW w:w="120" w:type="dxa"/>
            <w:vAlign w:val="bottom"/>
          </w:tcPr>
          <w:p>
            <w:pPr>
              <w:spacing w:after="0"/>
              <w:rPr>
                <w:sz w:val="16"/>
                <w:szCs w:val="16"/>
                <w:color w:val="auto"/>
              </w:rPr>
            </w:pPr>
          </w:p>
        </w:tc>
        <w:tc>
          <w:tcPr>
            <w:tcW w:w="41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Other Names Used</w:t>
            </w:r>
          </w:p>
        </w:tc>
      </w:tr>
      <w:tr>
        <w:trPr>
          <w:trHeight w:val="242"/>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3376 Peachtree Penthouse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1"/>
                <w:szCs w:val="21"/>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3376 Peachtree Residential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3376 Peachtree Retail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3376 Peachtree Villas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3376 Peachtree Road—Atlanta Hotel LL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3376 Peachtree Road—Atlanta Restaurant LL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3460 14th Street NW—Washington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4471 Dean Martin Drive—Las Vegas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4230 S. Decatur Boulevard—Las Vegas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6087 Sunset Boulevard—Hollywood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6162 S Willow Drive—Englewood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6400 Christie Avenue—Emeryville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6801 Woolridge Road GenPar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6801 Woolridge Road—Moseley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6801 Woolridge Road—Moseley TRS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7445 East Chaparral Road—Scottsdale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11650 Central Parkway—Jacksonville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13351 Overseas Highway—Marathon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475-525 Sycamore Drive—Milpitas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14000 N. Hayden Road—Scottsdale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17093 Biscayne Boulevard—North Miami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21625 Red Rum Drive—Ashburn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46702 Bayside Parkway—Fremont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46831 Lakeview Boulevard—Fremont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Acquest Government Holdings II,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Acquest Government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Acquest Holdings FC,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ACRE IDG,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 at Monroe Urban Renewal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 at Monroe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 at South Grand Urban Renewal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 at South Grand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 Block 146 Developer Urban Renewal,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 Block 146 Developer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 Block 176 Venture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 Block 178 Venture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 Fifteen Property Holding,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 Five Property Holding,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 Mortgagee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 Retail Venture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 Ten Property Holding,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 Triangle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Madison Wesley Lake Three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 Wesley Lake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Madison Wesley Lake Two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Asbury Convention Hall Limited Liability Company</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Asbury Partners,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Asbury Shores Community,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12203 East Colonial Drive—Orlando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1360 Greely Chapel Road—Lima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AR1,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AR2,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FL1,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FL10,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bl>
    <w:p>
      <w:pPr>
        <w:sectPr>
          <w:pgSz w:w="11900" w:h="16838" w:orient="portrait"/>
          <w:cols w:equalWidth="0" w:num="1">
            <w:col w:w="11420"/>
          </w:cols>
          <w:pgMar w:left="240" w:top="803" w:right="2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tcPr>
          <w:p>
            <w:pPr>
              <w:spacing w:after="0"/>
              <w:rPr>
                <w:sz w:val="16"/>
                <w:szCs w:val="16"/>
                <w:color w:val="auto"/>
              </w:rPr>
            </w:pPr>
          </w:p>
        </w:tc>
        <w:tc>
          <w:tcPr>
            <w:tcW w:w="1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State of Formation</w:t>
            </w:r>
          </w:p>
        </w:tc>
        <w:tc>
          <w:tcPr>
            <w:tcW w:w="120" w:type="dxa"/>
            <w:vAlign w:val="bottom"/>
          </w:tcPr>
          <w:p>
            <w:pPr>
              <w:spacing w:after="0"/>
              <w:rPr>
                <w:sz w:val="16"/>
                <w:szCs w:val="16"/>
                <w:color w:val="auto"/>
              </w:rPr>
            </w:pPr>
          </w:p>
        </w:tc>
        <w:tc>
          <w:tcPr>
            <w:tcW w:w="41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Other Names Used</w:t>
            </w:r>
          </w:p>
        </w:tc>
      </w:tr>
      <w:tr>
        <w:trPr>
          <w:trHeight w:val="242"/>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FL2,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1"/>
                <w:szCs w:val="21"/>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FL3,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FL4,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FL5,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FL6,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FL7,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FL8,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FL9,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GA1,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GA2,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GA3,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NC1,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NC2,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NC3,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NC4,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TX1 GenPar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TX1 LimPar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TX1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VA1,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ASB VA2,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Finance Falcon 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Finance Falcon II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Finance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ASTAR AF NH1,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FRR FL1,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FRR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FRR TX1 GenPar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FRR TX1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Highway 290—North Hempstead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SFI Dallas FC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Pima Road—Scottsdale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ROU LA1,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Route 33—Hamilton NJ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Spokane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Suncadia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Two Notch Columbia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UAG AZ1,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UAG AZ2,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UAG AZ3,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UAG FL1,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UAG NJ1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West Genesee Street II—Syracuse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ASTAR West Genesee Street I—Syracuse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Autostar Investors Partnership LLP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AutoStar Realty Operating Partnership,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Milestone Realty Operating Partnership</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Autostar Realty GP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bl>
    <w:p>
      <w:pPr>
        <w:sectPr>
          <w:pgSz w:w="11900" w:h="16838" w:orient="portrait"/>
          <w:cols w:equalWidth="0" w:num="1">
            <w:col w:w="11420"/>
          </w:cols>
          <w:pgMar w:left="240" w:top="803" w:right="2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tcPr>
          <w:p>
            <w:pPr>
              <w:spacing w:after="0"/>
              <w:rPr>
                <w:sz w:val="16"/>
                <w:szCs w:val="16"/>
                <w:color w:val="auto"/>
              </w:rPr>
            </w:pPr>
          </w:p>
        </w:tc>
        <w:tc>
          <w:tcPr>
            <w:tcW w:w="1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State of Formation</w:t>
            </w:r>
          </w:p>
        </w:tc>
        <w:tc>
          <w:tcPr>
            <w:tcW w:w="120" w:type="dxa"/>
            <w:vAlign w:val="bottom"/>
          </w:tcPr>
          <w:p>
            <w:pPr>
              <w:spacing w:after="0"/>
              <w:rPr>
                <w:sz w:val="16"/>
                <w:szCs w:val="16"/>
                <w:color w:val="auto"/>
              </w:rPr>
            </w:pPr>
          </w:p>
        </w:tc>
        <w:tc>
          <w:tcPr>
            <w:tcW w:w="41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Other Names Used</w:t>
            </w:r>
          </w:p>
        </w:tc>
      </w:tr>
      <w:tr>
        <w:trPr>
          <w:trHeight w:val="242"/>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Bath Site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1"/>
                <w:szCs w:val="21"/>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Belmont Ridge Development Co</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SFI One Madison Park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Bond Portfolio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 Bowling Properties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 Bowling Properties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 Bowling Properties GenPar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 Bowling Net Lease I REIT</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 Bowling Properties Canada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Cajun Fish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Campbell Commons—Richardson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Charwell TP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Childs Associates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Coney Childs Lender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Coney Entertainment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Coney Island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Coyote Center Development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CTL I Maryland,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DT Net Lease I REIT</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Entertainment Center Development,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Every Bear Investments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Falcon 2003-1 Columbus 818007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Falcon 2003-1 Dryden 818019</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855 Avenue of the Americas—SFI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Falcon 2003-1 Emporia 818012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Falcon 2003-1 Englewood 818021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Falcon 2003-1 Manteca 818017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Falcon 2003-1 Rimrock 818018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Falcon 2003-1 Seneca 818020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Falcon Auto Dealership Loan Trust 2001-1</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Falcon Auto Dealership Loan Trust 2003-1</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Falcon Auto Dealership,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Falcon Financial II,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Falcon Franchise Loan Corp.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Falcon Franchise Loan Trust 2000-1</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Falcon Franchise Loan,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Florida 2005 Theaters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MUVICO Realty,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Gold Coast Chicago Acquisition Company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Highland View Associates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85 10th L/C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100 Management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100 Riverview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100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181 Fremont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200-300 Management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200-300 Riverview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200-300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bl>
    <w:p>
      <w:pPr>
        <w:sectPr>
          <w:pgSz w:w="11900" w:h="16838" w:orient="portrait"/>
          <w:cols w:equalWidth="0" w:num="1">
            <w:col w:w="11420"/>
          </w:cols>
          <w:pgMar w:left="240" w:top="803" w:right="2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tcPr>
          <w:p>
            <w:pPr>
              <w:spacing w:after="0"/>
              <w:rPr>
                <w:sz w:val="16"/>
                <w:szCs w:val="16"/>
                <w:color w:val="auto"/>
              </w:rPr>
            </w:pPr>
          </w:p>
        </w:tc>
        <w:tc>
          <w:tcPr>
            <w:tcW w:w="1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State of Formation</w:t>
            </w:r>
          </w:p>
        </w:tc>
        <w:tc>
          <w:tcPr>
            <w:tcW w:w="120" w:type="dxa"/>
            <w:vAlign w:val="bottom"/>
          </w:tcPr>
          <w:p>
            <w:pPr>
              <w:spacing w:after="0"/>
              <w:rPr>
                <w:sz w:val="16"/>
                <w:szCs w:val="16"/>
                <w:color w:val="auto"/>
              </w:rPr>
            </w:pPr>
          </w:p>
        </w:tc>
        <w:tc>
          <w:tcPr>
            <w:tcW w:w="41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Other Names Used</w:t>
            </w:r>
          </w:p>
        </w:tc>
      </w:tr>
      <w:tr>
        <w:trPr>
          <w:trHeight w:val="242"/>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701 TS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1"/>
                <w:szCs w:val="21"/>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Alpha Structured Products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Apartment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Asset Receivables Trust</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Asset Services,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Starwood Asset Services, Inc.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Automotive Investments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Bishops Gate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Blues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Bowling Centers 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iStar Fort Collins USGS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Bowling Centers I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Bowling Centers II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Bowling Centers II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Busco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Columbus Circle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Corporate Collateral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CP Investment Fund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CS Emery Bay North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CS Kicker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CTL I GenPar,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CTL I,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CTL RiverEdge Summit—Atlanta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Dallas GL GenPar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Dallas GL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DH Holdings TRS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Diplomat Drive—Farmers Branch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DMI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Financial Protective Trust</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Financial Statutory Trust I</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FKEC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FM Kicker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FM Loans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FM REO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Harrisburg Business Trust</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Harrisburg GenPar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Harrisburg,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IF III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Marlin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Madison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iStar Madison TRS Inc.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Merger Co. I</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Starwood Merger Co. I</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Minnesota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Net Lease 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Net Lease Manager 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Net Lease Member 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One Dallas Manager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One Dallas Member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bl>
    <w:p>
      <w:pPr>
        <w:sectPr>
          <w:pgSz w:w="11900" w:h="16838" w:orient="portrait"/>
          <w:cols w:equalWidth="0" w:num="1">
            <w:col w:w="11420"/>
          </w:cols>
          <w:pgMar w:left="240" w:top="804" w:right="2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tcPr>
          <w:p>
            <w:pPr>
              <w:spacing w:after="0"/>
              <w:rPr>
                <w:sz w:val="16"/>
                <w:szCs w:val="16"/>
                <w:color w:val="auto"/>
              </w:rPr>
            </w:pPr>
          </w:p>
        </w:tc>
        <w:tc>
          <w:tcPr>
            <w:tcW w:w="1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State of Formation</w:t>
            </w:r>
          </w:p>
        </w:tc>
        <w:tc>
          <w:tcPr>
            <w:tcW w:w="120" w:type="dxa"/>
            <w:vAlign w:val="bottom"/>
          </w:tcPr>
          <w:p>
            <w:pPr>
              <w:spacing w:after="0"/>
              <w:rPr>
                <w:sz w:val="16"/>
                <w:szCs w:val="16"/>
                <w:color w:val="auto"/>
              </w:rPr>
            </w:pPr>
          </w:p>
        </w:tc>
        <w:tc>
          <w:tcPr>
            <w:tcW w:w="41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Other Names Used</w:t>
            </w:r>
          </w:p>
        </w:tc>
      </w:tr>
      <w:tr>
        <w:trPr>
          <w:trHeight w:val="242"/>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Page Mill Road—Palo Alto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1"/>
                <w:szCs w:val="21"/>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Permian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RC Paradise Valley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Real Estate Services,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TriNet Property Management, Inc.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REO Holdings TRS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REO Holding II TRS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San Jose,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SLC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iStar SLC TRS Inc.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Solo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SPP II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iStar SPP II TRS Inc.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SPP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iStar SPP TRS inc.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Statutory Trust</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Sunnyvale Partners,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Sunnyvale,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TALF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Tara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Tara Kickers TRS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Tara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WALH Investor TRS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iStar WALH Investor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iStar Woodward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Jade Eight Properties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Jersey Star GenPar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Jersey Star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Jersey Star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Key West Harbour Development,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Key West Marina Investments,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Loft Office Acquisition,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Lysol Limited</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Cyprus</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Madison Asbury Retail,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Asbury Park Retail,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MF III Albion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MN Theaters 2006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GAC Theaters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MSK Resort Finance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Naples AW Holdco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240 S Pineapple Land—Sarasota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Naples Harbour Development,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Naples Marina Investments,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NHN Holdco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345 Los Coches Street—North Hollywood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NHN Venture 2,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Oakton NLA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Oakton Net Lease REIT</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One Palm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Paramount Bay Owner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Parrot Cay Holdco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Piscataway Road—Clinton MD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Rattlefish Raw Bar and Grill,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Red Lion G.P.,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RLH Partnership,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bl>
    <w:p>
      <w:pPr>
        <w:sectPr>
          <w:pgSz w:w="11900" w:h="16838" w:orient="portrait"/>
          <w:cols w:equalWidth="0" w:num="1">
            <w:col w:w="11420"/>
          </w:cols>
          <w:pgMar w:left="240" w:top="804" w:right="2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tcPr>
          <w:p>
            <w:pPr>
              <w:spacing w:after="0"/>
              <w:rPr>
                <w:sz w:val="16"/>
                <w:szCs w:val="16"/>
                <w:color w:val="auto"/>
              </w:rPr>
            </w:pPr>
          </w:p>
        </w:tc>
        <w:tc>
          <w:tcPr>
            <w:tcW w:w="1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State of Formation</w:t>
            </w:r>
          </w:p>
        </w:tc>
        <w:tc>
          <w:tcPr>
            <w:tcW w:w="120" w:type="dxa"/>
            <w:vAlign w:val="bottom"/>
          </w:tcPr>
          <w:p>
            <w:pPr>
              <w:spacing w:after="0"/>
              <w:rPr>
                <w:sz w:val="16"/>
                <w:szCs w:val="16"/>
                <w:color w:val="auto"/>
              </w:rPr>
            </w:pPr>
          </w:p>
        </w:tc>
        <w:tc>
          <w:tcPr>
            <w:tcW w:w="41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Other Names Used</w:t>
            </w:r>
          </w:p>
        </w:tc>
      </w:tr>
      <w:tr>
        <w:trPr>
          <w:trHeight w:val="242"/>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Royal Oaks Lane (Biscayne Landing)—North Miami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1"/>
                <w:szCs w:val="21"/>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SCC Distribution Centers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iStar SCC Distribution Centers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Seaside Park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10 Rittenhouse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1120 Warner—Tempe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10255 East Via Linda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Acquest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AHBR Falk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Almaden Manager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Ambassador East TRS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Artesia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SFI Artesia Retail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Ballpark Village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Belmont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Biscayne Boulevard Acquisitions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BR Villa Luisa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Bridgeview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SFI Harbor View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Bullseye—Chicago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Cascade Highlands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Center Horseheads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Chicago Tollway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SFI Wilton Oases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College Park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Coney Island Manager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CWD Venture Manager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DT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Eagle Land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Emery Bay Participant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Euro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Euro Holdings II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FMC—Sanibel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Ford City—Chicago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Ginn Investments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Gold Coast Partner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Golden Hills—Vacaville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Grand Vista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Harborspire GenPar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328-342 Washington Blvd—Jersey City GenPar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Harborspire LimPar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328-342 Washington Blvd—Jersey City LimPar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Ilikai 104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Ilikai GenPar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Ilikai LL Parent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Ilikai LL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Ilikai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SFI Ilikai TRS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Ilikai Property Owner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Ilikai Retail Owner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Kapolei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bl>
    <w:p>
      <w:pPr>
        <w:sectPr>
          <w:pgSz w:w="11900" w:h="16838" w:orient="portrait"/>
          <w:cols w:equalWidth="0" w:num="1">
            <w:col w:w="11420"/>
          </w:cols>
          <w:pgMar w:left="240" w:top="804" w:right="2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tcPr>
          <w:p>
            <w:pPr>
              <w:spacing w:after="0"/>
              <w:rPr>
                <w:sz w:val="16"/>
                <w:szCs w:val="16"/>
                <w:color w:val="auto"/>
              </w:rPr>
            </w:pPr>
          </w:p>
        </w:tc>
        <w:tc>
          <w:tcPr>
            <w:tcW w:w="1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State of Formation</w:t>
            </w:r>
          </w:p>
        </w:tc>
        <w:tc>
          <w:tcPr>
            <w:tcW w:w="120" w:type="dxa"/>
            <w:vAlign w:val="bottom"/>
          </w:tcPr>
          <w:p>
            <w:pPr>
              <w:spacing w:after="0"/>
              <w:rPr>
                <w:sz w:val="16"/>
                <w:szCs w:val="16"/>
                <w:color w:val="auto"/>
              </w:rPr>
            </w:pPr>
          </w:p>
        </w:tc>
        <w:tc>
          <w:tcPr>
            <w:tcW w:w="41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Other Names Used</w:t>
            </w:r>
          </w:p>
        </w:tc>
      </w:tr>
      <w:tr>
        <w:trPr>
          <w:trHeight w:val="242"/>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Kauai GenPar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1"/>
                <w:szCs w:val="21"/>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Kauai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SFI Kauai TRS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Kauai Operator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Kauai Owner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Kaupulehu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Key West Harbour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Key West Marina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Kua 4 Partner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Kukio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Kula 1800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Los Valles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 Valles REO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Magnolia Avenue—Riverside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SFI Emperor Estates—Riverside County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Mammoth Crossing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SFI West Hills—Riverside County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Mammoth Finance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900 North Point Street—San Francisco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Mammoth GenPar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Mammoth Owner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SFI Mammoth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Marina Investments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Marina Stuart TRS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Marlin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iStar REO TRS Inc.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MG Investor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Mortgage Funding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Naples Harbour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Naples Marina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Naples Reserve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Net Lease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One Palm Partner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Palm Tree Farms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52"/>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Palm Tree (St. Lucie)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14951 Royal Oaks (Biscayne Landing)—North</w:t>
            </w:r>
          </w:p>
        </w:tc>
      </w:t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Miami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Penn Properties Statutory Trust</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Raintree—Scottsdale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Rittenhouse Statutory Trust</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Savannah Commercial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Savannah Residential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Shadelands—Walnut Creek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 Adrian Court—Burlingame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SMR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SFI SMR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SMR GenPar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SOHO TRS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Spring Mountain Ranch Phase 1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Sugar Mill Investor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SFI Paramount Bay Owner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Tampa Harbour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Tampa Marina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Theater Investments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Transitional-Dixmoor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bl>
    <w:p>
      <w:pPr>
        <w:sectPr>
          <w:pgSz w:w="11900" w:h="16838" w:orient="portrait"/>
          <w:cols w:equalWidth="0" w:num="1">
            <w:col w:w="11420"/>
          </w:cols>
          <w:pgMar w:left="240" w:top="804" w:right="2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tcPr>
          <w:p>
            <w:pPr>
              <w:spacing w:after="0"/>
              <w:rPr>
                <w:sz w:val="16"/>
                <w:szCs w:val="16"/>
                <w:color w:val="auto"/>
              </w:rPr>
            </w:pPr>
          </w:p>
        </w:tc>
        <w:tc>
          <w:tcPr>
            <w:tcW w:w="1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State of Formation</w:t>
            </w:r>
          </w:p>
        </w:tc>
        <w:tc>
          <w:tcPr>
            <w:tcW w:w="120" w:type="dxa"/>
            <w:vAlign w:val="bottom"/>
          </w:tcPr>
          <w:p>
            <w:pPr>
              <w:spacing w:after="0"/>
              <w:rPr>
                <w:sz w:val="16"/>
                <w:szCs w:val="16"/>
                <w:color w:val="auto"/>
              </w:rPr>
            </w:pPr>
          </w:p>
        </w:tc>
        <w:tc>
          <w:tcPr>
            <w:tcW w:w="41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Other Names Used</w:t>
            </w:r>
          </w:p>
        </w:tc>
      </w:tr>
      <w:tr>
        <w:trPr>
          <w:trHeight w:val="242"/>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Valley Plaza—North Hollywood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1"/>
                <w:szCs w:val="21"/>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Waipouli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West 48th Holdings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Westgate City Center —Glendale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SFI Winkel Way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SFT I,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SFT/RLH,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Shore Road—Long Beach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Shore Road—Long Beach Superblock TRS LLC</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Shore Road GenPar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Shore Road—Long Beach Superblock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SMR Phase 1 Joint Venture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Spring Mountain Ranch REO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State Road 710-Indiantown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Stone Pony Partners,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Sugar MG II,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Sugar Mill Glen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Talking Partners,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Tampa Harbour Development,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Tampa Marina Investments,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TDM Kua 4,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THCF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New Westgate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TimberStar Investors Partnership LLP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TimberStar Operating Partnership,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TimberStar Selling Party Representative Holdco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TimberStar Southwest Investor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TPRJC Owner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TriNet Essential Facilities XXIII,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TriNet Essential Facilities XXVI,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TriNet Essential Facilities XXVII, Inc.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TriNet Sunnyvale Partners,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Sunnyvale Partners, L.P.</w:t>
            </w: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TSM 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TSM II,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Vector Urban Renewal Associates I, L.P.</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Westgate Investments,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Westgate Signage,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Westgate Sports and Entertainment Group, LLC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spacing w:after="0"/>
              <w:rPr>
                <w:sz w:val="23"/>
                <w:szCs w:val="23"/>
                <w:color w:val="auto"/>
              </w:rPr>
            </w:pPr>
          </w:p>
        </w:tc>
      </w:tr>
    </w:tbl>
    <w:p>
      <w:pPr>
        <w:sectPr>
          <w:pgSz w:w="11900" w:h="16838" w:orient="portrait"/>
          <w:cols w:equalWidth="0" w:num="1">
            <w:col w:w="11420"/>
          </w:cols>
          <w:pgMar w:left="240" w:top="803" w:right="2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333-198576) and Form S-8 (No. 333-183465) of iStar Financial Inc. of our report dated March 2, 2015 relating to the financial statements, financial statement schedules and the effectiveness of internal control over financial reporting, which appears in this Form 10-K.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2015</w:t>
      </w:r>
    </w:p>
    <w:p>
      <w:pPr>
        <w:sectPr>
          <w:pgSz w:w="11900" w:h="16838" w:orient="portrait"/>
          <w:cols w:equalWidth="0" w:num="1">
            <w:col w:w="11420"/>
          </w:cols>
          <w:pgMar w:left="240" w:top="792" w:right="2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31.0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iStar Financial Inc.;</w:t>
      </w:r>
    </w:p>
    <w:p>
      <w:pPr>
        <w:spacing w:after="0" w:line="171" w:lineRule="exact"/>
        <w:rPr>
          <w:rFonts w:ascii="Times New Roman" w:cs="Times New Roman" w:eastAsia="Times New Roman" w:hAnsi="Times New Roman"/>
          <w:sz w:val="18"/>
          <w:szCs w:val="18"/>
          <w:color w:val="auto"/>
        </w:rPr>
      </w:pPr>
    </w:p>
    <w:p>
      <w:pPr>
        <w:ind w:firstLine="332"/>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332"/>
        <w:spacing w:after="0" w:line="282" w:lineRule="auto"/>
        <w:tabs>
          <w:tab w:leader="none" w:pos="52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332"/>
        <w:spacing w:after="0" w:line="266" w:lineRule="auto"/>
        <w:tabs>
          <w:tab w:leader="none" w:pos="5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5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340" w:firstLine="316"/>
        <w:spacing w:after="0" w:line="282" w:lineRule="auto"/>
        <w:tabs>
          <w:tab w:leader="none" w:pos="95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3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340" w:firstLine="316"/>
        <w:spacing w:after="0" w:line="282" w:lineRule="auto"/>
        <w:tabs>
          <w:tab w:leader="none" w:pos="91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340" w:right="20" w:firstLine="316"/>
        <w:spacing w:after="0" w:line="282" w:lineRule="auto"/>
        <w:tabs>
          <w:tab w:leader="none" w:pos="92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2015</w:t>
            </w:r>
          </w:p>
        </w:tc>
        <w:tc>
          <w:tcPr>
            <w:tcW w:w="770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By:    /s/ JAY SUGARMAN</w:t>
            </w:r>
          </w:p>
        </w:tc>
      </w:tr>
      <w:tr>
        <w:trPr>
          <w:trHeight w:val="27"/>
        </w:trPr>
        <w:tc>
          <w:tcPr>
            <w:tcW w:w="3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Jay Sugarman</w:t>
            </w:r>
          </w:p>
        </w:tc>
      </w:tr>
      <w:tr>
        <w:trPr>
          <w:trHeight w:val="270"/>
        </w:trPr>
        <w:tc>
          <w:tcPr>
            <w:tcW w:w="36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420"/>
          </w:cols>
          <w:pgMar w:left="240" w:top="333" w:right="2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DiStaso, certify that:</w:t>
      </w:r>
    </w:p>
    <w:p>
      <w:pPr>
        <w:spacing w:after="0" w:line="171" w:lineRule="exact"/>
        <w:rPr>
          <w:sz w:val="20"/>
          <w:szCs w:val="20"/>
          <w:color w:val="auto"/>
        </w:rPr>
      </w:pPr>
    </w:p>
    <w:p>
      <w:pPr>
        <w:ind w:left="520" w:hanging="188"/>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iStar Financial Inc.;</w:t>
      </w:r>
    </w:p>
    <w:p>
      <w:pPr>
        <w:spacing w:after="0" w:line="171" w:lineRule="exact"/>
        <w:rPr>
          <w:rFonts w:ascii="Times New Roman" w:cs="Times New Roman" w:eastAsia="Times New Roman" w:hAnsi="Times New Roman"/>
          <w:sz w:val="18"/>
          <w:szCs w:val="18"/>
          <w:color w:val="auto"/>
        </w:rPr>
      </w:pPr>
    </w:p>
    <w:p>
      <w:pPr>
        <w:ind w:firstLine="332"/>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332"/>
        <w:spacing w:after="0" w:line="282" w:lineRule="auto"/>
        <w:tabs>
          <w:tab w:leader="none" w:pos="52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332"/>
        <w:spacing w:after="0" w:line="266" w:lineRule="auto"/>
        <w:tabs>
          <w:tab w:leader="none" w:pos="5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2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5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340" w:firstLine="316"/>
        <w:spacing w:after="0" w:line="282" w:lineRule="auto"/>
        <w:tabs>
          <w:tab w:leader="none" w:pos="95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3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340" w:firstLine="316"/>
        <w:spacing w:after="0" w:line="282" w:lineRule="auto"/>
        <w:tabs>
          <w:tab w:leader="none" w:pos="91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340" w:right="20" w:firstLine="316"/>
        <w:spacing w:after="0" w:line="282" w:lineRule="auto"/>
        <w:tabs>
          <w:tab w:leader="none" w:pos="92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2015</w:t>
            </w:r>
          </w:p>
        </w:tc>
        <w:tc>
          <w:tcPr>
            <w:tcW w:w="770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By:    /s/ DAVID DISTASO</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David DiStaso</w:t>
            </w:r>
          </w:p>
        </w:tc>
        <w:tc>
          <w:tcPr>
            <w:tcW w:w="0" w:type="dxa"/>
            <w:vAlign w:val="bottom"/>
          </w:tcPr>
          <w:p>
            <w:pPr>
              <w:spacing w:after="0"/>
              <w:rPr>
                <w:sz w:val="1"/>
                <w:szCs w:val="1"/>
                <w:color w:val="auto"/>
              </w:rPr>
            </w:pPr>
          </w:p>
        </w:tc>
      </w:tr>
      <w:tr>
        <w:trPr>
          <w:trHeight w:val="250"/>
        </w:trPr>
        <w:tc>
          <w:tcPr>
            <w:tcW w:w="36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8"/>
        </w:trPr>
        <w:tc>
          <w:tcPr>
            <w:tcW w:w="36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4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6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4" w:right="2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undersigned, the Chief Executive Officer of iStar Financial Inc. (the "Company"), hereby certifies on the date hereof, pursuant to 18 U.S.C. 1350, as adopted pursuant to Section 906 of The Sarbanes-Oxley Act of 2002, that the Annual Report on Form 10-K for the year ended December 31, 2014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2015</w:t>
            </w:r>
          </w:p>
        </w:tc>
        <w:tc>
          <w:tcPr>
            <w:tcW w:w="770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By:    /s/ JAY SUGARMAN</w:t>
            </w:r>
          </w:p>
        </w:tc>
      </w:tr>
      <w:tr>
        <w:trPr>
          <w:trHeight w:val="27"/>
        </w:trPr>
        <w:tc>
          <w:tcPr>
            <w:tcW w:w="3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Jay Sugarman</w:t>
            </w:r>
          </w:p>
        </w:tc>
      </w:tr>
      <w:tr>
        <w:trPr>
          <w:trHeight w:val="270"/>
        </w:trPr>
        <w:tc>
          <w:tcPr>
            <w:tcW w:w="36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420"/>
          </w:cols>
          <w:pgMar w:left="240" w:top="333" w:right="2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undersigned, the Chief Financial Officer of iStar Financial Inc. (the "Company"), hereby certifies on the date hereof, pursuant to 18 U.S.C. 1350, as adopted pursuant to Section 906 of The Sarbanes-Oxley Act of 2002, that the Annual Report on Form 10-K for the year ended December 31, 2014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2015</w:t>
            </w:r>
          </w:p>
        </w:tc>
        <w:tc>
          <w:tcPr>
            <w:tcW w:w="770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By:    /s/ DAVID DISTASO</w:t>
            </w:r>
          </w:p>
        </w:tc>
      </w:tr>
      <w:tr>
        <w:trPr>
          <w:trHeight w:val="27"/>
        </w:trPr>
        <w:tc>
          <w:tcPr>
            <w:tcW w:w="3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David DiStaso</w:t>
            </w:r>
          </w:p>
        </w:tc>
      </w:tr>
      <w:tr>
        <w:trPr>
          <w:trHeight w:val="164"/>
        </w:trPr>
        <w:tc>
          <w:tcPr>
            <w:tcW w:w="36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0" w:type="dxa"/>
            <w:vAlign w:val="bottom"/>
          </w:tcPr>
          <w:p>
            <w:pPr>
              <w:ind w:left="220"/>
              <w:spacing w:after="0" w:line="164" w:lineRule="exact"/>
              <w:rPr>
                <w:sz w:val="20"/>
                <w:szCs w:val="20"/>
                <w:color w:val="auto"/>
              </w:rPr>
            </w:pPr>
            <w:r>
              <w:rPr>
                <w:rFonts w:ascii="Times New Roman" w:cs="Times New Roman" w:eastAsia="Times New Roman" w:hAnsi="Times New Roman"/>
                <w:sz w:val="18"/>
                <w:szCs w:val="18"/>
                <w:i w:val="1"/>
                <w:iCs w:val="1"/>
                <w:color w:val="auto"/>
              </w:rPr>
              <w:t>Chief Financial Officer (principal</w:t>
            </w:r>
          </w:p>
        </w:tc>
      </w:tr>
    </w:tbl>
    <w:p>
      <w:pPr>
        <w:spacing w:after="0" w:line="1"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i w:val="1"/>
                <w:iCs w:val="1"/>
                <w:color w:val="auto"/>
                <w:w w:val="98"/>
              </w:rPr>
              <w:t>financial and accounting officer)</w:t>
            </w:r>
          </w:p>
        </w:tc>
        <w:tc>
          <w:tcPr>
            <w:tcW w:w="0" w:type="dxa"/>
            <w:vAlign w:val="bottom"/>
          </w:tcPr>
          <w:p>
            <w:pPr>
              <w:spacing w:after="0"/>
              <w:rPr>
                <w:sz w:val="1"/>
                <w:szCs w:val="1"/>
                <w:color w:val="auto"/>
              </w:rPr>
            </w:pPr>
          </w:p>
        </w:tc>
      </w:tr>
      <w:tr>
        <w:trPr>
          <w:trHeight w:val="88"/>
        </w:trPr>
        <w:tc>
          <w:tcPr>
            <w:tcW w:w="66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o"/>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decimal"/>
      <w:start w:val="2"/>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1)"/>
      <w:numFmt w:val="decimal"/>
      <w:start w:val="1"/>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1)"/>
      <w:numFmt w:val="decimal"/>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1)"/>
      <w:numFmt w:val="decimal"/>
      <w:start w:val="2"/>
    </w:lvl>
  </w:abstractNum>
  <w:abstractNum w:abstractNumId="27">
    <w:nsid w:val="7644A45C"/>
    <w:multiLevelType w:val="hybridMultilevel"/>
    <w:lvl w:ilvl="0">
      <w:lvlJc w:val="left"/>
      <w:lvlText w:val="(%1)"/>
      <w:numFmt w:val="decimal"/>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1)"/>
      <w:numFmt w:val="decimal"/>
      <w:start w:val="1"/>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lowerRoman"/>
      <w:start w:val="3"/>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decimal"/>
      <w:start w:val="4"/>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decimal"/>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decimal"/>
      <w:start w:val="2"/>
    </w:lvl>
  </w:abstractNum>
  <w:abstractNum w:abstractNumId="57">
    <w:nsid w:val="77AE35EB"/>
    <w:multiLevelType w:val="hybridMultilevel"/>
    <w:lvl w:ilvl="0">
      <w:lvlJc w:val="left"/>
      <w:lvlText w:val="(%1)"/>
      <w:numFmt w:val="decimal"/>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decimal"/>
      <w:start w:val="100"/>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1)"/>
      <w:numFmt w:val="decimal"/>
      <w:start w:val="10"/>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1)"/>
      <w:numFmt w:val="decimal"/>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2019-12-29T18:54:48Z</dcterms:created>
  <dcterms:modified xsi:type="dcterms:W3CDTF">2019-12-29T18:54:48Z</dcterms:modified>
</cp:coreProperties>
</file>