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2600" w:right="1840" w:hanging="850"/>
        <w:spacing w:after="0" w:line="256" w:lineRule="auto"/>
        <w:tabs>
          <w:tab w:leader="none" w:pos="2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2600" w:right="1820" w:hanging="809"/>
        <w:spacing w:after="0" w:line="256" w:lineRule="auto"/>
        <w:tabs>
          <w:tab w:leader="none" w:pos="26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5620" w:type="dxa"/>
            <w:vAlign w:val="bottom"/>
          </w:tcPr>
          <w:p>
            <w:pPr>
              <w:ind w:left="2680"/>
              <w:spacing w:after="0"/>
              <w:rPr>
                <w:sz w:val="20"/>
                <w:szCs w:val="20"/>
                <w:color w:val="auto"/>
              </w:rPr>
            </w:pPr>
            <w:r>
              <w:rPr>
                <w:rFonts w:ascii="Arial" w:cs="Arial" w:eastAsia="Arial" w:hAnsi="Arial"/>
                <w:sz w:val="18"/>
                <w:szCs w:val="18"/>
                <w:b w:val="1"/>
                <w:bCs w:val="1"/>
                <w:color w:val="auto"/>
              </w:rPr>
              <w:t>For the transition period from</w:t>
            </w:r>
          </w:p>
        </w:tc>
        <w:tc>
          <w:tcPr>
            <w:tcW w:w="2680" w:type="dxa"/>
            <w:vAlign w:val="bottom"/>
          </w:tcPr>
          <w:p>
            <w:pPr>
              <w:spacing w:after="0"/>
              <w:rPr>
                <w:sz w:val="20"/>
                <w:szCs w:val="20"/>
                <w:color w:val="auto"/>
              </w:rPr>
            </w:pPr>
            <w:r>
              <w:rPr>
                <w:rFonts w:ascii="Arial" w:cs="Arial" w:eastAsia="Arial" w:hAnsi="Arial"/>
                <w:sz w:val="18"/>
                <w:szCs w:val="18"/>
                <w:b w:val="1"/>
                <w:bCs w:val="1"/>
                <w:color w:val="auto"/>
              </w:rPr>
              <w:t>to</w:t>
            </w:r>
          </w:p>
        </w:tc>
      </w:tr>
      <w:tr>
        <w:trPr>
          <w:trHeight w:val="297"/>
        </w:trPr>
        <w:tc>
          <w:tcPr>
            <w:tcW w:w="5620" w:type="dxa"/>
            <w:vAlign w:val="bottom"/>
          </w:tcPr>
          <w:p>
            <w:pPr>
              <w:jc w:val="center"/>
              <w:ind w:left="3285"/>
              <w:spacing w:after="0"/>
              <w:rPr>
                <w:sz w:val="20"/>
                <w:szCs w:val="20"/>
                <w:color w:val="auto"/>
              </w:rPr>
            </w:pPr>
            <w:r>
              <w:rPr>
                <w:rFonts w:ascii="Arial" w:cs="Arial" w:eastAsia="Arial" w:hAnsi="Arial"/>
                <w:sz w:val="18"/>
                <w:szCs w:val="18"/>
                <w:b w:val="1"/>
                <w:bCs w:val="1"/>
                <w:color w:val="auto"/>
                <w:w w:val="89"/>
              </w:rPr>
              <w:t>Commission File No. 1-15371</w:t>
            </w:r>
          </w:p>
        </w:tc>
        <w:tc>
          <w:tcPr>
            <w:tcW w:w="2680" w:type="dxa"/>
            <w:vAlign w:val="bottom"/>
          </w:tcPr>
          <w:p>
            <w:pPr>
              <w:spacing w:after="0"/>
              <w:rPr>
                <w:sz w:val="24"/>
                <w:szCs w:val="24"/>
                <w:color w:val="auto"/>
              </w:rPr>
            </w:pPr>
          </w:p>
        </w:tc>
      </w:tr>
      <w:tr>
        <w:trPr>
          <w:trHeight w:val="218"/>
        </w:trPr>
        <w:tc>
          <w:tcPr>
            <w:tcW w:w="8300" w:type="dxa"/>
            <w:vAlign w:val="bottom"/>
            <w:gridSpan w:val="2"/>
          </w:tcPr>
          <w:p>
            <w:pPr>
              <w:jc w:val="center"/>
              <w:ind w:left="605"/>
              <w:spacing w:after="0"/>
              <w:rPr>
                <w:sz w:val="20"/>
                <w:szCs w:val="20"/>
                <w:color w:val="auto"/>
              </w:rPr>
            </w:pPr>
            <w:r>
              <w:rPr>
                <w:rFonts w:ascii="Arial" w:cs="Arial" w:eastAsia="Arial" w:hAnsi="Arial"/>
                <w:sz w:val="14"/>
                <w:szCs w:val="14"/>
                <w:color w:val="auto"/>
                <w:w w:val="92"/>
              </w:rPr>
              <w:t>_______________________________________________________________________________</w:t>
            </w:r>
          </w:p>
        </w:tc>
      </w:tr>
      <w:tr>
        <w:trPr>
          <w:trHeight w:val="416"/>
        </w:trPr>
        <w:tc>
          <w:tcPr>
            <w:tcW w:w="5620" w:type="dxa"/>
            <w:vAlign w:val="bottom"/>
          </w:tcPr>
          <w:p>
            <w:pPr>
              <w:jc w:val="center"/>
              <w:ind w:left="3265"/>
              <w:spacing w:after="0"/>
              <w:rPr>
                <w:sz w:val="20"/>
                <w:szCs w:val="20"/>
                <w:color w:val="auto"/>
              </w:rPr>
            </w:pPr>
            <w:r>
              <w:rPr>
                <w:rFonts w:ascii="Arial" w:cs="Arial" w:eastAsia="Arial" w:hAnsi="Arial"/>
                <w:sz w:val="32"/>
                <w:szCs w:val="32"/>
                <w:b w:val="1"/>
                <w:bCs w:val="1"/>
                <w:color w:val="auto"/>
                <w:w w:val="96"/>
              </w:rPr>
              <w:t>iStar Inc.</w:t>
            </w:r>
          </w:p>
        </w:tc>
        <w:tc>
          <w:tcPr>
            <w:tcW w:w="2680" w:type="dxa"/>
            <w:vAlign w:val="bottom"/>
          </w:tcPr>
          <w:p>
            <w:pPr>
              <w:spacing w:after="0"/>
              <w:rPr>
                <w:sz w:val="24"/>
                <w:szCs w:val="24"/>
                <w:color w:val="auto"/>
              </w:rPr>
            </w:pPr>
          </w:p>
        </w:tc>
      </w:tr>
      <w:tr>
        <w:trPr>
          <w:trHeight w:val="230"/>
        </w:trPr>
        <w:tc>
          <w:tcPr>
            <w:tcW w:w="8300" w:type="dxa"/>
            <w:vAlign w:val="bottom"/>
            <w:gridSpan w:val="2"/>
          </w:tcPr>
          <w:p>
            <w:pPr>
              <w:jc w:val="center"/>
              <w:ind w:left="605"/>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99"/>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98"/>
              </w:rPr>
              <w:t>Maryland</w:t>
            </w:r>
          </w:p>
        </w:tc>
        <w:tc>
          <w:tcPr>
            <w:tcW w:w="2680" w:type="dxa"/>
            <w:vAlign w:val="bottom"/>
          </w:tcPr>
          <w:p>
            <w:pPr>
              <w:jc w:val="right"/>
              <w:ind w:right="310"/>
              <w:spacing w:after="0"/>
              <w:rPr>
                <w:sz w:val="20"/>
                <w:szCs w:val="20"/>
                <w:color w:val="auto"/>
              </w:rPr>
            </w:pPr>
            <w:r>
              <w:rPr>
                <w:rFonts w:ascii="Arial" w:cs="Arial" w:eastAsia="Arial" w:hAnsi="Arial"/>
                <w:sz w:val="18"/>
                <w:szCs w:val="18"/>
                <w:b w:val="1"/>
                <w:bCs w:val="1"/>
                <w:color w:val="auto"/>
              </w:rPr>
              <w:t>95-6881527</w:t>
            </w:r>
          </w:p>
        </w:tc>
      </w:tr>
      <w:tr>
        <w:trPr>
          <w:trHeight w:val="216"/>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3"/>
              </w:rPr>
              <w:t>(State or other jurisdiction of</w:t>
            </w:r>
          </w:p>
        </w:tc>
        <w:tc>
          <w:tcPr>
            <w:tcW w:w="2680" w:type="dxa"/>
            <w:vAlign w:val="bottom"/>
          </w:tcPr>
          <w:p>
            <w:pPr>
              <w:jc w:val="center"/>
              <w:ind w:left="930"/>
              <w:spacing w:after="0"/>
              <w:rPr>
                <w:sz w:val="20"/>
                <w:szCs w:val="20"/>
                <w:color w:val="auto"/>
              </w:rPr>
            </w:pPr>
            <w:r>
              <w:rPr>
                <w:rFonts w:ascii="Arial" w:cs="Arial" w:eastAsia="Arial" w:hAnsi="Arial"/>
                <w:sz w:val="18"/>
                <w:szCs w:val="18"/>
                <w:color w:val="auto"/>
                <w:w w:val="92"/>
              </w:rPr>
              <w:t>(I.R.S. Employer</w:t>
            </w:r>
          </w:p>
        </w:tc>
      </w:tr>
      <w:tr>
        <w:trPr>
          <w:trHeight w:val="230"/>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3"/>
              </w:rPr>
              <w:t>incorporation or organization)</w:t>
            </w:r>
          </w:p>
        </w:tc>
        <w:tc>
          <w:tcPr>
            <w:tcW w:w="2680" w:type="dxa"/>
            <w:vAlign w:val="bottom"/>
          </w:tcPr>
          <w:p>
            <w:pPr>
              <w:jc w:val="center"/>
              <w:ind w:left="930"/>
              <w:spacing w:after="0"/>
              <w:rPr>
                <w:sz w:val="20"/>
                <w:szCs w:val="20"/>
                <w:color w:val="auto"/>
              </w:rPr>
            </w:pPr>
            <w:r>
              <w:rPr>
                <w:rFonts w:ascii="Arial" w:cs="Arial" w:eastAsia="Arial" w:hAnsi="Arial"/>
                <w:sz w:val="18"/>
                <w:szCs w:val="18"/>
                <w:color w:val="auto"/>
                <w:w w:val="94"/>
              </w:rPr>
              <w:t>Identification Number)</w:t>
            </w:r>
          </w:p>
        </w:tc>
      </w:tr>
      <w:tr>
        <w:trPr>
          <w:trHeight w:val="270"/>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89"/>
              </w:rPr>
              <w:t>1114 Avenue of the Americas, 39</w:t>
            </w:r>
            <w:r>
              <w:rPr>
                <w:rFonts w:ascii="Arial" w:cs="Arial" w:eastAsia="Arial" w:hAnsi="Arial"/>
                <w:sz w:val="14"/>
                <w:szCs w:val="14"/>
                <w:b w:val="1"/>
                <w:bCs w:val="1"/>
                <w:color w:val="auto"/>
                <w:w w:val="89"/>
              </w:rPr>
              <w:t>th</w:t>
            </w:r>
            <w:r>
              <w:rPr>
                <w:rFonts w:ascii="Arial" w:cs="Arial" w:eastAsia="Arial" w:hAnsi="Arial"/>
                <w:sz w:val="18"/>
                <w:szCs w:val="18"/>
                <w:b w:val="1"/>
                <w:bCs w:val="1"/>
                <w:color w:val="auto"/>
                <w:w w:val="89"/>
              </w:rPr>
              <w:t xml:space="preserve"> Floor</w:t>
            </w:r>
          </w:p>
        </w:tc>
        <w:tc>
          <w:tcPr>
            <w:tcW w:w="2680" w:type="dxa"/>
            <w:vAlign w:val="bottom"/>
          </w:tcPr>
          <w:p>
            <w:pPr>
              <w:spacing w:after="0"/>
              <w:rPr>
                <w:sz w:val="23"/>
                <w:szCs w:val="23"/>
                <w:color w:val="auto"/>
              </w:rPr>
            </w:pPr>
          </w:p>
        </w:tc>
      </w:tr>
      <w:tr>
        <w:trPr>
          <w:trHeight w:val="256"/>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93"/>
              </w:rPr>
              <w:t>New York, NY</w:t>
            </w:r>
          </w:p>
        </w:tc>
        <w:tc>
          <w:tcPr>
            <w:tcW w:w="2680" w:type="dxa"/>
            <w:vAlign w:val="bottom"/>
          </w:tcPr>
          <w:p>
            <w:pPr>
              <w:jc w:val="right"/>
              <w:ind w:right="510"/>
              <w:spacing w:after="0"/>
              <w:rPr>
                <w:sz w:val="20"/>
                <w:szCs w:val="20"/>
                <w:color w:val="auto"/>
              </w:rPr>
            </w:pPr>
            <w:r>
              <w:rPr>
                <w:rFonts w:ascii="Arial" w:cs="Arial" w:eastAsia="Arial" w:hAnsi="Arial"/>
                <w:sz w:val="18"/>
                <w:szCs w:val="18"/>
                <w:b w:val="1"/>
                <w:bCs w:val="1"/>
                <w:color w:val="auto"/>
              </w:rPr>
              <w:t>10036</w:t>
            </w:r>
          </w:p>
        </w:tc>
      </w:tr>
      <w:tr>
        <w:trPr>
          <w:trHeight w:val="230"/>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2"/>
              </w:rPr>
              <w:t>(Address of principal executive offices)</w:t>
            </w:r>
          </w:p>
        </w:tc>
        <w:tc>
          <w:tcPr>
            <w:tcW w:w="2680" w:type="dxa"/>
            <w:vAlign w:val="bottom"/>
          </w:tcPr>
          <w:p>
            <w:pPr>
              <w:jc w:val="center"/>
              <w:ind w:left="910"/>
              <w:spacing w:after="0"/>
              <w:rPr>
                <w:sz w:val="20"/>
                <w:szCs w:val="20"/>
                <w:color w:val="auto"/>
              </w:rPr>
            </w:pPr>
            <w:r>
              <w:rPr>
                <w:rFonts w:ascii="Arial" w:cs="Arial" w:eastAsia="Arial" w:hAnsi="Arial"/>
                <w:sz w:val="18"/>
                <w:szCs w:val="18"/>
                <w:color w:val="auto"/>
                <w:w w:val="93"/>
              </w:rPr>
              <w:t>(Zip code)</w:t>
            </w: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63"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22"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49" w:lineRule="exact"/>
        <w:rPr>
          <w:sz w:val="24"/>
          <w:szCs w:val="24"/>
          <w:color w:val="auto"/>
        </w:rPr>
      </w:pPr>
    </w:p>
    <w:p>
      <w:pPr>
        <w:ind w:left="6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ind w:hanging="29"/>
        <w:spacing w:after="0" w:line="288" w:lineRule="auto"/>
        <w:rPr>
          <w:sz w:val="20"/>
          <w:szCs w:val="20"/>
          <w:color w:val="auto"/>
        </w:rPr>
      </w:pPr>
      <w:r>
        <w:rPr>
          <w:rFonts w:ascii="Arial" w:cs="Arial" w:eastAsia="Arial" w:hAnsi="Arial"/>
          <w:sz w:val="17"/>
          <w:szCs w:val="17"/>
          <w:color w:val="auto"/>
        </w:rPr>
        <w:t xml:space="preserve">Non-accelerated filer o </w:t>
      </w: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Emerging growth</w:t>
      </w:r>
    </w:p>
    <w:p>
      <w:pPr>
        <w:spacing w:after="0" w:line="46"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company o</w:t>
      </w:r>
    </w:p>
    <w:p>
      <w:pPr>
        <w:spacing w:after="0" w:line="273" w:lineRule="exact"/>
        <w:rPr>
          <w:sz w:val="24"/>
          <w:szCs w:val="24"/>
          <w:color w:val="auto"/>
        </w:rPr>
      </w:pPr>
    </w:p>
    <w:p>
      <w:pPr>
        <w:sectPr>
          <w:pgSz w:w="11900" w:h="16838" w:orient="portrait"/>
          <w:cols w:equalWidth="0" w:num="5">
            <w:col w:w="2440" w:space="260"/>
            <w:col w:w="1340" w:space="500"/>
            <w:col w:w="1620" w:space="480"/>
            <w:col w:w="2100" w:space="540"/>
            <w:col w:w="2140"/>
          </w:cols>
          <w:pgMar w:left="240" w:top="229" w:right="239" w:bottom="1440" w:gutter="0" w:footer="0" w:header="0"/>
          <w:type w:val="continuous"/>
        </w:sectPr>
      </w:pPr>
    </w:p>
    <w:p>
      <w:pPr>
        <w:ind w:left="440"/>
        <w:spacing w:after="0" w:line="196" w:lineRule="exact"/>
        <w:tabs>
          <w:tab w:leader="none" w:pos="8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 Yes o</w:t>
        <w:tab/>
        <w:t xml:space="preserve">No </w:t>
      </w:r>
      <w:r>
        <w:rPr>
          <w:rFonts w:ascii="MS PGothic" w:cs="MS PGothic" w:eastAsia="MS PGothic" w:hAnsi="MS PGothic"/>
          <w:sz w:val="17"/>
          <w:szCs w:val="17"/>
          <w:color w:val="auto"/>
        </w:rPr>
        <w:t>☒</w:t>
      </w:r>
    </w:p>
    <w:p>
      <w:pPr>
        <w:spacing w:after="0" w:line="323" w:lineRule="exact"/>
        <w:rPr>
          <w:sz w:val="24"/>
          <w:szCs w:val="24"/>
          <w:color w:val="auto"/>
        </w:rPr>
      </w:pPr>
    </w:p>
    <w:p>
      <w:pPr>
        <w:ind w:firstLine="405"/>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8"/>
          <w:szCs w:val="18"/>
          <w:color w:val="auto"/>
        </w:rPr>
        <w:t>As of May 2, 2017, there were 72,105,169 shares, $0.001 par value per share, of iStar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640" w:type="dxa"/>
            <w:vAlign w:val="bottom"/>
            <w:gridSpan w:val="4"/>
          </w:tcPr>
          <w:p>
            <w:pPr>
              <w:spacing w:after="0" w:line="170"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520" w:type="dxa"/>
            <w:vAlign w:val="bottom"/>
          </w:tcPr>
          <w:p>
            <w:pPr>
              <w:spacing w:after="0"/>
              <w:rPr>
                <w:sz w:val="16"/>
                <w:szCs w:val="16"/>
                <w:color w:val="auto"/>
              </w:rPr>
            </w:pPr>
          </w:p>
        </w:tc>
        <w:tc>
          <w:tcPr>
            <w:tcW w:w="4000" w:type="dxa"/>
            <w:vAlign w:val="bottom"/>
            <w:gridSpan w:val="9"/>
          </w:tcPr>
          <w:p>
            <w:pP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Information</w:t>
              </w:r>
            </w:hyperlink>
          </w:p>
        </w:tc>
        <w:tc>
          <w:tcPr>
            <w:tcW w:w="5540" w:type="dxa"/>
            <w:vAlign w:val="bottom"/>
            <w:gridSpan w:val="8"/>
          </w:tcPr>
          <w:p>
            <w:pPr>
              <w:spacing w:after="0"/>
              <w:rPr>
                <w:sz w:val="16"/>
                <w:szCs w:val="16"/>
                <w:color w:val="auto"/>
              </w:rPr>
            </w:pPr>
          </w:p>
        </w:tc>
        <w:tc>
          <w:tcPr>
            <w:tcW w:w="660" w:type="dxa"/>
            <w:vAlign w:val="bottom"/>
            <w:gridSpan w:val="4"/>
          </w:tcPr>
          <w:p>
            <w:pPr>
              <w:jc w:val="right"/>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gridSpan w:val="2"/>
            <w:shd w:val="clear" w:color="auto" w:fill="0000EE"/>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700" w:type="dxa"/>
            <w:vAlign w:val="bottom"/>
            <w:gridSpan w:val="2"/>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520" w:type="dxa"/>
            <w:vAlign w:val="bottom"/>
          </w:tcPr>
          <w:p>
            <w:pPr>
              <w:spacing w:after="0"/>
              <w:rPr>
                <w:sz w:val="22"/>
                <w:szCs w:val="22"/>
                <w:color w:val="auto"/>
              </w:rPr>
            </w:pPr>
          </w:p>
        </w:tc>
        <w:tc>
          <w:tcPr>
            <w:tcW w:w="400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540" w:type="dxa"/>
            <w:vAlign w:val="bottom"/>
            <w:gridSpan w:val="8"/>
          </w:tcPr>
          <w:p>
            <w:pPr>
              <w:spacing w:after="0"/>
              <w:rPr>
                <w:sz w:val="22"/>
                <w:szCs w:val="22"/>
                <w:color w:val="auto"/>
              </w:rPr>
            </w:pPr>
          </w:p>
        </w:tc>
        <w:tc>
          <w:tcPr>
            <w:tcW w:w="6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300" w:type="dxa"/>
            <w:vAlign w:val="bottom"/>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March 31, 2017 (unaudited) and December 31, 2016</w:t>
              </w:r>
            </w:hyperlink>
          </w:p>
        </w:tc>
        <w:tc>
          <w:tcPr>
            <w:tcW w:w="3240" w:type="dxa"/>
            <w:vAlign w:val="bottom"/>
            <w:gridSpan w:val="6"/>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(unaudited)—For the three months ended March 31, 2017 and 2016</w:t>
              </w:r>
            </w:hyperlink>
          </w:p>
        </w:tc>
        <w:tc>
          <w:tcPr>
            <w:tcW w:w="66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Comprehensive Income (Loss) (unaudited)—For the three months ended March 31, 2017 and 2016</w:t>
              </w:r>
            </w:hyperlink>
          </w:p>
        </w:tc>
        <w:tc>
          <w:tcPr>
            <w:tcW w:w="560" w:type="dxa"/>
            <w:vAlign w:val="bottom"/>
            <w:gridSpan w:val="2"/>
            <w:vMerge w:val="restart"/>
          </w:tcPr>
          <w:p>
            <w:pPr>
              <w:spacing w:after="0"/>
              <w:rPr>
                <w:sz w:val="21"/>
                <w:szCs w:val="21"/>
                <w:color w:val="auto"/>
              </w:rPr>
            </w:pPr>
          </w:p>
        </w:tc>
        <w:tc>
          <w:tcPr>
            <w:tcW w:w="100" w:type="dxa"/>
            <w:vAlign w:val="bottom"/>
            <w:gridSpan w:val="2"/>
            <w:vMerge w:val="restart"/>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00" w:type="dxa"/>
            <w:vAlign w:val="bottom"/>
            <w:tcBorders>
              <w:bottom w:val="single" w:sz="8" w:color="0000EE"/>
            </w:tcBorders>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Changes in Equity (unaudited)—For the three months ended March 31, 2017 and 2016</w:t>
              </w:r>
            </w:hyperlink>
          </w:p>
        </w:tc>
        <w:tc>
          <w:tcPr>
            <w:tcW w:w="66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780" w:type="dxa"/>
            <w:vAlign w:val="bottom"/>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(unaudited)—For the three months ended March 31, 2017 and 2016</w:t>
              </w:r>
            </w:hyperlink>
          </w:p>
        </w:tc>
        <w:tc>
          <w:tcPr>
            <w:tcW w:w="48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780" w:type="dxa"/>
            <w:vAlign w:val="bottom"/>
            <w:gridSpan w:val="1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1760" w:type="dxa"/>
            <w:vAlign w:val="bottom"/>
            <w:gridSpan w:val="3"/>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18"/>
                <w:szCs w:val="18"/>
                <w:color w:val="0000EE"/>
                <w:w w:val="90"/>
              </w:rPr>
              <w:t>Item 2.</w:t>
            </w:r>
          </w:p>
        </w:tc>
        <w:tc>
          <w:tcPr>
            <w:tcW w:w="640" w:type="dxa"/>
            <w:vAlign w:val="bottom"/>
            <w:gridSpan w:val="3"/>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66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3.</w:t>
              </w:r>
            </w:hyperlink>
          </w:p>
        </w:tc>
        <w:tc>
          <w:tcPr>
            <w:tcW w:w="640" w:type="dxa"/>
            <w:vAlign w:val="bottom"/>
            <w:gridSpan w:val="3"/>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Quantitative and Qualitative Disclosures About Market Risk</w:t>
              </w:r>
            </w:hyperlink>
          </w:p>
        </w:tc>
        <w:tc>
          <w:tcPr>
            <w:tcW w:w="2080" w:type="dxa"/>
            <w:vAlign w:val="bottom"/>
            <w:gridSpan w:val="2"/>
          </w:tcPr>
          <w:p>
            <w:pPr>
              <w:spacing w:after="0"/>
              <w:rPr>
                <w:sz w:val="21"/>
                <w:szCs w:val="21"/>
                <w:color w:val="auto"/>
              </w:rPr>
            </w:pPr>
          </w:p>
        </w:tc>
        <w:tc>
          <w:tcPr>
            <w:tcW w:w="3120" w:type="dxa"/>
            <w:vAlign w:val="bottom"/>
            <w:gridSpan w:val="5"/>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tcBorders>
              <w:left w:val="single" w:sz="8" w:color="0000EE"/>
            </w:tcBorders>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4.</w:t>
              </w:r>
            </w:hyperlink>
          </w:p>
        </w:tc>
        <w:tc>
          <w:tcPr>
            <w:tcW w:w="640" w:type="dxa"/>
            <w:vAlign w:val="bottom"/>
            <w:gridSpan w:val="3"/>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5200" w:type="dxa"/>
            <w:vAlign w:val="bottom"/>
            <w:gridSpan w:val="7"/>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b w:val="1"/>
                <w:bCs w:val="1"/>
                <w:color w:val="0000EE"/>
                <w:w w:val="93"/>
              </w:rPr>
            </w:pPr>
            <w:hyperlink w:anchor="page53">
              <w:r>
                <w:rPr>
                  <w:rFonts w:ascii="Arial" w:cs="Arial" w:eastAsia="Arial" w:hAnsi="Arial"/>
                  <w:sz w:val="18"/>
                  <w:szCs w:val="18"/>
                  <w:b w:val="1"/>
                  <w:bCs w:val="1"/>
                  <w:color w:val="0000EE"/>
                  <w:w w:val="93"/>
                </w:rPr>
                <w:t>PART II</w:t>
              </w:r>
            </w:hyperlink>
          </w:p>
        </w:tc>
        <w:tc>
          <w:tcPr>
            <w:tcW w:w="520" w:type="dxa"/>
            <w:vAlign w:val="bottom"/>
          </w:tcPr>
          <w:p>
            <w:pPr>
              <w:spacing w:after="0"/>
              <w:rPr>
                <w:sz w:val="21"/>
                <w:szCs w:val="21"/>
                <w:color w:val="auto"/>
              </w:rPr>
            </w:pPr>
          </w:p>
        </w:tc>
        <w:tc>
          <w:tcPr>
            <w:tcW w:w="1300" w:type="dxa"/>
            <w:vAlign w:val="bottom"/>
            <w:gridSpan w:val="3"/>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Other Information</w:t>
              </w:r>
            </w:hyperlink>
          </w:p>
        </w:tc>
        <w:tc>
          <w:tcPr>
            <w:tcW w:w="8240" w:type="dxa"/>
            <w:vAlign w:val="bottom"/>
            <w:gridSpan w:val="14"/>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1.</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4"/>
          </w:tcPr>
          <w:p>
            <w:pPr>
              <w:spacing w:after="0"/>
              <w:rPr>
                <w:rFonts w:ascii="Arial" w:cs="Arial" w:eastAsia="Arial" w:hAnsi="Arial"/>
                <w:sz w:val="18"/>
                <w:szCs w:val="18"/>
                <w:color w:val="0000EE"/>
                <w:w w:val="87"/>
              </w:rPr>
            </w:pPr>
            <w:hyperlink w:anchor="page53">
              <w:r>
                <w:rPr>
                  <w:rFonts w:ascii="Arial" w:cs="Arial" w:eastAsia="Arial" w:hAnsi="Arial"/>
                  <w:sz w:val="18"/>
                  <w:szCs w:val="18"/>
                  <w:color w:val="0000EE"/>
                  <w:w w:val="87"/>
                </w:rPr>
                <w:t>Legal Proceedings</w:t>
              </w:r>
            </w:hyperlink>
          </w:p>
        </w:tc>
        <w:tc>
          <w:tcPr>
            <w:tcW w:w="8220" w:type="dxa"/>
            <w:vAlign w:val="bottom"/>
            <w:gridSpan w:val="13"/>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Item 1A.</w:t>
              </w:r>
            </w:hyperlink>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66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2.</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Unregistered Sales of Equity Securities and Use of Proceeds</w:t>
              </w:r>
            </w:hyperlink>
          </w:p>
        </w:tc>
        <w:tc>
          <w:tcPr>
            <w:tcW w:w="5200" w:type="dxa"/>
            <w:vAlign w:val="bottom"/>
            <w:gridSpan w:val="7"/>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3.</w:t>
              </w:r>
            </w:hyperlink>
          </w:p>
        </w:tc>
        <w:tc>
          <w:tcPr>
            <w:tcW w:w="640" w:type="dxa"/>
            <w:vAlign w:val="bottom"/>
            <w:gridSpan w:val="3"/>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Defaults Upon Senior Securities</w:t>
              </w:r>
            </w:hyperlink>
          </w:p>
        </w:tc>
        <w:tc>
          <w:tcPr>
            <w:tcW w:w="5200" w:type="dxa"/>
            <w:vAlign w:val="bottom"/>
            <w:gridSpan w:val="7"/>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4.</w:t>
              </w:r>
            </w:hyperlink>
          </w:p>
        </w:tc>
        <w:tc>
          <w:tcPr>
            <w:tcW w:w="640" w:type="dxa"/>
            <w:vAlign w:val="bottom"/>
            <w:gridSpan w:val="3"/>
          </w:tcPr>
          <w:p>
            <w:pPr>
              <w:spacing w:after="0"/>
              <w:rPr>
                <w:sz w:val="21"/>
                <w:szCs w:val="21"/>
                <w:color w:val="auto"/>
              </w:rPr>
            </w:pPr>
          </w:p>
        </w:tc>
        <w:tc>
          <w:tcPr>
            <w:tcW w:w="1760" w:type="dxa"/>
            <w:vAlign w:val="bottom"/>
            <w:gridSpan w:val="6"/>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Mine Safety Disclosures</w:t>
              </w:r>
            </w:hyperlink>
          </w:p>
        </w:tc>
        <w:tc>
          <w:tcPr>
            <w:tcW w:w="540" w:type="dxa"/>
            <w:vAlign w:val="bottom"/>
          </w:tcPr>
          <w:p>
            <w:pPr>
              <w:spacing w:after="0"/>
              <w:rPr>
                <w:sz w:val="21"/>
                <w:szCs w:val="21"/>
                <w:color w:val="auto"/>
              </w:rPr>
            </w:pPr>
          </w:p>
        </w:tc>
        <w:tc>
          <w:tcPr>
            <w:tcW w:w="7240" w:type="dxa"/>
            <w:vAlign w:val="bottom"/>
            <w:gridSpan w:val="10"/>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5.</w:t>
              </w:r>
            </w:hyperlink>
          </w:p>
        </w:tc>
        <w:tc>
          <w:tcPr>
            <w:tcW w:w="640" w:type="dxa"/>
            <w:vAlign w:val="bottom"/>
            <w:gridSpan w:val="3"/>
          </w:tcPr>
          <w:p>
            <w:pPr>
              <w:spacing w:after="0"/>
              <w:rPr>
                <w:sz w:val="21"/>
                <w:szCs w:val="21"/>
                <w:color w:val="auto"/>
              </w:rPr>
            </w:pPr>
          </w:p>
        </w:tc>
        <w:tc>
          <w:tcPr>
            <w:tcW w:w="1300" w:type="dxa"/>
            <w:vAlign w:val="bottom"/>
            <w:gridSpan w:val="3"/>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Other Information</w:t>
              </w:r>
            </w:hyperlink>
          </w:p>
        </w:tc>
        <w:tc>
          <w:tcPr>
            <w:tcW w:w="460" w:type="dxa"/>
            <w:vAlign w:val="bottom"/>
            <w:gridSpan w:val="3"/>
          </w:tcPr>
          <w:p>
            <w:pPr>
              <w:spacing w:after="0"/>
              <w:rPr>
                <w:sz w:val="21"/>
                <w:szCs w:val="21"/>
                <w:color w:val="auto"/>
              </w:rPr>
            </w:pPr>
          </w:p>
        </w:tc>
        <w:tc>
          <w:tcPr>
            <w:tcW w:w="7780" w:type="dxa"/>
            <w:vAlign w:val="bottom"/>
            <w:gridSpan w:val="11"/>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4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Item 6.</w:t>
              </w:r>
            </w:hyperlink>
          </w:p>
        </w:tc>
        <w:tc>
          <w:tcPr>
            <w:tcW w:w="640" w:type="dxa"/>
            <w:vAlign w:val="bottom"/>
            <w:gridSpan w:val="3"/>
          </w:tcPr>
          <w:p>
            <w:pPr>
              <w:spacing w:after="0"/>
              <w:rPr>
                <w:sz w:val="21"/>
                <w:szCs w:val="21"/>
                <w:color w:val="auto"/>
              </w:rPr>
            </w:pPr>
          </w:p>
        </w:tc>
        <w:tc>
          <w:tcPr>
            <w:tcW w:w="1300" w:type="dxa"/>
            <w:vAlign w:val="bottom"/>
            <w:gridSpan w:val="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8240" w:type="dxa"/>
            <w:vAlign w:val="bottom"/>
            <w:gridSpan w:val="14"/>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96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5"/>
          </w:tcPr>
          <w:p>
            <w:pPr>
              <w:spacing w:after="0"/>
              <w:rPr>
                <w:sz w:val="20"/>
                <w:szCs w:val="20"/>
                <w:color w:val="auto"/>
              </w:rPr>
            </w:pPr>
            <w:r>
              <w:rPr>
                <w:rFonts w:ascii="Arial" w:cs="Arial" w:eastAsia="Arial" w:hAnsi="Arial"/>
                <w:sz w:val="18"/>
                <w:szCs w:val="18"/>
                <w:b w:val="1"/>
                <w:bCs w:val="1"/>
                <w:color w:val="0000EE"/>
                <w:w w:val="94"/>
              </w:rPr>
              <w:t>SIGNATURES</w:t>
            </w:r>
          </w:p>
        </w:tc>
        <w:tc>
          <w:tcPr>
            <w:tcW w:w="9540" w:type="dxa"/>
            <w:vAlign w:val="bottom"/>
            <w:gridSpan w:val="17"/>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March 31, 2017</w:t>
            </w:r>
          </w:p>
        </w:tc>
        <w:tc>
          <w:tcPr>
            <w:tcW w:w="180" w:type="dxa"/>
            <w:vAlign w:val="bottom"/>
          </w:tcPr>
          <w:p>
            <w:pPr>
              <w:spacing w:after="0"/>
              <w:rPr>
                <w:sz w:val="13"/>
                <w:szCs w:val="13"/>
                <w:color w:val="auto"/>
              </w:rPr>
            </w:pPr>
          </w:p>
        </w:tc>
        <w:tc>
          <w:tcPr>
            <w:tcW w:w="118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6"/>
                <w:szCs w:val="16"/>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39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at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1,896,262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1,906,592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(419,671)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(414,840)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1,476,591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1,491,752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71,934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83,764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1,548,525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1,575,516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Land and development, net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955,150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945,565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 and other lending investments,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1,381,227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1,450,439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197,559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214,406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897,487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328,744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interest and operating lease income receivable, net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12,561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14,775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operating lease income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97,859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96,420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expenses and other assets, net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204,148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199,649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5,294,516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4,825,514</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14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192,040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211,570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participations payable,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182,087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159,321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Debt obligations, net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3,882,395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3,389,908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4,256,522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3,760,799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(refer to Note 11)</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 (refer to Note 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Inc.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Preferred Stock Series D, E, F, G and I, liquidation preference $25.00 per share (refer to Note 13)</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Preferred Stock Series J, liquidation preference $50.00 per share (refer to Note 13)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w w:val="90"/>
              </w:rPr>
              <w:t>Common Stock, $0.001 par value, 200,000 shares authorized, 72,105 and 72,042 shares issued and outstanding as of</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March 31, 2017 and December 31, 2016, respectively</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3,603,586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3,602,172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Retained earnings (deficit)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(2,608,590)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(2,581,488)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 (refer to Note 13)</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iStar Inc. shareholders' equity</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991,120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1,016,564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43,120</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1,034,481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1,059,684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5,294,516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4,825,514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jc w:val="center"/>
        <w:ind w:left="6960"/>
        <w:spacing w:after="0"/>
        <w:rPr>
          <w:sz w:val="20"/>
          <w:szCs w:val="20"/>
          <w:color w:val="auto"/>
        </w:rPr>
      </w:pPr>
      <w:r>
        <w:rPr>
          <w:rFonts w:ascii="Arial" w:cs="Arial" w:eastAsia="Arial" w:hAnsi="Arial"/>
          <w:sz w:val="13"/>
          <w:szCs w:val="13"/>
          <w:b w:val="1"/>
          <w:bCs w:val="1"/>
          <w:color w:val="auto"/>
        </w:rPr>
        <w:t>For the Three Months Ended March</w:t>
      </w:r>
    </w:p>
    <w:p>
      <w:pPr>
        <w:spacing w:after="0" w:line="1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13335</wp:posOffset>
            </wp:positionV>
            <wp:extent cx="15093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7980" w:type="dxa"/>
            <w:vAlign w:val="bottom"/>
          </w:tcPr>
          <w:p>
            <w:pPr>
              <w:ind w:left="180"/>
              <w:spacing w:after="0"/>
              <w:rPr>
                <w:sz w:val="20"/>
                <w:szCs w:val="20"/>
                <w:color w:val="auto"/>
              </w:rPr>
            </w:pPr>
            <w:r>
              <w:rPr>
                <w:rFonts w:ascii="Arial" w:cs="Arial" w:eastAsia="Arial" w:hAnsi="Arial"/>
                <w:sz w:val="14"/>
                <w:szCs w:val="14"/>
                <w:color w:val="auto"/>
              </w:rPr>
              <w:t>Operating lease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52,591</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54,937</w:t>
            </w:r>
          </w:p>
        </w:tc>
      </w:tr>
      <w:tr>
        <w:trPr>
          <w:trHeight w:val="276"/>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29,058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33,219</w:t>
            </w:r>
          </w:p>
        </w:tc>
      </w:tr>
      <w:tr>
        <w:trPr>
          <w:trHeight w:val="264"/>
        </w:trPr>
        <w:tc>
          <w:tcPr>
            <w:tcW w:w="7980" w:type="dxa"/>
            <w:vAlign w:val="bottom"/>
          </w:tcPr>
          <w:p>
            <w:pPr>
              <w:ind w:left="180"/>
              <w:spacing w:after="0"/>
              <w:rPr>
                <w:sz w:val="20"/>
                <w:szCs w:val="20"/>
                <w:color w:val="auto"/>
              </w:rPr>
            </w:pPr>
            <w:r>
              <w:rPr>
                <w:rFonts w:ascii="Arial" w:cs="Arial" w:eastAsia="Arial" w:hAnsi="Arial"/>
                <w:sz w:val="14"/>
                <w:szCs w:val="14"/>
                <w:color w:val="auto"/>
              </w:rPr>
              <w:t>Other income</w:t>
            </w:r>
          </w:p>
        </w:tc>
        <w:tc>
          <w:tcPr>
            <w:tcW w:w="2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11,864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11,541</w:t>
            </w:r>
          </w:p>
        </w:tc>
      </w:tr>
      <w:tr>
        <w:trPr>
          <w:trHeight w:val="270"/>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development revenue</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20,050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14,947</w:t>
            </w:r>
          </w:p>
        </w:tc>
      </w:tr>
      <w:tr>
        <w:trPr>
          <w:trHeight w:val="250"/>
        </w:trPr>
        <w:tc>
          <w:tcPr>
            <w:tcW w:w="79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revenues</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113,563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114,644</w:t>
            </w: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798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51,193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57,021</w:t>
            </w:r>
          </w:p>
        </w:tc>
      </w:tr>
      <w:tr>
        <w:trPr>
          <w:trHeight w:val="276"/>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 expense</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35,741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34,305</w:t>
            </w:r>
          </w:p>
        </w:tc>
      </w:tr>
      <w:tr>
        <w:trPr>
          <w:trHeight w:val="264"/>
        </w:trPr>
        <w:tc>
          <w:tcPr>
            <w:tcW w:w="7980" w:type="dxa"/>
            <w:vAlign w:val="bottom"/>
          </w:tcPr>
          <w:p>
            <w:pPr>
              <w:ind w:left="180"/>
              <w:spacing w:after="0"/>
              <w:rPr>
                <w:sz w:val="20"/>
                <w:szCs w:val="20"/>
                <w:color w:val="auto"/>
              </w:rPr>
            </w:pPr>
            <w:r>
              <w:rPr>
                <w:rFonts w:ascii="Arial" w:cs="Arial" w:eastAsia="Arial" w:hAnsi="Arial"/>
                <w:sz w:val="14"/>
                <w:szCs w:val="14"/>
                <w:color w:val="auto"/>
              </w:rPr>
              <w:t>Land development cost of sales</w:t>
            </w:r>
          </w:p>
        </w:tc>
        <w:tc>
          <w:tcPr>
            <w:tcW w:w="2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15,910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11,575</w:t>
            </w:r>
          </w:p>
        </w:tc>
      </w:tr>
      <w:tr>
        <w:trPr>
          <w:trHeight w:val="276"/>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13,067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14,708</w:t>
            </w:r>
          </w:p>
        </w:tc>
      </w:tr>
      <w:tr>
        <w:trPr>
          <w:trHeight w:val="264"/>
        </w:trPr>
        <w:tc>
          <w:tcPr>
            <w:tcW w:w="798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25,173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23,102</w:t>
            </w:r>
          </w:p>
        </w:tc>
      </w:tr>
      <w:tr>
        <w:trPr>
          <w:trHeight w:val="276"/>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(Recovery of) provision for loan losses</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1,506</w:t>
            </w:r>
          </w:p>
        </w:tc>
      </w:tr>
      <w:tr>
        <w:trPr>
          <w:trHeight w:val="264"/>
        </w:trPr>
        <w:tc>
          <w:tcPr>
            <w:tcW w:w="7980" w:type="dxa"/>
            <w:vAlign w:val="bottom"/>
          </w:tcPr>
          <w:p>
            <w:pPr>
              <w:ind w:left="180"/>
              <w:spacing w:after="0"/>
              <w:rPr>
                <w:sz w:val="20"/>
                <w:szCs w:val="20"/>
                <w:color w:val="auto"/>
              </w:rPr>
            </w:pPr>
            <w:r>
              <w:rPr>
                <w:rFonts w:ascii="Arial" w:cs="Arial" w:eastAsia="Arial" w:hAnsi="Arial"/>
                <w:sz w:val="14"/>
                <w:szCs w:val="14"/>
                <w:color w:val="auto"/>
              </w:rPr>
              <w:t>Impairment of assets</w:t>
            </w:r>
          </w:p>
        </w:tc>
        <w:tc>
          <w:tcPr>
            <w:tcW w:w="2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4,413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expense</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740</w:t>
            </w:r>
          </w:p>
        </w:tc>
      </w:tr>
      <w:tr>
        <w:trPr>
          <w:trHeight w:val="250"/>
        </w:trPr>
        <w:tc>
          <w:tcPr>
            <w:tcW w:w="79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costs and expenses</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142,438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142,957</w:t>
            </w: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earnings from equity method investments and other items</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(28,875)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(28,313)</w:t>
            </w:r>
          </w:p>
        </w:tc>
      </w:tr>
      <w:tr>
        <w:trPr>
          <w:trHeight w:val="264"/>
        </w:trPr>
        <w:tc>
          <w:tcPr>
            <w:tcW w:w="7980" w:type="dxa"/>
            <w:vAlign w:val="bottom"/>
          </w:tcPr>
          <w:p>
            <w:pPr>
              <w:ind w:left="180"/>
              <w:spacing w:after="0"/>
              <w:rPr>
                <w:sz w:val="20"/>
                <w:szCs w:val="20"/>
                <w:color w:val="auto"/>
              </w:rPr>
            </w:pPr>
            <w:r>
              <w:rPr>
                <w:rFonts w:ascii="Arial" w:cs="Arial" w:eastAsia="Arial" w:hAnsi="Arial"/>
                <w:sz w:val="14"/>
                <w:szCs w:val="14"/>
                <w:color w:val="auto"/>
              </w:rPr>
              <w:t>Loss on early extinguishment of debt, net</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70"/>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Earnings from equity method investments</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5,702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8,267</w:t>
            </w:r>
          </w:p>
        </w:tc>
      </w:tr>
      <w:tr>
        <w:trPr>
          <w:trHeight w:val="250"/>
        </w:trPr>
        <w:tc>
          <w:tcPr>
            <w:tcW w:w="7980" w:type="dxa"/>
            <w:vAlign w:val="bottom"/>
          </w:tcPr>
          <w:p>
            <w:pPr>
              <w:ind w:left="40"/>
              <w:spacing w:after="0"/>
              <w:rPr>
                <w:sz w:val="20"/>
                <w:szCs w:val="20"/>
                <w:color w:val="auto"/>
              </w:rPr>
            </w:pPr>
            <w:r>
              <w:rPr>
                <w:rFonts w:ascii="Arial" w:cs="Arial" w:eastAsia="Arial" w:hAnsi="Arial"/>
                <w:sz w:val="14"/>
                <w:szCs w:val="14"/>
                <w:color w:val="auto"/>
              </w:rPr>
              <w:t>Income (loss) from operations before income taxes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(23,383)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(20,171)</w:t>
            </w:r>
          </w:p>
        </w:tc>
      </w:tr>
      <w:tr>
        <w:trPr>
          <w:trHeight w:val="270"/>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414</w:t>
            </w:r>
          </w:p>
        </w:tc>
      </w:tr>
      <w:tr>
        <w:trPr>
          <w:trHeight w:val="250"/>
        </w:trPr>
        <w:tc>
          <w:tcPr>
            <w:tcW w:w="7980" w:type="dxa"/>
            <w:vAlign w:val="bottom"/>
          </w:tcPr>
          <w:p>
            <w:pPr>
              <w:ind w:left="40"/>
              <w:spacing w:after="0"/>
              <w:rPr>
                <w:sz w:val="20"/>
                <w:szCs w:val="20"/>
                <w:color w:val="auto"/>
              </w:rPr>
            </w:pPr>
            <w:r>
              <w:rPr>
                <w:rFonts w:ascii="Arial" w:cs="Arial" w:eastAsia="Arial" w:hAnsi="Arial"/>
                <w:sz w:val="14"/>
                <w:szCs w:val="14"/>
                <w:color w:val="auto"/>
              </w:rPr>
              <w:t>Income (loss) from operations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(23,990)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(19,757)</w:t>
            </w:r>
          </w:p>
        </w:tc>
      </w:tr>
      <w:tr>
        <w:trPr>
          <w:trHeight w:val="270"/>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from sales of real estate</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8,618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10,458</w:t>
            </w:r>
          </w:p>
        </w:tc>
      </w:tr>
      <w:tr>
        <w:trPr>
          <w:trHeight w:val="250"/>
        </w:trPr>
        <w:tc>
          <w:tcPr>
            <w:tcW w:w="798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(15,372)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(9,299)</w:t>
            </w:r>
          </w:p>
        </w:tc>
      </w:tr>
      <w:tr>
        <w:trPr>
          <w:trHeight w:val="270"/>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attributable to noncontrolling interests</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942</w:t>
            </w:r>
          </w:p>
        </w:tc>
      </w:tr>
      <w:tr>
        <w:trPr>
          <w:trHeight w:val="250"/>
        </w:trPr>
        <w:tc>
          <w:tcPr>
            <w:tcW w:w="7980" w:type="dxa"/>
            <w:vAlign w:val="bottom"/>
          </w:tcPr>
          <w:p>
            <w:pPr>
              <w:ind w:left="40"/>
              <w:spacing w:after="0"/>
              <w:rPr>
                <w:sz w:val="20"/>
                <w:szCs w:val="20"/>
                <w:color w:val="auto"/>
              </w:rPr>
            </w:pPr>
            <w:r>
              <w:rPr>
                <w:rFonts w:ascii="Arial" w:cs="Arial" w:eastAsia="Arial" w:hAnsi="Arial"/>
                <w:sz w:val="14"/>
                <w:szCs w:val="14"/>
                <w:color w:val="auto"/>
              </w:rPr>
              <w:t>Net income (loss) attributable to iStar Inc.</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(8,357)</w:t>
            </w:r>
          </w:p>
        </w:tc>
      </w:tr>
      <w:tr>
        <w:trPr>
          <w:trHeight w:val="270"/>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dividends</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(12,830)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(12,830)</w:t>
            </w:r>
          </w:p>
        </w:tc>
      </w:tr>
      <w:tr>
        <w:trPr>
          <w:trHeight w:val="28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 allocable to common shareholders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(27,102)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(21,187)</w:t>
            </w:r>
          </w:p>
        </w:tc>
      </w:tr>
      <w:tr>
        <w:trPr>
          <w:trHeight w:val="251"/>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Per common share data:</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64"/>
        </w:trPr>
        <w:tc>
          <w:tcPr>
            <w:tcW w:w="7980" w:type="dxa"/>
            <w:vAlign w:val="bottom"/>
          </w:tcPr>
          <w:p>
            <w:pPr>
              <w:ind w:left="180"/>
              <w:spacing w:after="0"/>
              <w:rPr>
                <w:sz w:val="20"/>
                <w:szCs w:val="20"/>
                <w:color w:val="auto"/>
              </w:rPr>
            </w:pPr>
            <w:r>
              <w:rPr>
                <w:rFonts w:ascii="Arial" w:cs="Arial" w:eastAsia="Arial" w:hAnsi="Arial"/>
                <w:sz w:val="14"/>
                <w:szCs w:val="14"/>
                <w:color w:val="auto"/>
              </w:rPr>
              <w:t>Income (loss) attributable to iStar Inc. from operations:</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 and 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r>
      <w:tr>
        <w:trPr>
          <w:trHeight w:val="264"/>
        </w:trPr>
        <w:tc>
          <w:tcPr>
            <w:tcW w:w="7980" w:type="dxa"/>
            <w:vAlign w:val="bottom"/>
          </w:tcPr>
          <w:p>
            <w:pPr>
              <w:ind w:left="180"/>
              <w:spacing w:after="0"/>
              <w:rPr>
                <w:sz w:val="20"/>
                <w:szCs w:val="20"/>
                <w:color w:val="auto"/>
              </w:rPr>
            </w:pPr>
            <w:r>
              <w:rPr>
                <w:rFonts w:ascii="Arial" w:cs="Arial" w:eastAsia="Arial" w:hAnsi="Arial"/>
                <w:sz w:val="14"/>
                <w:szCs w:val="14"/>
                <w:color w:val="auto"/>
              </w:rPr>
              <w:t>Net income (loss) attributable to iStar Inc.:</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 and 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r>
      <w:tr>
        <w:trPr>
          <w:trHeight w:val="264"/>
        </w:trPr>
        <w:tc>
          <w:tcPr>
            <w:tcW w:w="7980" w:type="dxa"/>
            <w:vAlign w:val="bottom"/>
          </w:tcPr>
          <w:p>
            <w:pPr>
              <w:ind w:left="180"/>
              <w:spacing w:after="0"/>
              <w:rPr>
                <w:sz w:val="20"/>
                <w:szCs w:val="20"/>
                <w:color w:val="auto"/>
              </w:rPr>
            </w:pPr>
            <w:r>
              <w:rPr>
                <w:rFonts w:ascii="Arial" w:cs="Arial" w:eastAsia="Arial" w:hAnsi="Arial"/>
                <w:sz w:val="14"/>
                <w:szCs w:val="14"/>
                <w:color w:val="auto"/>
              </w:rPr>
              <w:t>Weighted average number of common shares:</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 and diluted</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72,065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77,060</w:t>
            </w:r>
          </w:p>
        </w:tc>
      </w:tr>
    </w:tbl>
    <w:p>
      <w:pPr>
        <w:spacing w:after="0" w:line="148" w:lineRule="exact"/>
        <w:rPr>
          <w:sz w:val="20"/>
          <w:szCs w:val="20"/>
          <w:color w:val="auto"/>
        </w:rPr>
      </w:pPr>
    </w:p>
    <w:p>
      <w:pPr>
        <w:jc w:val="center"/>
        <w:ind w:right="-105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60"/>
          </w:cols>
          <w:pgMar w:left="240" w:top="122" w:right="129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For the Three Months Ended March</w:t>
      </w:r>
    </w:p>
    <w:p>
      <w:pPr>
        <w:spacing w:after="0" w:line="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13335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(9,299)</w:t>
            </w:r>
          </w:p>
        </w:tc>
        <w:tc>
          <w:tcPr>
            <w:tcW w:w="0" w:type="dxa"/>
            <w:vAlign w:val="bottom"/>
          </w:tcPr>
          <w:p>
            <w:pPr>
              <w:spacing w:after="0"/>
              <w:rPr>
                <w:sz w:val="1"/>
                <w:szCs w:val="1"/>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Reclassification of (gains)/losses on cash flow hedges into earnings upon realization</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Unrealized gains/(losses) on available-for-sale securities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gains/(losses) on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Unrealized gains/(losses) on cumulative translation adjustment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(15,128)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(10,025)</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57"/>
        </w:trPr>
        <w:tc>
          <w:tcPr>
            <w:tcW w:w="816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iStar Inc.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(9,083)</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00" w:hanging="492"/>
        <w:spacing w:after="0" w:line="293" w:lineRule="auto"/>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Reclassified to "Interest expense" in the Company's consolidated statements of operations are $30 and $160 for the three months ended March 31, 2017 and 2016, respectively. Reclassified to "Earnings from equity method investments" in the Company's consolidated statements of operations are $92 and $97 for the three months ended March 31, 2017 and 2016, respectively.</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2" w:right="259" w:bottom="1440" w:gutter="0" w:footer="0" w:header="0"/>
        </w:sectPr>
      </w:pPr>
    </w:p>
    <w:bookmarkStart w:id="5" w:name="page6"/>
    <w:bookmarkEnd w:id="5"/>
    <w:p>
      <w:pPr>
        <w:jc w:val="center"/>
        <w:ind w:right="-539"/>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6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6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iStar Inc. Shareholders' Equity</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Retained</w:t>
            </w:r>
          </w:p>
        </w:tc>
        <w:tc>
          <w:tcPr>
            <w:tcW w:w="11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760" w:type="dxa"/>
            <w:vAlign w:val="bottom"/>
            <w:gridSpan w:val="3"/>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12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8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Stock</w:t>
            </w:r>
          </w:p>
        </w:tc>
        <w:tc>
          <w:tcPr>
            <w:tcW w:w="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Stock at</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Earnings</w:t>
            </w: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120" w:type="dxa"/>
            <w:vAlign w:val="bottom"/>
            <w:tcBorders>
              <w:right w:val="single" w:sz="8" w:color="auto"/>
            </w:tcBorders>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80" w:type="dxa"/>
            <w:vAlign w:val="bottom"/>
          </w:tcPr>
          <w:p>
            <w:pPr>
              <w:spacing w:after="0"/>
              <w:rPr>
                <w:sz w:val="16"/>
                <w:szCs w:val="16"/>
                <w:color w:val="auto"/>
              </w:rPr>
            </w:pPr>
          </w:p>
        </w:tc>
        <w:tc>
          <w:tcPr>
            <w:tcW w:w="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Stock</w:t>
            </w:r>
            <w:r>
              <w:rPr>
                <w:rFonts w:ascii="Arial" w:cs="Arial" w:eastAsia="Arial" w:hAnsi="Arial"/>
                <w:sz w:val="8"/>
                <w:szCs w:val="8"/>
                <w:b w:val="1"/>
                <w:bCs w:val="1"/>
                <w:color w:val="auto"/>
              </w:rPr>
              <w:t>(1)</w:t>
            </w: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Series J</w:t>
            </w:r>
            <w:r>
              <w:rPr>
                <w:rFonts w:ascii="Arial" w:cs="Arial" w:eastAsia="Arial" w:hAnsi="Arial"/>
                <w:sz w:val="8"/>
                <w:szCs w:val="8"/>
                <w:b w:val="1"/>
                <w:bCs w:val="1"/>
                <w:color w:val="auto"/>
              </w:rPr>
              <w:t>(1)</w:t>
            </w:r>
          </w:p>
        </w:tc>
        <w:tc>
          <w:tcPr>
            <w:tcW w:w="160" w:type="dxa"/>
            <w:vAlign w:val="bottom"/>
          </w:tcPr>
          <w:p>
            <w:pPr>
              <w:spacing w:after="0"/>
              <w:rPr>
                <w:sz w:val="16"/>
                <w:szCs w:val="16"/>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Par</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(Deficit)</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9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6"/>
                <w:szCs w:val="16"/>
                <w:color w:val="auto"/>
              </w:rPr>
            </w:pPr>
          </w:p>
        </w:tc>
        <w:tc>
          <w:tcPr>
            <w:tcW w:w="800" w:type="dxa"/>
            <w:vAlign w:val="bottom"/>
          </w:tcPr>
          <w:p>
            <w:pPr>
              <w:jc w:val="right"/>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6"/>
        </w:trPr>
        <w:tc>
          <w:tcPr>
            <w:tcW w:w="3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2016</w:t>
            </w: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$3,602,172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 (2,581,488)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43,120</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5"/>
              </w:rPr>
              <w:t>1,059,684</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Dividends declared—preferred</w:t>
            </w:r>
          </w:p>
        </w:tc>
        <w:tc>
          <w:tcPr>
            <w:tcW w:w="24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(12,830)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(12,830)</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stock/restricted stock unit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net</w:t>
            </w: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1,237</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270"/>
        </w:trPr>
        <w:tc>
          <w:tcPr>
            <w:tcW w:w="3380" w:type="dxa"/>
            <w:vAlign w:val="bottom"/>
          </w:tcPr>
          <w:p>
            <w:pPr>
              <w:ind w:left="40"/>
              <w:spacing w:after="0"/>
              <w:rPr>
                <w:sz w:val="20"/>
                <w:szCs w:val="20"/>
                <w:color w:val="auto"/>
              </w:rPr>
            </w:pPr>
            <w:r>
              <w:rPr>
                <w:rFonts w:ascii="Arial" w:cs="Arial" w:eastAsia="Arial" w:hAnsi="Arial"/>
                <w:sz w:val="16"/>
                <w:szCs w:val="16"/>
                <w:color w:val="auto"/>
              </w:rPr>
              <w:t>Net income (loss) for the period</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(14,272)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241</w:t>
            </w:r>
          </w:p>
        </w:tc>
        <w:tc>
          <w:tcPr>
            <w:tcW w:w="14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(14,031)</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accumulated other comprehensive</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w:t>
            </w: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20"/>
        </w:trPr>
        <w:tc>
          <w:tcPr>
            <w:tcW w:w="3380" w:type="dxa"/>
            <w:vAlign w:val="bottom"/>
          </w:tcPr>
          <w:p>
            <w:pPr>
              <w:ind w:left="40"/>
              <w:spacing w:after="0"/>
              <w:rPr>
                <w:sz w:val="20"/>
                <w:szCs w:val="20"/>
                <w:color w:val="auto"/>
              </w:rPr>
            </w:pPr>
            <w:r>
              <w:rPr>
                <w:rFonts w:ascii="Arial" w:cs="Arial" w:eastAsia="Arial" w:hAnsi="Arial"/>
                <w:sz w:val="16"/>
                <w:szCs w:val="16"/>
                <w:color w:val="auto"/>
              </w:rPr>
              <w:t>Change in additional paid in capital attributable</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40"/>
              <w:spacing w:after="0"/>
              <w:rPr>
                <w:sz w:val="20"/>
                <w:szCs w:val="20"/>
                <w:color w:val="auto"/>
              </w:rPr>
            </w:pPr>
            <w:r>
              <w:rPr>
                <w:rFonts w:ascii="Arial" w:cs="Arial" w:eastAsia="Arial" w:hAnsi="Arial"/>
                <w:sz w:val="16"/>
                <w:szCs w:val="16"/>
                <w:color w:val="auto"/>
              </w:rPr>
              <w:t>to redeemable noncontrolling interest</w:t>
            </w:r>
          </w:p>
        </w:tc>
        <w:tc>
          <w:tcPr>
            <w:tcW w:w="24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March 31, 2017</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$3,603,586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 (2,608,590)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43,361</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5"/>
              </w:rPr>
              <w:t>1,034,481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2015</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$3,689,330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 (2,625,474)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42,218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5"/>
              </w:rPr>
              <w:t>1,101,330</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Dividends declared—preferred</w:t>
            </w:r>
          </w:p>
        </w:tc>
        <w:tc>
          <w:tcPr>
            <w:tcW w:w="24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(12,830)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(12,830)</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stock/restricted stock unit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net</w:t>
            </w: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604</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70"/>
        </w:trPr>
        <w:tc>
          <w:tcPr>
            <w:tcW w:w="3380" w:type="dxa"/>
            <w:vAlign w:val="bottom"/>
          </w:tcPr>
          <w:p>
            <w:pPr>
              <w:ind w:left="40"/>
              <w:spacing w:after="0"/>
              <w:rPr>
                <w:sz w:val="20"/>
                <w:szCs w:val="20"/>
                <w:color w:val="auto"/>
              </w:rPr>
            </w:pPr>
            <w:r>
              <w:rPr>
                <w:rFonts w:ascii="Arial" w:cs="Arial" w:eastAsia="Arial" w:hAnsi="Arial"/>
                <w:sz w:val="16"/>
                <w:szCs w:val="16"/>
                <w:color w:val="auto"/>
              </w:rPr>
              <w:t>Net income (loss) for the period</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(8,357)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358</w:t>
            </w:r>
          </w:p>
        </w:tc>
        <w:tc>
          <w:tcPr>
            <w:tcW w:w="14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(7,999)</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accumulated other comprehensive</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w:t>
            </w: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Repurchase of stock</w:t>
            </w:r>
          </w:p>
        </w:tc>
        <w:tc>
          <w:tcPr>
            <w:tcW w:w="24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(58,126)</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(58,132)</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additional paid in capital attributable</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 redeemable noncontrolling interest</w:t>
            </w: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70"/>
        </w:trPr>
        <w:tc>
          <w:tcPr>
            <w:tcW w:w="3380" w:type="dxa"/>
            <w:vAlign w:val="bottom"/>
          </w:tcPr>
          <w:p>
            <w:pPr>
              <w:ind w:left="40"/>
              <w:spacing w:after="0"/>
              <w:rPr>
                <w:sz w:val="20"/>
                <w:szCs w:val="20"/>
                <w:color w:val="auto"/>
              </w:rPr>
            </w:pPr>
            <w:r>
              <w:rPr>
                <w:rFonts w:ascii="Arial" w:cs="Arial" w:eastAsia="Arial" w:hAnsi="Arial"/>
                <w:sz w:val="16"/>
                <w:szCs w:val="16"/>
                <w:color w:val="auto"/>
              </w:rPr>
              <w:t>Change in noncontrolling interest</w:t>
            </w:r>
            <w:r>
              <w:rPr>
                <w:rFonts w:ascii="Arial" w:cs="Arial" w:eastAsia="Arial" w:hAnsi="Arial"/>
                <w:sz w:val="21"/>
                <w:szCs w:val="21"/>
                <w:color w:val="auto"/>
                <w:vertAlign w:val="superscript"/>
              </w:rPr>
              <w:t>(3)</w:t>
            </w:r>
          </w:p>
        </w:tc>
        <w:tc>
          <w:tcPr>
            <w:tcW w:w="240" w:type="dxa"/>
            <w:vAlign w:val="bottom"/>
          </w:tcPr>
          <w:p>
            <w:pPr>
              <w:spacing w:after="0"/>
              <w:rPr>
                <w:sz w:val="23"/>
                <w:szCs w:val="2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(7,292)</w:t>
            </w:r>
          </w:p>
        </w:tc>
        <w:tc>
          <w:tcPr>
            <w:tcW w:w="14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(7,292)</w:t>
            </w:r>
          </w:p>
        </w:tc>
        <w:tc>
          <w:tcPr>
            <w:tcW w:w="0" w:type="dxa"/>
            <w:vAlign w:val="bottom"/>
          </w:tcPr>
          <w:p>
            <w:pPr>
              <w:spacing w:after="0"/>
              <w:rPr>
                <w:sz w:val="1"/>
                <w:szCs w:val="1"/>
                <w:color w:val="auto"/>
              </w:rPr>
            </w:pPr>
          </w:p>
        </w:tc>
      </w:tr>
      <w:tr>
        <w:trPr>
          <w:trHeight w:val="244"/>
        </w:trPr>
        <w:tc>
          <w:tcPr>
            <w:tcW w:w="3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March 31, 2016</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$3,632,246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 (2,646,661)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35,284</w:t>
            </w: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5"/>
              </w:rPr>
              <w:t>1,015,393</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-98425</wp:posOffset>
            </wp:positionV>
            <wp:extent cx="47593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59325" cy="8890"/>
                    </a:xfrm>
                    <a:prstGeom prst="rect">
                      <a:avLst/>
                    </a:prstGeom>
                    <a:noFill/>
                  </pic:spPr>
                </pic:pic>
              </a:graphicData>
            </a:graphic>
          </wp:anchor>
        </w:drawing>
      </w:r>
    </w:p>
    <w:p>
      <w:pPr>
        <w:ind w:left="500" w:hanging="49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Refer to Note 13 for details on the Company's Preferred Stock.</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color w:val="auto"/>
        </w:rPr>
        <w:t>For the three months ended March 31, 2017 and 2016, net income (loss) shown above excludes $(1,341) and $(1,300) of net loss attributable to redeemable noncontrolling interests.</w:t>
      </w:r>
    </w:p>
    <w:p>
      <w:pPr>
        <w:spacing w:after="0" w:line="24" w:lineRule="exact"/>
        <w:rPr>
          <w:rFonts w:ascii="Arial" w:cs="Arial" w:eastAsia="Arial" w:hAnsi="Arial"/>
          <w:sz w:val="12"/>
          <w:szCs w:val="12"/>
          <w:color w:val="auto"/>
        </w:rPr>
      </w:pPr>
    </w:p>
    <w:p>
      <w:pPr>
        <w:ind w:left="500" w:hanging="49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a payment to acquire a noncontrolling interest (refer to Note 5).</w:t>
      </w:r>
    </w:p>
    <w:p>
      <w:pPr>
        <w:spacing w:after="0" w:line="12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240" w:top="445" w:right="77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iStar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5" w:lineRule="exact"/>
        <w:rPr>
          <w:sz w:val="20"/>
          <w:szCs w:val="20"/>
          <w:color w:val="auto"/>
        </w:rPr>
      </w:pPr>
    </w:p>
    <w:tbl>
      <w:tblPr>
        <w:tblLayout w:type="fixed"/>
        <w:tblInd w:w="60" w:type="dxa"/>
        <w:tblCellMar>
          <w:top w:w="0" w:type="dxa"/>
          <w:left w:w="0" w:type="dxa"/>
          <w:bottom w:w="0" w:type="dxa"/>
          <w:right w:w="0" w:type="dxa"/>
        </w:tblCellMar>
      </w:tblPr>
      <w:tr>
        <w:trPr>
          <w:trHeight w:val="276"/>
        </w:trPr>
        <w:tc>
          <w:tcPr>
            <w:tcW w:w="782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spacing w:after="0"/>
              <w:rPr>
                <w:sz w:val="23"/>
                <w:szCs w:val="23"/>
                <w:color w:val="auto"/>
              </w:rPr>
            </w:pPr>
          </w:p>
        </w:tc>
        <w:tc>
          <w:tcPr>
            <w:tcW w:w="132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30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2"/>
        </w:trPr>
        <w:tc>
          <w:tcPr>
            <w:tcW w:w="7820" w:type="dxa"/>
            <w:vAlign w:val="bottom"/>
          </w:tcPr>
          <w:p>
            <w:pPr>
              <w:ind w:left="20"/>
              <w:spacing w:after="0"/>
              <w:rPr>
                <w:sz w:val="20"/>
                <w:szCs w:val="20"/>
                <w:color w:val="auto"/>
              </w:rPr>
            </w:pPr>
            <w:r>
              <w:rPr>
                <w:rFonts w:ascii="Arial" w:cs="Arial" w:eastAsia="Arial" w:hAnsi="Arial"/>
                <w:sz w:val="13"/>
                <w:szCs w:val="13"/>
                <w:color w:val="auto"/>
              </w:rPr>
              <w:t>Cash flows from operating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(15,372)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(9,299)</w:t>
            </w:r>
          </w:p>
        </w:tc>
        <w:tc>
          <w:tcPr>
            <w:tcW w:w="0" w:type="dxa"/>
            <w:vAlign w:val="bottom"/>
          </w:tcPr>
          <w:p>
            <w:pPr>
              <w:spacing w:after="0"/>
              <w:rPr>
                <w:sz w:val="1"/>
                <w:szCs w:val="1"/>
                <w:color w:val="auto"/>
              </w:rPr>
            </w:pPr>
          </w:p>
        </w:tc>
      </w:tr>
      <w:tr>
        <w:trPr>
          <w:trHeight w:val="262"/>
        </w:trPr>
        <w:tc>
          <w:tcPr>
            <w:tcW w:w="7820" w:type="dxa"/>
            <w:vAlign w:val="bottom"/>
          </w:tcPr>
          <w:p>
            <w:pPr>
              <w:ind w:left="20"/>
              <w:spacing w:after="0"/>
              <w:rPr>
                <w:sz w:val="20"/>
                <w:szCs w:val="20"/>
                <w:color w:val="auto"/>
              </w:rPr>
            </w:pPr>
            <w:r>
              <w:rPr>
                <w:rFonts w:ascii="Arial" w:cs="Arial" w:eastAsia="Arial" w:hAnsi="Arial"/>
                <w:sz w:val="13"/>
                <w:szCs w:val="13"/>
                <w:color w:val="auto"/>
              </w:rPr>
              <w:t>Adjustments to reconcile net income (loss) to cash flows from operating activities: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(Recovery of) provision for loan losses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(4,928)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1,506</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Impairment of assets</w:t>
            </w:r>
          </w:p>
        </w:tc>
        <w:tc>
          <w:tcPr>
            <w:tcW w:w="400" w:type="dxa"/>
            <w:vAlign w:val="bottom"/>
          </w:tcPr>
          <w:p>
            <w:pPr>
              <w:spacing w:after="0"/>
              <w:rPr>
                <w:sz w:val="22"/>
                <w:szCs w:val="22"/>
                <w:color w:val="auto"/>
              </w:rPr>
            </w:pPr>
          </w:p>
        </w:tc>
        <w:tc>
          <w:tcPr>
            <w:tcW w:w="1320" w:type="dxa"/>
            <w:vAlign w:val="bottom"/>
          </w:tcPr>
          <w:p>
            <w:pPr>
              <w:jc w:val="right"/>
              <w:ind w:right="77"/>
              <w:spacing w:after="0"/>
              <w:rPr>
                <w:sz w:val="20"/>
                <w:szCs w:val="20"/>
                <w:color w:val="auto"/>
              </w:rPr>
            </w:pPr>
            <w:r>
              <w:rPr>
                <w:rFonts w:ascii="Arial" w:cs="Arial" w:eastAsia="Arial" w:hAnsi="Arial"/>
                <w:sz w:val="13"/>
                <w:szCs w:val="13"/>
                <w:color w:val="auto"/>
              </w:rPr>
              <w:t>4,413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Depreciation and amortization</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13,067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14,708</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Non-cash expense for stock-based compensation</w:t>
            </w:r>
          </w:p>
        </w:tc>
        <w:tc>
          <w:tcPr>
            <w:tcW w:w="400" w:type="dxa"/>
            <w:vAlign w:val="bottom"/>
          </w:tcPr>
          <w:p>
            <w:pPr>
              <w:spacing w:after="0"/>
              <w:rPr>
                <w:sz w:val="22"/>
                <w:szCs w:val="22"/>
                <w:color w:val="auto"/>
              </w:rPr>
            </w:pPr>
          </w:p>
        </w:tc>
        <w:tc>
          <w:tcPr>
            <w:tcW w:w="1320" w:type="dxa"/>
            <w:vAlign w:val="bottom"/>
          </w:tcPr>
          <w:p>
            <w:pPr>
              <w:jc w:val="right"/>
              <w:ind w:right="77"/>
              <w:spacing w:after="0"/>
              <w:rPr>
                <w:sz w:val="20"/>
                <w:szCs w:val="20"/>
                <w:color w:val="auto"/>
              </w:rPr>
            </w:pPr>
            <w:r>
              <w:rPr>
                <w:rFonts w:ascii="Arial" w:cs="Arial" w:eastAsia="Arial" w:hAnsi="Arial"/>
                <w:sz w:val="13"/>
                <w:szCs w:val="13"/>
                <w:color w:val="auto"/>
              </w:rPr>
              <w:t>5,881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4,577</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Amortization of discounts/premiums and deferred financing costs on debt obligations, net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3,512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4,601</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Amortization of discounts/premiums on loans, net</w:t>
            </w:r>
          </w:p>
        </w:tc>
        <w:tc>
          <w:tcPr>
            <w:tcW w:w="4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(3,184)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(3,422)</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Deferred interest on loans, net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(11,467)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(12,114)</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Earnings from equity method investments</w:t>
            </w:r>
          </w:p>
        </w:tc>
        <w:tc>
          <w:tcPr>
            <w:tcW w:w="4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(5,702)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(8,267)</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Distributions from operations of other investments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20,029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26,317</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Deferred operating lease income</w:t>
            </w:r>
          </w:p>
        </w:tc>
        <w:tc>
          <w:tcPr>
            <w:tcW w:w="4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(2,109)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(2,126)</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Income from sales of real estate</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(8,618)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(10,458)</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Land development revenue in excess of cost of sales</w:t>
            </w:r>
          </w:p>
        </w:tc>
        <w:tc>
          <w:tcPr>
            <w:tcW w:w="4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(4,140)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(3,372)</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Loss on early extinguishment of debt, net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73"/>
        </w:trPr>
        <w:tc>
          <w:tcPr>
            <w:tcW w:w="7820" w:type="dxa"/>
            <w:vAlign w:val="bottom"/>
          </w:tcPr>
          <w:p>
            <w:pPr>
              <w:ind w:left="160"/>
              <w:spacing w:after="0"/>
              <w:rPr>
                <w:sz w:val="20"/>
                <w:szCs w:val="20"/>
                <w:color w:val="auto"/>
              </w:rPr>
            </w:pPr>
            <w:r>
              <w:rPr>
                <w:rFonts w:ascii="Arial" w:cs="Arial" w:eastAsia="Arial" w:hAnsi="Arial"/>
                <w:sz w:val="13"/>
                <w:szCs w:val="13"/>
                <w:color w:val="auto"/>
              </w:rPr>
              <w:t>Debt discount on repayments of debt obligations</w:t>
            </w:r>
          </w:p>
        </w:tc>
        <w:tc>
          <w:tcPr>
            <w:tcW w:w="400" w:type="dxa"/>
            <w:vAlign w:val="bottom"/>
          </w:tcPr>
          <w:p>
            <w:pPr>
              <w:spacing w:after="0"/>
              <w:rPr>
                <w:sz w:val="15"/>
                <w:szCs w:val="15"/>
                <w:color w:val="auto"/>
              </w:rPr>
            </w:pPr>
          </w:p>
        </w:tc>
        <w:tc>
          <w:tcPr>
            <w:tcW w:w="1320" w:type="dxa"/>
            <w:vAlign w:val="bottom"/>
            <w:vMerge w:val="restart"/>
          </w:tcPr>
          <w:p>
            <w:pPr>
              <w:jc w:val="right"/>
              <w:ind w:right="17"/>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143"/>
        </w:trPr>
        <w:tc>
          <w:tcPr>
            <w:tcW w:w="7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 operating activities, net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2,683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1,599</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Changes in assets and liabilities: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Changes in accrued interest and operating lease income receivable, net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2,214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2,415</w:t>
            </w:r>
          </w:p>
        </w:tc>
        <w:tc>
          <w:tcPr>
            <w:tcW w:w="0" w:type="dxa"/>
            <w:vAlign w:val="bottom"/>
          </w:tcPr>
          <w:p>
            <w:pPr>
              <w:spacing w:after="0"/>
              <w:rPr>
                <w:sz w:val="1"/>
                <w:szCs w:val="1"/>
                <w:color w:val="auto"/>
              </w:rPr>
            </w:pPr>
          </w:p>
        </w:tc>
      </w:tr>
      <w:tr>
        <w:trPr>
          <w:trHeight w:val="262"/>
        </w:trPr>
        <w:tc>
          <w:tcPr>
            <w:tcW w:w="7820" w:type="dxa"/>
            <w:vAlign w:val="bottom"/>
          </w:tcPr>
          <w:p>
            <w:pPr>
              <w:ind w:left="260"/>
              <w:spacing w:after="0"/>
              <w:rPr>
                <w:sz w:val="20"/>
                <w:szCs w:val="20"/>
                <w:color w:val="auto"/>
              </w:rPr>
            </w:pPr>
            <w:r>
              <w:rPr>
                <w:rFonts w:ascii="Arial" w:cs="Arial" w:eastAsia="Arial" w:hAnsi="Arial"/>
                <w:sz w:val="13"/>
                <w:szCs w:val="13"/>
                <w:color w:val="auto"/>
              </w:rPr>
              <w:t>Changes in deferred expenses and other assets, net</w:t>
            </w:r>
          </w:p>
        </w:tc>
        <w:tc>
          <w:tcPr>
            <w:tcW w:w="4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(8,726)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1,034</w:t>
            </w:r>
          </w:p>
        </w:tc>
        <w:tc>
          <w:tcPr>
            <w:tcW w:w="0" w:type="dxa"/>
            <w:vAlign w:val="bottom"/>
          </w:tcPr>
          <w:p>
            <w:pPr>
              <w:spacing w:after="0"/>
              <w:rPr>
                <w:sz w:val="1"/>
                <w:szCs w:val="1"/>
                <w:color w:val="auto"/>
              </w:rPr>
            </w:pPr>
          </w:p>
        </w:tc>
      </w:tr>
      <w:tr>
        <w:trPr>
          <w:trHeight w:val="272"/>
        </w:trPr>
        <w:tc>
          <w:tcPr>
            <w:tcW w:w="7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Changes in accounts payable, accrued expenses and other liabilities</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(24,987)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(23,023)</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Cash flows used in operating activities</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(37,491)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(15,691)</w:t>
            </w:r>
          </w:p>
        </w:tc>
        <w:tc>
          <w:tcPr>
            <w:tcW w:w="0" w:type="dxa"/>
            <w:vAlign w:val="bottom"/>
          </w:tcPr>
          <w:p>
            <w:pPr>
              <w:spacing w:after="0"/>
              <w:rPr>
                <w:sz w:val="1"/>
                <w:szCs w:val="1"/>
                <w:color w:val="auto"/>
              </w:rPr>
            </w:pPr>
          </w:p>
        </w:tc>
      </w:tr>
      <w:tr>
        <w:trPr>
          <w:trHeight w:val="257"/>
        </w:trPr>
        <w:tc>
          <w:tcPr>
            <w:tcW w:w="7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Originations and fundings of loans receivable, net</w:t>
            </w:r>
          </w:p>
        </w:tc>
        <w:tc>
          <w:tcPr>
            <w:tcW w:w="4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(61,605)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(94,343)</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Capital expenditures on real estate assets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(7,781)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(17,735)</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Capital expenditures on land and development assets</w:t>
            </w:r>
          </w:p>
        </w:tc>
        <w:tc>
          <w:tcPr>
            <w:tcW w:w="4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(27,604)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(29,375)</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Repayments of and principal collections on loans receivable and other lending investments, net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171,066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73,211</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Net proceeds from sales of real estate</w:t>
            </w:r>
          </w:p>
        </w:tc>
        <w:tc>
          <w:tcPr>
            <w:tcW w:w="400" w:type="dxa"/>
            <w:vAlign w:val="bottom"/>
          </w:tcPr>
          <w:p>
            <w:pPr>
              <w:spacing w:after="0"/>
              <w:rPr>
                <w:sz w:val="22"/>
                <w:szCs w:val="22"/>
                <w:color w:val="auto"/>
              </w:rPr>
            </w:pPr>
          </w:p>
        </w:tc>
        <w:tc>
          <w:tcPr>
            <w:tcW w:w="1320" w:type="dxa"/>
            <w:vAlign w:val="bottom"/>
          </w:tcPr>
          <w:p>
            <w:pPr>
              <w:jc w:val="right"/>
              <w:ind w:right="77"/>
              <w:spacing w:after="0"/>
              <w:rPr>
                <w:sz w:val="20"/>
                <w:szCs w:val="20"/>
                <w:color w:val="auto"/>
              </w:rPr>
            </w:pPr>
            <w:r>
              <w:rPr>
                <w:rFonts w:ascii="Arial" w:cs="Arial" w:eastAsia="Arial" w:hAnsi="Arial"/>
                <w:sz w:val="13"/>
                <w:szCs w:val="13"/>
                <w:color w:val="auto"/>
              </w:rPr>
              <w:t>30,215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35,680</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proceeds from sales of land and development assets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20,923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8,775</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Distributions from other investments</w:t>
            </w:r>
          </w:p>
        </w:tc>
        <w:tc>
          <w:tcPr>
            <w:tcW w:w="400" w:type="dxa"/>
            <w:vAlign w:val="bottom"/>
          </w:tcPr>
          <w:p>
            <w:pPr>
              <w:spacing w:after="0"/>
              <w:rPr>
                <w:sz w:val="22"/>
                <w:szCs w:val="22"/>
                <w:color w:val="auto"/>
              </w:rPr>
            </w:pPr>
          </w:p>
        </w:tc>
        <w:tc>
          <w:tcPr>
            <w:tcW w:w="1320" w:type="dxa"/>
            <w:vAlign w:val="bottom"/>
          </w:tcPr>
          <w:p>
            <w:pPr>
              <w:jc w:val="right"/>
              <w:ind w:right="77"/>
              <w:spacing w:after="0"/>
              <w:rPr>
                <w:sz w:val="20"/>
                <w:szCs w:val="20"/>
                <w:color w:val="auto"/>
              </w:rPr>
            </w:pPr>
            <w:r>
              <w:rPr>
                <w:rFonts w:ascii="Arial" w:cs="Arial" w:eastAsia="Arial" w:hAnsi="Arial"/>
                <w:sz w:val="13"/>
                <w:szCs w:val="13"/>
                <w:color w:val="auto"/>
              </w:rPr>
              <w:t>4,709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7,675</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Contributions to other investments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(1,813)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(6,377)</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Changes in restricted cash held in connection with investing activities</w:t>
            </w:r>
          </w:p>
        </w:tc>
        <w:tc>
          <w:tcPr>
            <w:tcW w:w="400" w:type="dxa"/>
            <w:vAlign w:val="bottom"/>
          </w:tcPr>
          <w:p>
            <w:pPr>
              <w:spacing w:after="0"/>
              <w:rPr>
                <w:sz w:val="22"/>
                <w:szCs w:val="22"/>
                <w:color w:val="auto"/>
              </w:rPr>
            </w:pPr>
          </w:p>
        </w:tc>
        <w:tc>
          <w:tcPr>
            <w:tcW w:w="1320" w:type="dxa"/>
            <w:vAlign w:val="bottom"/>
          </w:tcPr>
          <w:p>
            <w:pPr>
              <w:jc w:val="right"/>
              <w:ind w:right="77"/>
              <w:spacing w:after="0"/>
              <w:rPr>
                <w:sz w:val="20"/>
                <w:szCs w:val="20"/>
                <w:color w:val="auto"/>
              </w:rPr>
            </w:pPr>
            <w:r>
              <w:rPr>
                <w:rFonts w:ascii="Arial" w:cs="Arial" w:eastAsia="Arial" w:hAnsi="Arial"/>
                <w:sz w:val="13"/>
                <w:szCs w:val="13"/>
                <w:color w:val="auto"/>
              </w:rPr>
              <w:t>284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1,660</w:t>
            </w:r>
          </w:p>
        </w:tc>
        <w:tc>
          <w:tcPr>
            <w:tcW w:w="0" w:type="dxa"/>
            <w:vAlign w:val="bottom"/>
          </w:tcPr>
          <w:p>
            <w:pPr>
              <w:spacing w:after="0"/>
              <w:rPr>
                <w:sz w:val="1"/>
                <w:szCs w:val="1"/>
                <w:color w:val="auto"/>
              </w:rPr>
            </w:pPr>
          </w:p>
        </w:tc>
      </w:tr>
      <w:tr>
        <w:trPr>
          <w:trHeight w:val="272"/>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 investing activities, net</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1,801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7,716</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Cash flows provided by (used in) investing activities</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130,195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(13,113)</w:t>
            </w:r>
          </w:p>
        </w:tc>
        <w:tc>
          <w:tcPr>
            <w:tcW w:w="0" w:type="dxa"/>
            <w:vAlign w:val="bottom"/>
          </w:tcPr>
          <w:p>
            <w:pPr>
              <w:spacing w:after="0"/>
              <w:rPr>
                <w:sz w:val="1"/>
                <w:szCs w:val="1"/>
                <w:color w:val="auto"/>
              </w:rPr>
            </w:pPr>
          </w:p>
        </w:tc>
      </w:tr>
      <w:tr>
        <w:trPr>
          <w:trHeight w:val="257"/>
        </w:trPr>
        <w:tc>
          <w:tcPr>
            <w:tcW w:w="7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financing activities:</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Borrowings from debt obligations</w:t>
            </w:r>
          </w:p>
        </w:tc>
        <w:tc>
          <w:tcPr>
            <w:tcW w:w="400" w:type="dxa"/>
            <w:vAlign w:val="bottom"/>
          </w:tcPr>
          <w:p>
            <w:pPr>
              <w:spacing w:after="0"/>
              <w:rPr>
                <w:sz w:val="22"/>
                <w:szCs w:val="22"/>
                <w:color w:val="auto"/>
              </w:rPr>
            </w:pPr>
          </w:p>
        </w:tc>
        <w:tc>
          <w:tcPr>
            <w:tcW w:w="1320" w:type="dxa"/>
            <w:vAlign w:val="bottom"/>
          </w:tcPr>
          <w:p>
            <w:pPr>
              <w:jc w:val="right"/>
              <w:ind w:right="77"/>
              <w:spacing w:after="0"/>
              <w:rPr>
                <w:sz w:val="20"/>
                <w:szCs w:val="20"/>
                <w:color w:val="auto"/>
              </w:rPr>
            </w:pPr>
            <w:r>
              <w:rPr>
                <w:rFonts w:ascii="Arial" w:cs="Arial" w:eastAsia="Arial" w:hAnsi="Arial"/>
                <w:sz w:val="13"/>
                <w:szCs w:val="13"/>
                <w:color w:val="auto"/>
              </w:rPr>
              <w:t>854,637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275,000</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Repayments and repurchases of debt obligations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(353,191)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(282,755)</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Preferred dividends paid</w:t>
            </w:r>
          </w:p>
        </w:tc>
        <w:tc>
          <w:tcPr>
            <w:tcW w:w="4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(12,830)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(12,830)</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Repurchase of stock</w:t>
            </w:r>
          </w:p>
        </w:tc>
        <w:tc>
          <w:tcPr>
            <w:tcW w:w="4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(58,760)</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Payments for deferred financing costs</w:t>
            </w:r>
          </w:p>
        </w:tc>
        <w:tc>
          <w:tcPr>
            <w:tcW w:w="4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(11,497)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Payments for withholding taxes upon vesting of stock-based compensation</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(1,109)</w:t>
            </w: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Other financing activities, net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(661)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(10,686)</w:t>
            </w:r>
          </w:p>
        </w:tc>
        <w:tc>
          <w:tcPr>
            <w:tcW w:w="0" w:type="dxa"/>
            <w:vAlign w:val="bottom"/>
          </w:tcPr>
          <w:p>
            <w:pPr>
              <w:spacing w:after="0"/>
              <w:rPr>
                <w:sz w:val="1"/>
                <w:szCs w:val="1"/>
                <w:color w:val="auto"/>
              </w:rPr>
            </w:pPr>
          </w:p>
        </w:tc>
      </w:tr>
      <w:tr>
        <w:trPr>
          <w:trHeight w:val="250"/>
        </w:trPr>
        <w:tc>
          <w:tcPr>
            <w:tcW w:w="7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Cash flows provided by (used in) financing activities</w:t>
            </w: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476,038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(91,140)</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Effect of exchange rate changes on cash</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57"/>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Changes in cash and cash equivalents</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568,743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(119,920)</w:t>
            </w: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Cash and cash equivalents at beginning of period</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328,744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711,101</w:t>
            </w:r>
          </w:p>
        </w:tc>
        <w:tc>
          <w:tcPr>
            <w:tcW w:w="0" w:type="dxa"/>
            <w:vAlign w:val="bottom"/>
          </w:tcPr>
          <w:p>
            <w:pPr>
              <w:spacing w:after="0"/>
              <w:rPr>
                <w:sz w:val="1"/>
                <w:szCs w:val="1"/>
                <w:color w:val="auto"/>
              </w:rPr>
            </w:pPr>
          </w:p>
        </w:tc>
      </w:tr>
      <w:tr>
        <w:trPr>
          <w:trHeight w:val="242"/>
        </w:trPr>
        <w:tc>
          <w:tcPr>
            <w:tcW w:w="7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Cash and cash equivalents at end of period</w:t>
            </w: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897,487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591,181</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20"/>
              <w:spacing w:after="0"/>
              <w:rPr>
                <w:sz w:val="20"/>
                <w:szCs w:val="20"/>
                <w:color w:val="auto"/>
              </w:rPr>
            </w:pPr>
            <w:r>
              <w:rPr>
                <w:rFonts w:ascii="Arial" w:cs="Arial" w:eastAsia="Arial" w:hAnsi="Arial"/>
                <w:sz w:val="13"/>
                <w:szCs w:val="13"/>
                <w:color w:val="auto"/>
              </w:rPr>
              <w:t>Supplemental disclosure of non-cash investing and financing activity:</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8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Fundings of loan receivables and loan participations</w:t>
            </w: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22,602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1,905</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Arial" w:cs="Arial" w:eastAsia="Arial" w:hAnsi="Arial"/>
                <w:sz w:val="13"/>
                <w:szCs w:val="13"/>
                <w:color w:val="auto"/>
              </w:rPr>
              <w:t>Accounts payable for capital expenditures on land and development assets</w:t>
            </w:r>
          </w:p>
        </w:tc>
        <w:tc>
          <w:tcPr>
            <w:tcW w:w="4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3,650</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Accounts payable for capital expenditures on real estate assets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781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380"/>
          </w:cols>
          <w:pgMar w:left="240" w:top="121" w:right="279" w:bottom="0" w:gutter="0" w:footer="0" w:header="0"/>
        </w:sect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11380"/>
          </w:cols>
          <w:pgMar w:left="240" w:top="121" w:right="27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368"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—iStar Inc. (the "Company"), doing business as "iStar," finances, invests in and develops real estate and real estate related projects as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its fully-integrated investment platform. The Company has invested more than $35 billion over the past two decades and is structured as a real estate investment trust ("REIT") with a diversified portfolio focused on larger assets located in major metropolitan markets. The Company's primary business segments are real estate finance, net lease, operating properties and land and development (refer to Note 17).</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the management of private investment funds and became publicly traded in 1998.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Since that time, the Company has grown through the origination of new investments, as well as through corporate 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7"/>
          <w:szCs w:val="17"/>
          <w:b w:val="1"/>
          <w:bCs w:val="1"/>
          <w:color w:val="auto"/>
        </w:rPr>
        <w:t>Basis of Presentation</w:t>
      </w:r>
      <w:r>
        <w:rPr>
          <w:rFonts w:ascii="Arial" w:cs="Arial" w:eastAsia="Arial" w:hAnsi="Arial"/>
          <w:sz w:val="17"/>
          <w:szCs w:val="17"/>
          <w:color w:val="auto"/>
        </w:rPr>
        <w:t>—The accompanying unaudited consolidated financial statements have been prepared in conformity with the instructions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2016 (the "2016 Annual Report").</w:t>
      </w:r>
    </w:p>
    <w:p>
      <w:pPr>
        <w:spacing w:after="0" w:line="9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 Certain prior year amounts have been reclassified in the Company's consolidated financial statements and the related notes to conform to the current period presentation.</w:t>
      </w:r>
    </w:p>
    <w:p>
      <w:pPr>
        <w:spacing w:after="0" w:line="14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financial statements of the Company, its wholly 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partnerships and variable interest entities ("VIEs") for which the Company is the primary beneficiary. All significant intercompany balances and transactions have been eliminated in consolidation. The Company's involvement with VIEs affects its financial performance and cash flows primarily through amounts recorded in "Operating lease income," "Interest income," "Earnings from equity method investments," "Real estate expense" and "Interest expense" in the Company's consolidated statements of operations. The Company has not provided financial support to those VIEs that it was not previously contractually required to provide.</w:t>
      </w:r>
    </w:p>
    <w:p>
      <w:pPr>
        <w:spacing w:after="0" w:line="15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Consolidated VIEs</w:t>
      </w:r>
      <w:r>
        <w:rPr>
          <w:rFonts w:ascii="Arial" w:cs="Arial" w:eastAsia="Arial" w:hAnsi="Arial"/>
          <w:sz w:val="18"/>
          <w:szCs w:val="18"/>
          <w:color w:val="auto"/>
        </w:rPr>
        <w:t>—As of March 31, 2017, the Company consolidates VIEs for which it is considered the primary beneficiary. As of March 31,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total assets of these consolidated VIEs were $449.3 million and total liabilities were $74.4 million. The classifications of these assets are primarily within "Land and development, net" and "Real estate, net" on the Company's consolidated balance sheets. The classifications of liabilities are primarily within "Accounts payable, accrued expenses and other liabilities" and "debt obligations, net" on the Company's consolidated balance sheets. The liabilities of these VIEs are non-recourse to the Company and can only be satisfied from each VIE's respective assets. The Company did not have any unfunded commitments related to consolidated VIEs as of March 31, 2017.</w:t>
      </w:r>
    </w:p>
    <w:p>
      <w:pPr>
        <w:spacing w:after="0" w:line="19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b w:val="1"/>
          <w:bCs w:val="1"/>
          <w:i w:val="1"/>
          <w:iCs w:val="1"/>
          <w:color w:val="auto"/>
        </w:rPr>
        <w:t>Unconsolidated VIEs</w:t>
      </w:r>
      <w:r>
        <w:rPr>
          <w:rFonts w:ascii="Arial" w:cs="Arial" w:eastAsia="Arial" w:hAnsi="Arial"/>
          <w:sz w:val="16"/>
          <w:szCs w:val="16"/>
          <w:color w:val="auto"/>
        </w:rPr>
        <w:t>—As of March 31, 2017, the Company has investments in VIEs where it is not the primary beneficiary and accordingly the VIEs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not been consolidated in the Company's consolidated financial statements. As of March 31, 2017, the Company's maximum exposure to loss from these investments does not exceed the sum of the $52.9 million carrying value of the investments, which are classified in "Other investments" and "Loans receivable and other lending investments, net" on the Company's consolidated balance sheets, and $58.0 million of related unfunded commitments.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On January 1, 2017, the Company adopted Accounting Standards Update ("ASU") 2016-09, </w:t>
      </w:r>
      <w:r>
        <w:rPr>
          <w:rFonts w:ascii="Arial" w:cs="Arial" w:eastAsia="Arial" w:hAnsi="Arial"/>
          <w:sz w:val="18"/>
          <w:szCs w:val="18"/>
          <w:i w:val="1"/>
          <w:iCs w:val="1"/>
          <w:color w:val="auto"/>
        </w:rPr>
        <w:t>Compensation—Stock Compensation: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 Share-Based Payment Accounting </w:t>
      </w:r>
      <w:r>
        <w:rPr>
          <w:rFonts w:ascii="Arial" w:cs="Arial" w:eastAsia="Arial" w:hAnsi="Arial"/>
          <w:sz w:val="18"/>
          <w:szCs w:val="18"/>
          <w:color w:val="auto"/>
        </w:rPr>
        <w:t>("ASU 2016-09") which was issued to simplify several aspects of the accounting for share-based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including income tax, classification of awards as either equity or liabilities and classification on the statement of cash flows. The adoption of ASU 2016-09 did not have a material impact on the Company's consolidated financial statements.</w:t>
      </w:r>
    </w:p>
    <w:p>
      <w:pPr>
        <w:spacing w:after="0" w:line="1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2017, the remainder of the Company's significant accounting policies, which are detailed in the Company's 2016 Annual Report, have not changed materially.</w:t>
      </w:r>
    </w:p>
    <w:p>
      <w:pPr>
        <w:spacing w:after="0" w:line="12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b w:val="1"/>
          <w:bCs w:val="1"/>
          <w:color w:val="auto"/>
        </w:rPr>
        <w:t>New Accounting Pronouncements</w:t>
      </w:r>
      <w:r>
        <w:rPr>
          <w:rFonts w:ascii="Arial" w:cs="Arial" w:eastAsia="Arial" w:hAnsi="Arial"/>
          <w:sz w:val="17"/>
          <w:szCs w:val="17"/>
          <w:i w:val="1"/>
          <w:iCs w:val="1"/>
          <w:color w:val="auto"/>
        </w:rPr>
        <w:t>—</w:t>
      </w:r>
      <w:r>
        <w:rPr>
          <w:rFonts w:ascii="Arial" w:cs="Arial" w:eastAsia="Arial" w:hAnsi="Arial"/>
          <w:sz w:val="17"/>
          <w:szCs w:val="17"/>
          <w:color w:val="auto"/>
        </w:rPr>
        <w:t>In February 2017, the Financial Accounting Standards Board ("FASB") issued Accounting Standards Update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("ASU") 2017-05, </w:t>
      </w:r>
      <w:r>
        <w:rPr>
          <w:rFonts w:ascii="Arial" w:cs="Arial" w:eastAsia="Arial" w:hAnsi="Arial"/>
          <w:sz w:val="17"/>
          <w:szCs w:val="17"/>
          <w:i w:val="1"/>
          <w:iCs w:val="1"/>
          <w:color w:val="auto"/>
        </w:rPr>
        <w:t>Other Income—Gains and Losses from the Derecognition of Nonfinancial Assets</w:t>
      </w:r>
      <w:r>
        <w:rPr>
          <w:rFonts w:ascii="Arial" w:cs="Arial" w:eastAsia="Arial" w:hAnsi="Arial"/>
          <w:sz w:val="17"/>
          <w:szCs w:val="17"/>
          <w:color w:val="auto"/>
        </w:rPr>
        <w:t xml:space="preserve"> ("ASU 2017-05") to clarify the scope of Subtopic 610-20, Other Income—Gains and Losses from the Derecognition of Nonfinancial Assets, and to add guidance for partial sales of nonfinancial assets. The amendments in ASU 2017-05 simplify GAAP by eliminating several accounting differences between transactions involving assets and transactions involving businesses. The amendments in ASU 2017-05 require an entity to initially measure a retained noncontrolling interest in a nonfinancial asset at fair value consistent with how a retained noncontrolling interest in a business is measured. Also, if an entity transfers ownership interests in a consolidated subsidiary that is within the scope of ASC 610-20 and continues to have a controlling financial interest in that subsidiary, ASU 2017-05 requires the entity to account for the transaction as an equity transaction, which is consistent with how changes in ownership interests in a consolidated subsidiary that is a business are recorded when a parent retains a controlling financial interest in the business. ASU 2017-05 is effective for interim and annual reporting periods beginning after December 15, 2017. Early adoption is permitted beginning January 1, 2017. Management is evaluating the impact of the guidance on the Company's consolidated financial statements.</w:t>
      </w:r>
    </w:p>
    <w:p>
      <w:pPr>
        <w:spacing w:after="0" w:line="13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Clarifying the Definition of a Business</w:t>
      </w:r>
      <w:r>
        <w:rPr>
          <w:rFonts w:ascii="Arial" w:cs="Arial" w:eastAsia="Arial" w:hAnsi="Arial"/>
          <w:sz w:val="17"/>
          <w:szCs w:val="17"/>
          <w:color w:val="auto"/>
        </w:rPr>
        <w:t xml:space="preserve"> ("ASU 2017-01") to provide a more robust framework to use in determining when a set of assets and activities is a business. The amendments provide more consistency in applying the guidance, reduce the costs of application, and make the definition of a business more operable. The Company's real estate acquisitions have historically been accounted for as a business combination or an asset acquisition. Under ASU 2017-01, certain transactions previously accounted for as business combinations under the existing guidance would be accounted for as asset acquisitions under the new guidance. As a result, the Company expects more transaction costs to be capitalized under real estate acquisitions and less transaction costs to be expensed under business combinations. ASU 2017-01 is effective for interim and annual reporting periods beginning after December 15, 2017. Early application is permitted under certain conditions. Management is evaluating the impact of the guidance on the Company's consolidated financial statements.</w:t>
      </w:r>
    </w:p>
    <w:p>
      <w:pPr>
        <w:spacing w:after="0" w:line="1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Restricted Cash</w:t>
      </w:r>
      <w:r>
        <w:rPr>
          <w:rFonts w:ascii="Arial" w:cs="Arial" w:eastAsia="Arial" w:hAnsi="Arial"/>
          <w:sz w:val="18"/>
          <w:szCs w:val="18"/>
          <w:color w:val="auto"/>
        </w:rPr>
        <w:t xml:space="preserve"> ("ASU 2016-18") which requires that restricted cash be included with cash and cash equivalents when reconciling beginning and ending cash and cash equivalents on the statement of cash flows. In addition, ASU 2016-18 requires disclosure of what is included in restricted cash. ASU 2016-18 is effective for interim and annual reporting periods beginning after December 15, 2017. Early adoption is permitted. Management does not believe the guidance will have a material impact on the Company's consolidated financial statements.</w:t>
      </w:r>
    </w:p>
    <w:p>
      <w:pPr>
        <w:spacing w:after="0" w:line="14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August 2016</w:t>
      </w:r>
      <w:r>
        <w:rPr>
          <w:rFonts w:ascii="Arial" w:cs="Arial" w:eastAsia="Arial" w:hAnsi="Arial"/>
          <w:sz w:val="17"/>
          <w:szCs w:val="17"/>
          <w:i w:val="1"/>
          <w:iCs w:val="1"/>
          <w:color w:val="auto"/>
        </w:rPr>
        <w:t>,</w:t>
      </w:r>
      <w:r>
        <w:rPr>
          <w:rFonts w:ascii="Arial" w:cs="Arial" w:eastAsia="Arial" w:hAnsi="Arial"/>
          <w:sz w:val="17"/>
          <w:szCs w:val="17"/>
          <w:color w:val="auto"/>
        </w:rPr>
        <w:t xml:space="preserve"> the FASB issued ASU 2016-15, </w:t>
      </w:r>
      <w:r>
        <w:rPr>
          <w:rFonts w:ascii="Arial" w:cs="Arial" w:eastAsia="Arial" w:hAnsi="Arial"/>
          <w:sz w:val="17"/>
          <w:szCs w:val="17"/>
          <w:i w:val="1"/>
          <w:iCs w:val="1"/>
          <w:color w:val="auto"/>
        </w:rPr>
        <w:t>Statement of Cash Flows: Classification of Certain Cash Receipts and Cash Payments</w:t>
      </w:r>
      <w:r>
        <w:rPr>
          <w:rFonts w:ascii="Arial" w:cs="Arial" w:eastAsia="Arial" w:hAnsi="Arial"/>
          <w:sz w:val="17"/>
          <w:szCs w:val="17"/>
          <w:color w:val="auto"/>
        </w:rPr>
        <w:t xml:space="preserve"> ("ASU 2016-15") which was issued to reduce diversity in practice in how certain cash receipts and cash payments, including debt prepayment or debt extinguishment costs, distributions from equity method investees, and other separately identifiable cash flows, are presented and classified in the statement of cash flows. ASU 2016-15 is effective for interim and annual reporting periods beginning after December 15, 2017. Early adoption is permitted. Management does not believe the guidance will have a material impact on the Company's consolidated financial statements.</w:t>
      </w:r>
    </w:p>
    <w:p>
      <w:pPr>
        <w:spacing w:after="0" w:line="13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June 2016</w:t>
      </w:r>
      <w:r>
        <w:rPr>
          <w:rFonts w:ascii="Arial" w:cs="Arial" w:eastAsia="Arial" w:hAnsi="Arial"/>
          <w:sz w:val="17"/>
          <w:szCs w:val="17"/>
          <w:i w:val="1"/>
          <w:iCs w:val="1"/>
          <w:color w:val="auto"/>
        </w:rPr>
        <w:t>,</w:t>
      </w:r>
      <w:r>
        <w:rPr>
          <w:rFonts w:ascii="Arial" w:cs="Arial" w:eastAsia="Arial" w:hAnsi="Arial"/>
          <w:sz w:val="17"/>
          <w:szCs w:val="17"/>
          <w:color w:val="auto"/>
        </w:rPr>
        <w:t xml:space="preserve"> the FASB issued ASU 2016-13, </w:t>
      </w: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 xml:space="preserve"> ("ASU 2016-13") which was issued to provide financial statement users with more decision-useful information about the expected credit losses on financial instruments held by a reporting entity. This amendment replaces the incurred loss impairment methodology in current GAAP with a methodology that reflects expected credit losses and requires consideration of a broader range of reasonable and supportable information to inform credit loss estimates. The Company currently records a general reserve that covers performing loans and reserves for loan losses are recorded when (i) available information as of each balance sheet date indicates that it is probable a loss has occurred in the portfolio and (ii) the amount of the loss can be reasonably estimated. The formula-based general reserve is derived from estimated principal default probabilities and loss severities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applied to groups of loans based upon risk ratings assigned to loans with similar risk characteristics during our quarterly loan portfolio assessment. The Company estimates loss rates based on historical realized losses experienced within its portfolio and take into account current economic conditions affecting the commercial real estate market when establishing appropriate time frames to evaluate loss experience. The Company believes this general reserve component of its total loan loss reserves should minimize the impact of ASU 2016-13. ASU 2016-13 is effective for interim and annual reporting periods beginning after December 15, 2019. Early adoption is permitted for interim and annual reporting periods beginning after December 15, 2018. Management does not believe the guidance will have a material impact on the Company's consolidated financial statements.</w:t>
      </w:r>
    </w:p>
    <w:p>
      <w:pPr>
        <w:spacing w:after="0" w:line="138" w:lineRule="exact"/>
        <w:rPr>
          <w:sz w:val="20"/>
          <w:szCs w:val="20"/>
          <w:color w:val="auto"/>
        </w:rPr>
      </w:pPr>
    </w:p>
    <w:p>
      <w:pPr>
        <w:jc w:val="both"/>
        <w:ind w:firstLine="392"/>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requires the recognition of lease assets and lease liabilities by lessees for those leases classified as operating leases. For operating leases, a lessee will be required to do the following: (i) recognize a right-of-use asset and a lease liability, initially measured at the present value of the lease payments, in the statement of financial position; (ii) recognize a single lease cost, calculated so that the cost of the lease is allocated over the lease term on a generally straight-line basis and (iii) classify all cash payments within operating activities in the statement of cash flows. For operating lease arrangements for which the Company is the lessee, primarily the lease of office space, the Company expects the impact of ASU 2016-02 to be the recognition of a right-of-use asset and lease liability on its consolidated balance sheets. The accounting applied by the Company as a lessor will be largely unchanged from that applied under previous GAAP. However, in certain instances, a new long-term lease of land subsequent to adoption could be classified as a sales-type lease, which could result in the Company derecognizing the underlying asset from its books and recording a profit or loss on sale and the net investment in the lease. ASU 2016-02 is effective for interim and annual reporting periods beginning after December 15, 2018. Early adoption is permitted. Management is evaluating the impact of the guidance on the Company's consolidated financial statements.</w:t>
      </w:r>
    </w:p>
    <w:p>
      <w:pPr>
        <w:spacing w:after="0" w:line="18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("ASU 2016-01"), which addresses certain aspects of recognition, measurement, presentation and disclosure of financial instruments. ASU 2016-01 is effective for interim and annual reporting periods beginning after December 15, 2017. Early adoption is not permitted. Management is evaluating the impact of the guidance on the Company's consolidated financial statements.</w:t>
      </w:r>
    </w:p>
    <w:p>
      <w:pPr>
        <w:spacing w:after="0" w:line="146"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supersedes existing industry-specific guidance, including ASC 360-20, </w:t>
      </w:r>
      <w:r>
        <w:rPr>
          <w:rFonts w:ascii="Arial" w:cs="Arial" w:eastAsia="Arial" w:hAnsi="Arial"/>
          <w:sz w:val="17"/>
          <w:szCs w:val="17"/>
          <w:i w:val="1"/>
          <w:iCs w:val="1"/>
          <w:color w:val="auto"/>
        </w:rPr>
        <w:t>Real Estate Sales</w:t>
      </w:r>
      <w:r>
        <w:rPr>
          <w:rFonts w:ascii="Arial" w:cs="Arial" w:eastAsia="Arial" w:hAnsi="Arial"/>
          <w:sz w:val="17"/>
          <w:szCs w:val="17"/>
          <w:color w:val="auto"/>
        </w:rPr>
        <w:t xml:space="preserve">. The new standard is principles-based and requires more estimates and judgment than current guidance. Certain contracts with customers, including lease contracts and financial instruments and other contractual rights, are not within the scope of the new guidance. Although most of the Company's revenue is operating lease income generated from lease contracts and interest income generated from financial instruments, certain other of the Company's revenue streams will be impacted by the new guidance. The Company currently expects that income from sales of real estate, land development revenue and other income will be impacted by ASU 2014-09. In August 2015, the FASB issued ASU 2015-14,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 Deferral of the Effective Date</w:t>
      </w:r>
      <w:r>
        <w:rPr>
          <w:rFonts w:ascii="Arial" w:cs="Arial" w:eastAsia="Arial" w:hAnsi="Arial"/>
          <w:sz w:val="17"/>
          <w:szCs w:val="17"/>
          <w:color w:val="auto"/>
        </w:rPr>
        <w:t>, to defer the effective date of ASU 2014-09 by one year. ASU 2014-09 is now effective for interim</w:t>
      </w:r>
      <w:r>
        <w:rPr>
          <w:rFonts w:ascii="Arial" w:cs="Arial" w:eastAsia="Arial" w:hAnsi="Arial"/>
          <w:sz w:val="17"/>
          <w:szCs w:val="17"/>
          <w:i w:val="1"/>
          <w:iCs w:val="1"/>
          <w:color w:val="auto"/>
        </w:rPr>
        <w:t xml:space="preserve"> </w:t>
      </w:r>
      <w:r>
        <w:rPr>
          <w:rFonts w:ascii="Arial" w:cs="Arial" w:eastAsia="Arial" w:hAnsi="Arial"/>
          <w:sz w:val="17"/>
          <w:szCs w:val="17"/>
          <w:color w:val="auto"/>
        </w:rPr>
        <w:t>and annual reporting periods beginning after December 15, 2017. Early adoption is permitted beginning January 1, 2017. Management is evaluating the impact of the guidance on the Company's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real estate assets were comprised of the following ($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 Lease</w:t>
            </w:r>
            <w:r>
              <w:rPr>
                <w:rFonts w:ascii="Arial" w:cs="Arial" w:eastAsia="Arial" w:hAnsi="Arial"/>
                <w:sz w:val="8"/>
                <w:szCs w:val="8"/>
                <w:b w:val="1"/>
                <w:bCs w:val="1"/>
                <w:color w:val="auto"/>
              </w:rPr>
              <w:t>(1)</w:t>
            </w:r>
          </w:p>
        </w:tc>
        <w:tc>
          <w:tcPr>
            <w:tcW w:w="26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Properties</w:t>
            </w:r>
          </w:p>
        </w:tc>
        <w:tc>
          <w:tcPr>
            <w:tcW w:w="36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2017</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Land, at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271,433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211,054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482,487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 at cost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1,097,049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316,726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1,413,775</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(370,168)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(49,503)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(419,671)</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998,314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478,277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1,476,591</w:t>
            </w:r>
          </w:p>
        </w:tc>
        <w:tc>
          <w:tcPr>
            <w:tcW w:w="0" w:type="dxa"/>
            <w:vAlign w:val="bottom"/>
          </w:tcPr>
          <w:p>
            <w:pPr>
              <w:spacing w:after="0"/>
              <w:rPr>
                <w:sz w:val="1"/>
                <w:szCs w:val="1"/>
                <w:color w:val="auto"/>
              </w:rPr>
            </w:pPr>
          </w:p>
        </w:tc>
      </w:tr>
      <w:tr>
        <w:trPr>
          <w:trHeight w:val="270"/>
        </w:trPr>
        <w:tc>
          <w:tcPr>
            <w:tcW w:w="39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Real estate available and held for sale </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71,934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71,934</w:t>
            </w:r>
          </w:p>
        </w:tc>
        <w:tc>
          <w:tcPr>
            <w:tcW w:w="0" w:type="dxa"/>
            <w:vAlign w:val="bottom"/>
          </w:tcPr>
          <w:p>
            <w:pPr>
              <w:spacing w:after="0"/>
              <w:rPr>
                <w:sz w:val="1"/>
                <w:szCs w:val="1"/>
                <w:color w:val="auto"/>
              </w:rPr>
            </w:pPr>
          </w:p>
        </w:tc>
      </w:tr>
      <w:tr>
        <w:trPr>
          <w:trHeight w:val="257"/>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998,314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550,211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1,548,525</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at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272,666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211,054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483,720</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Buildings and improvements, at cost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1,111,589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311,283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1,422,872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(368,665)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(414,840)</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1,015,590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476,162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1,491,752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Real estate available and held for sale </w:t>
            </w:r>
            <w:r>
              <w:rPr>
                <w:rFonts w:ascii="Arial" w:cs="Arial" w:eastAsia="Arial" w:hAnsi="Arial"/>
                <w:sz w:val="25"/>
                <w:szCs w:val="25"/>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1,284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82,480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83,764</w:t>
            </w:r>
          </w:p>
        </w:tc>
        <w:tc>
          <w:tcPr>
            <w:tcW w:w="0" w:type="dxa"/>
            <w:vAlign w:val="bottom"/>
          </w:tcPr>
          <w:p>
            <w:pPr>
              <w:spacing w:after="0"/>
              <w:rPr>
                <w:sz w:val="1"/>
                <w:szCs w:val="1"/>
                <w:color w:val="auto"/>
              </w:rPr>
            </w:pPr>
          </w:p>
        </w:tc>
      </w:tr>
      <w:tr>
        <w:trPr>
          <w:trHeight w:val="250"/>
        </w:trPr>
        <w:tc>
          <w:tcPr>
            <w:tcW w:w="3960" w:type="dxa"/>
            <w:vAlign w:val="bottom"/>
          </w:tcPr>
          <w:p>
            <w:pPr>
              <w:ind w:left="40"/>
              <w:spacing w:after="0"/>
              <w:rPr>
                <w:sz w:val="20"/>
                <w:szCs w:val="20"/>
                <w:color w:val="auto"/>
              </w:rPr>
            </w:pPr>
            <w:r>
              <w:rPr>
                <w:rFonts w:ascii="Arial" w:cs="Arial" w:eastAsia="Arial" w:hAnsi="Arial"/>
                <w:sz w:val="18"/>
                <w:szCs w:val="18"/>
                <w:color w:val="auto"/>
              </w:rPr>
              <w:t>Total real estate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1,016,874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558,642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1,575,516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8890</wp:posOffset>
            </wp:positionV>
            <wp:extent cx="2992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-98425</wp:posOffset>
            </wp:positionV>
            <wp:extent cx="2992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both"/>
        <w:ind w:left="500" w:hanging="492"/>
        <w:spacing w:after="0" w:line="24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2014, the Company partnered with a sovereign wealth fund to form a venture to acquire and develop net lease assets (the "Net Lease Venture") and gave a right of first refusal to the Net Lease Venture on all new net lease investments (refer to Note 7 for more information on the Net Lease Venture). The Company is responsible for sourcing new opportunities and managing the Net Lease Venture and its assets in exchange for a promote and management fee.</w:t>
      </w:r>
    </w:p>
    <w:p>
      <w:pPr>
        <w:spacing w:after="0" w:line="1" w:lineRule="exact"/>
        <w:rPr>
          <w:rFonts w:ascii="Arial" w:cs="Arial" w:eastAsia="Arial" w:hAnsi="Arial"/>
          <w:sz w:val="14"/>
          <w:szCs w:val="14"/>
          <w:color w:val="auto"/>
        </w:rPr>
      </w:pPr>
    </w:p>
    <w:p>
      <w:pPr>
        <w:ind w:left="500" w:hanging="492"/>
        <w:spacing w:after="0" w:line="255"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March 31, 2017 and December 31, 2016, the Company had $71.9 million and $82.5 million, respectively, of residential properties available for sale in its operating properties portfolio.</w:t>
      </w:r>
    </w:p>
    <w:p>
      <w:pPr>
        <w:spacing w:after="0" w:line="186"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 xml:space="preserve">Real Estate Available and Held for Sale— </w:t>
      </w:r>
      <w:r>
        <w:rPr>
          <w:rFonts w:ascii="Arial" w:cs="Arial" w:eastAsia="Arial" w:hAnsi="Arial"/>
          <w:sz w:val="18"/>
          <w:szCs w:val="18"/>
          <w:color w:val="auto"/>
        </w:rPr>
        <w:t>During the three months ended March 31, 2016, the Company transferred one net lease asset with a</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value of $0.7 million to held for sale due to an executed contract with a third party.</w:t>
      </w:r>
    </w:p>
    <w:p>
      <w:pPr>
        <w:spacing w:after="0" w:line="16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Dispositions—</w:t>
      </w:r>
      <w:r>
        <w:rPr>
          <w:rFonts w:ascii="Arial" w:cs="Arial" w:eastAsia="Arial" w:hAnsi="Arial"/>
          <w:sz w:val="18"/>
          <w:szCs w:val="18"/>
          <w:color w:val="auto"/>
        </w:rPr>
        <w:t>During the three months ended March 31, 2017 and 2016, the Company sold residential condominiums for total net proceeds of $10.2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$19.7 million, respectively, and recorded income from sales of real estate totaling $1.9 million and $4.9 million, respectively. During the three months ended March 31, 2017 and 2016, the Company sold net lease assets for net proceeds of $20.0 million and $10.0 million, respectively, resulting in gains of $6.7 million and $4.9 million, respectively. During the three months ended March 31, 2016, the Company also sold a commercial operating property for net proceeds of $5.9 million resulting in a gain of $0.7 million. The gains are recorded in "Income from sales of real estate" in the Company's consolidated statements of operations.</w:t>
      </w:r>
    </w:p>
    <w:p>
      <w:pPr>
        <w:spacing w:after="0" w:line="147"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Impairments—</w:t>
      </w:r>
      <w:r>
        <w:rPr>
          <w:rFonts w:ascii="Arial" w:cs="Arial" w:eastAsia="Arial" w:hAnsi="Arial"/>
          <w:sz w:val="18"/>
          <w:szCs w:val="18"/>
          <w:color w:val="auto"/>
        </w:rPr>
        <w:t>During the three months ended March 31, 2017, the Company recorded an impairment of $4.4 million on a real estate asset held for sale</w:t>
      </w:r>
      <w:r>
        <w:rPr>
          <w:rFonts w:ascii="Arial" w:cs="Arial" w:eastAsia="Arial" w:hAnsi="Arial"/>
          <w:sz w:val="18"/>
          <w:szCs w:val="18"/>
          <w:b w:val="1"/>
          <w:bCs w:val="1"/>
          <w:color w:val="auto"/>
        </w:rPr>
        <w:t xml:space="preserve"> </w:t>
      </w:r>
      <w:r>
        <w:rPr>
          <w:rFonts w:ascii="Arial" w:cs="Arial" w:eastAsia="Arial" w:hAnsi="Arial"/>
          <w:sz w:val="18"/>
          <w:szCs w:val="18"/>
          <w:color w:val="auto"/>
        </w:rPr>
        <w:t>due to shifting demand in the local condominium market along with a change in the Company's exit strategy.</w:t>
      </w:r>
    </w:p>
    <w:p>
      <w:pPr>
        <w:spacing w:after="0" w:line="162" w:lineRule="exact"/>
        <w:rPr>
          <w:sz w:val="20"/>
          <w:szCs w:val="20"/>
          <w:color w:val="auto"/>
        </w:rPr>
      </w:pPr>
    </w:p>
    <w:p>
      <w:pPr>
        <w:jc w:val="both"/>
        <w:ind w:right="20" w:firstLine="405"/>
        <w:spacing w:after="0" w:line="289" w:lineRule="auto"/>
        <w:rPr>
          <w:sz w:val="20"/>
          <w:szCs w:val="20"/>
          <w:color w:val="auto"/>
        </w:rPr>
      </w:pPr>
      <w:r>
        <w:rPr>
          <w:rFonts w:ascii="Arial" w:cs="Arial" w:eastAsia="Arial" w:hAnsi="Arial"/>
          <w:sz w:val="17"/>
          <w:szCs w:val="17"/>
          <w:b w:val="1"/>
          <w:bCs w:val="1"/>
          <w:color w:val="auto"/>
        </w:rPr>
        <w:t>Tenant Reimbursements—</w:t>
      </w:r>
      <w:r>
        <w:rPr>
          <w:rFonts w:ascii="Arial" w:cs="Arial" w:eastAsia="Arial" w:hAnsi="Arial"/>
          <w:sz w:val="17"/>
          <w:szCs w:val="17"/>
          <w:color w:val="auto"/>
        </w:rPr>
        <w:t>The Company receives reimbursements from tenants for certain facility operating expenses including common area costs,</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utilities and real estate taxes. Tenant expense reimbursements were $5.7 million and $6.3 million for the three months ended March 31, 2017 and 2016, respectively. These amounts are included in "Operating lease income" in the Company's consolidated statements of operations.</w:t>
      </w:r>
    </w:p>
    <w:p>
      <w:pPr>
        <w:spacing w:after="0" w:line="158"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b w:val="1"/>
          <w:bCs w:val="1"/>
          <w:color w:val="auto"/>
        </w:rPr>
        <w:t>Allowance for Doubtful Accounts—</w:t>
      </w:r>
      <w:r>
        <w:rPr>
          <w:rFonts w:ascii="Arial" w:cs="Arial" w:eastAsia="Arial" w:hAnsi="Arial"/>
          <w:sz w:val="17"/>
          <w:szCs w:val="17"/>
          <w:color w:val="auto"/>
        </w:rPr>
        <w:t>As of March 31, 2017 and December 31, 2016, the allowance for doubtful accounts related to real estate tenant</w:t>
      </w:r>
      <w:r>
        <w:rPr>
          <w:rFonts w:ascii="Arial" w:cs="Arial" w:eastAsia="Arial" w:hAnsi="Arial"/>
          <w:sz w:val="17"/>
          <w:szCs w:val="17"/>
          <w:b w:val="1"/>
          <w:bCs w:val="1"/>
          <w:color w:val="auto"/>
        </w:rPr>
        <w:t xml:space="preserve"> </w:t>
      </w:r>
      <w:r>
        <w:rPr>
          <w:rFonts w:ascii="Arial" w:cs="Arial" w:eastAsia="Arial" w:hAnsi="Arial"/>
          <w:sz w:val="17"/>
          <w:szCs w:val="17"/>
          <w:color w:val="auto"/>
        </w:rPr>
        <w:t>receivables was $1.4 million and $1.3 million, respectively, and the allowance for doubtful accounts related to deferred operating lease income was $1.3 million as of March 31, 2017 and December 31, 2016. These amounts are included in "Accrued interest and operating lease income receivable, net" and "Deferred operating lease income receivable, net," respectively, on the Company's consolidated balance sheets.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5—Land and Development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land and development assets were comprised of the following ($ in thousands):</w:t>
      </w:r>
    </w:p>
    <w:p>
      <w:pPr>
        <w:spacing w:after="0" w:line="284" w:lineRule="exact"/>
        <w:rPr>
          <w:sz w:val="20"/>
          <w:szCs w:val="20"/>
          <w:color w:val="auto"/>
        </w:rPr>
      </w:pPr>
    </w:p>
    <w:tbl>
      <w:tblPr>
        <w:tblLayout w:type="fixed"/>
        <w:tblInd w:w="156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5"/>
              </w:rPr>
              <w:t>As of</w:t>
            </w:r>
          </w:p>
        </w:tc>
        <w:tc>
          <w:tcPr>
            <w:tcW w:w="1260" w:type="dxa"/>
            <w:vAlign w:val="bottom"/>
            <w:tcBorders>
              <w:bottom w:val="single" w:sz="8" w:color="auto"/>
            </w:tcBorders>
          </w:tcPr>
          <w:p>
            <w:pPr>
              <w:spacing w:after="0"/>
              <w:rPr>
                <w:sz w:val="16"/>
                <w:szCs w:val="16"/>
                <w:color w:val="auto"/>
              </w:rPr>
            </w:pPr>
          </w:p>
        </w:tc>
      </w:tr>
      <w:tr>
        <w:trPr>
          <w:trHeight w:val="258"/>
        </w:trPr>
        <w:tc>
          <w:tcPr>
            <w:tcW w:w="5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257"/>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52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land development, at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961,907</w:t>
            </w:r>
          </w:p>
        </w:tc>
        <w:tc>
          <w:tcPr>
            <w:tcW w:w="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952,051</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(6,757)</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(6,486)</w:t>
            </w:r>
          </w:p>
        </w:tc>
      </w:tr>
      <w:tr>
        <w:trPr>
          <w:trHeight w:val="27"/>
        </w:trPr>
        <w:tc>
          <w:tcPr>
            <w:tcW w:w="5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land and development,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955,150</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945,565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In 2016, the Company acquired an additional 10.7% interest in a consolidated entity for $10.8 million. The Company owns 95.7%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entity as of March 31, 2017.</w:t>
      </w:r>
    </w:p>
    <w:p>
      <w:pPr>
        <w:spacing w:after="0" w:line="162"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Dispositions—</w:t>
      </w:r>
      <w:r>
        <w:rPr>
          <w:rFonts w:ascii="Arial" w:cs="Arial" w:eastAsia="Arial" w:hAnsi="Arial"/>
          <w:sz w:val="16"/>
          <w:szCs w:val="16"/>
          <w:color w:val="auto"/>
        </w:rPr>
        <w:t>During the three months ended March 31, 2017 and 2016, the Company sold residential lots and units and recognized land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of $20.1 million and $14.9 million, respectively, from its land and development portfolio. During the three months ended March 31, 2017 and 2016, the Company recognized land development cost of sales of $15.9 million and $11.6 million, respectively, from its land and development portfolio.</w:t>
      </w:r>
    </w:p>
    <w:p>
      <w:pPr>
        <w:spacing w:after="0" w:line="14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color w:val="auto"/>
        </w:rPr>
        <w:t>Redeemable Noncontrolling Interest—</w:t>
      </w:r>
      <w:r>
        <w:rPr>
          <w:rFonts w:ascii="Arial" w:cs="Arial" w:eastAsia="Arial" w:hAnsi="Arial"/>
          <w:sz w:val="17"/>
          <w:szCs w:val="17"/>
          <w:color w:val="auto"/>
        </w:rPr>
        <w:t>The Company has a majority interest in a strategic venture that provides the third party minority partner an</w:t>
      </w:r>
      <w:r>
        <w:rPr>
          <w:rFonts w:ascii="Arial" w:cs="Arial" w:eastAsia="Arial" w:hAnsi="Arial"/>
          <w:sz w:val="17"/>
          <w:szCs w:val="17"/>
          <w:b w:val="1"/>
          <w:bCs w:val="1"/>
          <w:color w:val="auto"/>
        </w:rPr>
        <w:t xml:space="preserve"> </w:t>
      </w:r>
      <w:r>
        <w:rPr>
          <w:rFonts w:ascii="Arial" w:cs="Arial" w:eastAsia="Arial" w:hAnsi="Arial"/>
          <w:sz w:val="17"/>
          <w:szCs w:val="17"/>
          <w:color w:val="auto"/>
        </w:rPr>
        <w:t>option to redeem its interest at fair value. The Company has reflected the partner's noncontrolling interest in this venture as a component of redeemable noncontrolling interest within its consolidated balance sheets. Changes in fair value are being accreted over the term from the date of issuance of the redemption option to the earliest redemption date using the interest method. As of March 31, 2017 and December 31, 2016, this interest had a carrying value of zero and $1.3 million, respectively. As of March 31, 2017 and December 31, 2016, this interest did not have a redemption value.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6—Loans Receivable and Other Lending Investments,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loans receivable and other lending investments by class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85"/>
              </w:rPr>
              <w:t>As of</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Type of Investment</w:t>
            </w:r>
          </w:p>
        </w:tc>
        <w:tc>
          <w:tcPr>
            <w:tcW w:w="380" w:type="dxa"/>
            <w:vAlign w:val="bottom"/>
          </w:tcPr>
          <w:p>
            <w:pPr>
              <w:spacing w:after="0"/>
              <w:rPr>
                <w:sz w:val="13"/>
                <w:szCs w:val="13"/>
                <w:color w:val="auto"/>
              </w:rPr>
            </w:pPr>
          </w:p>
        </w:tc>
        <w:tc>
          <w:tcPr>
            <w:tcW w:w="1460" w:type="dxa"/>
            <w:vAlign w:val="bottom"/>
          </w:tcPr>
          <w:p>
            <w:pPr>
              <w:jc w:val="right"/>
              <w:ind w:right="494"/>
              <w:spacing w:after="0" w:line="15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834,795</w:t>
            </w:r>
          </w:p>
        </w:tc>
        <w:tc>
          <w:tcPr>
            <w:tcW w:w="5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940,738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519,198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490,389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24,941</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gross carrying value of loans</w:t>
            </w:r>
          </w:p>
        </w:tc>
        <w:tc>
          <w:tcPr>
            <w:tcW w:w="3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1,379,235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1,456,068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Reserves for loan losses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(79,389)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(85,545)</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loans receivable, net</w:t>
            </w:r>
          </w:p>
        </w:tc>
        <w:tc>
          <w:tcPr>
            <w:tcW w:w="3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1,299,846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1,370,523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lending investments—securities</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81,381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79,916</w:t>
            </w:r>
          </w:p>
        </w:tc>
        <w:tc>
          <w:tcPr>
            <w:tcW w:w="0" w:type="dxa"/>
            <w:vAlign w:val="bottom"/>
          </w:tcPr>
          <w:p>
            <w:pPr>
              <w:spacing w:after="0"/>
              <w:rPr>
                <w:sz w:val="1"/>
                <w:szCs w:val="1"/>
                <w:color w:val="auto"/>
              </w:rPr>
            </w:pP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Total loans receivable and other lending investments, net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1,381,227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1,450,439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240" w:type="dxa"/>
            <w:vAlign w:val="bottom"/>
            <w:tcBorders>
              <w:bottom w:val="single" w:sz="8" w:color="auto"/>
            </w:tcBorders>
            <w:gridSpan w:val="5"/>
          </w:tcPr>
          <w:p>
            <w:pPr>
              <w:jc w:val="right"/>
              <w:ind w:right="294"/>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46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Reserve for loan losses at beginning of period</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85,545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108,165</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(Recovery of) provision for loan losses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(4,928)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1,506</w:t>
            </w:r>
          </w:p>
        </w:tc>
      </w:tr>
      <w:tr>
        <w:trPr>
          <w:trHeight w:val="27"/>
        </w:trPr>
        <w:tc>
          <w:tcPr>
            <w:tcW w:w="4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Reserve for loan losses at end of period</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79,389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109,671</w:t>
            </w:r>
          </w:p>
        </w:tc>
      </w:tr>
      <w:tr>
        <w:trPr>
          <w:trHeight w:val="20"/>
        </w:trPr>
        <w:tc>
          <w:tcPr>
            <w:tcW w:w="4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recorded investment in loans (comprised of a loan's carrying value plus accrued interest) and the associated reserve for loan losses were as follows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Individually</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Collectively</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Impairment</w:t>
            </w:r>
            <w:r>
              <w:rPr>
                <w:rFonts w:ascii="Arial" w:cs="Arial" w:eastAsia="Arial" w:hAnsi="Arial"/>
                <w:sz w:val="8"/>
                <w:szCs w:val="8"/>
                <w:b w:val="1"/>
                <w:bCs w:val="1"/>
                <w:color w:val="auto"/>
              </w:rPr>
              <w:t>(1)</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Impairment</w:t>
            </w:r>
            <w:r>
              <w:rPr>
                <w:rFonts w:ascii="Arial" w:cs="Arial" w:eastAsia="Arial" w:hAnsi="Arial"/>
                <w:sz w:val="8"/>
                <w:szCs w:val="8"/>
                <w:b w:val="1"/>
                <w:bCs w:val="1"/>
                <w:color w:val="auto"/>
                <w:w w:val="98"/>
              </w:rPr>
              <w:t>(2)</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2017</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Loans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250,801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1,135,134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1,385,935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(79,389)</w:t>
            </w:r>
          </w:p>
        </w:tc>
        <w:tc>
          <w:tcPr>
            <w:tcW w:w="0" w:type="dxa"/>
            <w:vAlign w:val="bottom"/>
          </w:tcPr>
          <w:p>
            <w:pPr>
              <w:spacing w:after="0"/>
              <w:rPr>
                <w:sz w:val="1"/>
                <w:szCs w:val="1"/>
                <w:color w:val="auto"/>
              </w:rPr>
            </w:pPr>
          </w:p>
        </w:tc>
      </w:tr>
      <w:tr>
        <w:trPr>
          <w:trHeight w:val="304"/>
        </w:trPr>
        <w:tc>
          <w:tcPr>
            <w:tcW w:w="4280" w:type="dxa"/>
            <w:vAlign w:val="bottom"/>
            <w:tcBorders>
              <w:bottom w:val="single" w:sz="8" w:color="CCEEFF"/>
            </w:tcBorders>
          </w:tcPr>
          <w:p>
            <w:pPr>
              <w:ind w:left="18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189,812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1,116,734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1,306,546</w:t>
            </w:r>
          </w:p>
        </w:tc>
        <w:tc>
          <w:tcPr>
            <w:tcW w:w="0" w:type="dxa"/>
            <w:vAlign w:val="bottom"/>
          </w:tcPr>
          <w:p>
            <w:pPr>
              <w:spacing w:after="0"/>
              <w:rPr>
                <w:sz w:val="1"/>
                <w:szCs w:val="1"/>
                <w:color w:val="auto"/>
              </w:rPr>
            </w:pPr>
          </w:p>
        </w:tc>
      </w:tr>
      <w:tr>
        <w:trPr>
          <w:trHeight w:val="231"/>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Loans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253,941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1,209,062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1,463,003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(85,545)</w:t>
            </w:r>
          </w:p>
        </w:tc>
        <w:tc>
          <w:tcPr>
            <w:tcW w:w="0" w:type="dxa"/>
            <w:vAlign w:val="bottom"/>
          </w:tcPr>
          <w:p>
            <w:pPr>
              <w:spacing w:after="0"/>
              <w:rPr>
                <w:sz w:val="1"/>
                <w:szCs w:val="1"/>
                <w:color w:val="auto"/>
              </w:rPr>
            </w:pPr>
          </w:p>
        </w:tc>
      </w:tr>
      <w:tr>
        <w:trPr>
          <w:trHeight w:val="297"/>
        </w:trPr>
        <w:tc>
          <w:tcPr>
            <w:tcW w:w="4280" w:type="dxa"/>
            <w:vAlign w:val="bottom"/>
          </w:tcPr>
          <w:p>
            <w:pPr>
              <w:ind w:left="180"/>
              <w:spacing w:after="0"/>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191,696</w:t>
            </w:r>
          </w:p>
        </w:tc>
        <w:tc>
          <w:tcPr>
            <w:tcW w:w="120" w:type="dxa"/>
            <w:vAlign w:val="bottom"/>
          </w:tcPr>
          <w:p>
            <w:pPr>
              <w:spacing w:after="0"/>
              <w:rPr>
                <w:sz w:val="24"/>
                <w:szCs w:val="24"/>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1,185,762</w:t>
            </w:r>
          </w:p>
        </w:tc>
        <w:tc>
          <w:tcPr>
            <w:tcW w:w="100" w:type="dxa"/>
            <w:vAlign w:val="bottom"/>
          </w:tcPr>
          <w:p>
            <w:pPr>
              <w:spacing w:after="0"/>
              <w:rPr>
                <w:sz w:val="24"/>
                <w:szCs w:val="24"/>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1,377,458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-20955</wp:posOffset>
            </wp:positionV>
            <wp:extent cx="317309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73095" cy="260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 w:lineRule="exact"/>
        <w:rPr>
          <w:sz w:val="20"/>
          <w:szCs w:val="20"/>
          <w:color w:val="auto"/>
        </w:rPr>
      </w:pPr>
    </w:p>
    <w:p>
      <w:pPr>
        <w:jc w:val="both"/>
        <w:ind w:left="500" w:hanging="492"/>
        <w:spacing w:after="0" w:line="241"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totaling net discounts of $0.7 million and $0.4 million as of March 31, 2017 and December 31, 2016, respectively. The Company's loans individually evaluated for impairment primarily represent loans on non-accrual status and therefore, the unamortized amounts associated with these loans are not currently being amortized into income.</w:t>
      </w:r>
    </w:p>
    <w:p>
      <w:pPr>
        <w:spacing w:after="0" w:line="1" w:lineRule="exact"/>
        <w:rPr>
          <w:rFonts w:ascii="Arial" w:cs="Arial" w:eastAsia="Arial" w:hAnsi="Arial"/>
          <w:sz w:val="14"/>
          <w:szCs w:val="14"/>
          <w:color w:val="auto"/>
        </w:rPr>
      </w:pPr>
    </w:p>
    <w:p>
      <w:pPr>
        <w:ind w:left="500" w:right="20" w:hanging="492"/>
        <w:spacing w:after="0" w:line="241"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totaling net premiums of $2.9 million and $1.9 million as of March 31, 2017 and December 31, 2016, respectively.</w:t>
      </w:r>
    </w:p>
    <w:p>
      <w:pPr>
        <w:jc w:val="both"/>
        <w:ind w:left="500" w:hanging="492"/>
        <w:spacing w:after="0" w:line="248"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recorded investment in loans as of March 31, 2017 and December 31, 2016 includes accrued interest of $6.7 million and $6.9 million, respectively, which are included in "Accrued interest and operating lease income receivable, net" on the Company's consolidated balance sheets. As of March 31, 2017 and December 31, 2016, excludes $81.4 million and $79.9 million, respectively, of securities that are evaluated for impairment under ASC 320.</w:t>
      </w:r>
    </w:p>
    <w:p>
      <w:pPr>
        <w:spacing w:after="0" w:line="192"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7"/>
          <w:szCs w:val="17"/>
          <w:b w:val="1"/>
          <w:bCs w:val="1"/>
          <w:color w:val="auto"/>
        </w:rPr>
        <w:t>Credit Characteristics</w:t>
      </w:r>
      <w:r>
        <w:rPr>
          <w:rFonts w:ascii="Arial" w:cs="Arial" w:eastAsia="Arial" w:hAnsi="Arial"/>
          <w:sz w:val="17"/>
          <w:szCs w:val="17"/>
          <w:color w:val="auto"/>
        </w:rPr>
        <w:t>—As part of the Company's process for monitoring the credit quality of its loans, it performs a quarterly loan portfolio</w:t>
      </w:r>
      <w:r>
        <w:rPr>
          <w:rFonts w:ascii="Arial" w:cs="Arial" w:eastAsia="Arial" w:hAnsi="Arial"/>
          <w:sz w:val="17"/>
          <w:szCs w:val="17"/>
          <w:b w:val="1"/>
          <w:bCs w:val="1"/>
          <w:color w:val="auto"/>
        </w:rPr>
        <w:t xml:space="preserve"> </w:t>
      </w:r>
      <w:r>
        <w:rPr>
          <w:rFonts w:ascii="Arial" w:cs="Arial" w:eastAsia="Arial" w:hAnsi="Arial"/>
          <w:sz w:val="17"/>
          <w:szCs w:val="17"/>
          <w:color w:val="auto"/>
        </w:rPr>
        <w:t>assessment and assigns risk ratings to each of its performing loans. Risk ratings, which range from 1 (lower risk) to 5 (higher risk), are based on judgments which are inherently uncertain and there can be no assurance that actual performance will be similar to current expectation. The Company designates loans as non-performing at such time as: (1) the loan becomes 90 days delinquent; (2) the loan has a maturity default; or (3) management determines it is probable that we will be unable to collect all amounts due according to the contractual terms of the loan. All non-performing loans are placed on non-accrual status and income is only recognized in certain cases upon actual cash receipt.</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recorded investment in performing loans, presented by class and by credit quality, as indicated by risk rating, was as follows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b w:val="1"/>
                <w:bCs w:val="1"/>
                <w:color w:val="auto"/>
              </w:rPr>
              <w:t>As of March 31, 2017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As of December 31, 2016</w:t>
            </w: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Performing</w:t>
            </w:r>
          </w:p>
        </w:tc>
        <w:tc>
          <w:tcPr>
            <w:tcW w:w="120" w:type="dxa"/>
            <w:vAlign w:val="bottom"/>
          </w:tcPr>
          <w:p>
            <w:pPr>
              <w:spacing w:after="0"/>
              <w:rPr>
                <w:sz w:val="13"/>
                <w:szCs w:val="13"/>
                <w:color w:val="auto"/>
              </w:rPr>
            </w:pPr>
          </w:p>
        </w:tc>
        <w:tc>
          <w:tcPr>
            <w:tcW w:w="15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3"/>
                <w:szCs w:val="13"/>
                <w:color w:val="auto"/>
              </w:rPr>
            </w:pPr>
          </w:p>
        </w:tc>
        <w:tc>
          <w:tcPr>
            <w:tcW w:w="120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Performing</w:t>
            </w:r>
          </w:p>
        </w:tc>
        <w:tc>
          <w:tcPr>
            <w:tcW w:w="120" w:type="dxa"/>
            <w:vAlign w:val="bottom"/>
          </w:tcPr>
          <w:p>
            <w:pPr>
              <w:spacing w:after="0"/>
              <w:rPr>
                <w:sz w:val="13"/>
                <w:szCs w:val="13"/>
                <w:color w:val="auto"/>
              </w:rPr>
            </w:pP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Risk Ratings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Risk Ratings</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756,720</w:t>
            </w:r>
          </w:p>
        </w:tc>
        <w:tc>
          <w:tcPr>
            <w:tcW w:w="15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859,250</w:t>
            </w:r>
          </w:p>
        </w:tc>
        <w:tc>
          <w:tcPr>
            <w:tcW w:w="15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24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364,159</w:t>
            </w:r>
          </w:p>
        </w:tc>
        <w:tc>
          <w:tcPr>
            <w:tcW w:w="1520" w:type="dxa"/>
            <w:vAlign w:val="bottom"/>
            <w:gridSpan w:val="2"/>
          </w:tcPr>
          <w:p>
            <w:pPr>
              <w:jc w:val="right"/>
              <w:ind w:right="28"/>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335,677</w:t>
            </w:r>
          </w:p>
        </w:tc>
        <w:tc>
          <w:tcPr>
            <w:tcW w:w="1540" w:type="dxa"/>
            <w:vAlign w:val="bottom"/>
            <w:gridSpan w:val="2"/>
          </w:tcPr>
          <w:p>
            <w:pPr>
              <w:jc w:val="right"/>
              <w:ind w:right="28"/>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14,255</w:t>
            </w:r>
          </w:p>
        </w:tc>
        <w:tc>
          <w:tcPr>
            <w:tcW w:w="15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14,135</w:t>
            </w:r>
          </w:p>
        </w:tc>
        <w:tc>
          <w:tcPr>
            <w:tcW w:w="15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57"/>
        </w:trPr>
        <w:tc>
          <w:tcPr>
            <w:tcW w:w="3460" w:type="dxa"/>
            <w:vAlign w:val="bottom"/>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1,135,134</w:t>
            </w:r>
          </w:p>
        </w:tc>
        <w:tc>
          <w:tcPr>
            <w:tcW w:w="1520" w:type="dxa"/>
            <w:vAlign w:val="bottom"/>
            <w:gridSpan w:val="2"/>
          </w:tcPr>
          <w:p>
            <w:pPr>
              <w:jc w:val="right"/>
              <w:ind w:right="28"/>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1,209,062</w:t>
            </w:r>
          </w:p>
        </w:tc>
        <w:tc>
          <w:tcPr>
            <w:tcW w:w="1540" w:type="dxa"/>
            <w:vAlign w:val="bottom"/>
            <w:gridSpan w:val="2"/>
          </w:tcPr>
          <w:p>
            <w:pPr>
              <w:jc w:val="right"/>
              <w:ind w:right="28"/>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2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recorded investment in loans, aged by payment status and presented by class, were as follows ($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Less Than</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Greater</w:t>
            </w:r>
          </w:p>
        </w:tc>
        <w:tc>
          <w:tcPr>
            <w:tcW w:w="300" w:type="dxa"/>
            <w:vAlign w:val="bottom"/>
          </w:tcPr>
          <w:p>
            <w:pPr>
              <w:spacing w:after="0"/>
              <w:rPr>
                <w:sz w:val="14"/>
                <w:szCs w:val="14"/>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Current</w:t>
            </w: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and Equal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Than</w:t>
            </w: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to 90 Days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90 Days</w:t>
            </w:r>
            <w:r>
              <w:rPr>
                <w:rFonts w:ascii="Arial" w:cs="Arial" w:eastAsia="Arial" w:hAnsi="Arial"/>
                <w:sz w:val="8"/>
                <w:szCs w:val="8"/>
                <w:b w:val="1"/>
                <w:bCs w:val="1"/>
                <w:color w:val="auto"/>
                <w:w w:val="95"/>
              </w:rPr>
              <w:t>(1)</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Past Due</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2017</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Senior mortgages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762,720</w:t>
            </w:r>
          </w:p>
        </w:tc>
        <w:tc>
          <w:tcPr>
            <w:tcW w:w="120" w:type="dxa"/>
            <w:vAlign w:val="bottom"/>
          </w:tcPr>
          <w:p>
            <w:pPr>
              <w:spacing w:after="0"/>
              <w:rPr>
                <w:sz w:val="21"/>
                <w:szCs w:val="21"/>
                <w:color w:val="auto"/>
              </w:rPr>
            </w:pPr>
          </w:p>
        </w:tc>
        <w:tc>
          <w:tcPr>
            <w:tcW w:w="1140" w:type="dxa"/>
            <w:vAlign w:val="bottom"/>
          </w:tcPr>
          <w:p>
            <w:pPr>
              <w:jc w:val="right"/>
              <w:ind w:right="938"/>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76,454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76,454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839,174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364,159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157,303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521,462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25,299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25,299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1,152,178</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38"/>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233,757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233,757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1,385,935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868,505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8"/>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76,677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945,182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335,677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157,146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157,146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492,823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24,998</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24,998</w:t>
            </w:r>
          </w:p>
        </w:tc>
        <w:tc>
          <w:tcPr>
            <w:tcW w:w="0" w:type="dxa"/>
            <w:vAlign w:val="bottom"/>
          </w:tcPr>
          <w:p>
            <w:pPr>
              <w:spacing w:after="0"/>
              <w:rPr>
                <w:sz w:val="1"/>
                <w:szCs w:val="1"/>
                <w:color w:val="auto"/>
              </w:rPr>
            </w:pPr>
          </w:p>
        </w:tc>
      </w:tr>
      <w:tr>
        <w:trPr>
          <w:trHeight w:val="250"/>
        </w:trPr>
        <w:tc>
          <w:tcPr>
            <w:tcW w:w="3540" w:type="dxa"/>
            <w:vAlign w:val="bottom"/>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1,229,180</w:t>
            </w:r>
          </w:p>
        </w:tc>
        <w:tc>
          <w:tcPr>
            <w:tcW w:w="120" w:type="dxa"/>
            <w:vAlign w:val="bottom"/>
          </w:tcPr>
          <w:p>
            <w:pPr>
              <w:spacing w:after="0"/>
              <w:rPr>
                <w:sz w:val="21"/>
                <w:szCs w:val="21"/>
                <w:color w:val="auto"/>
              </w:rPr>
            </w:pPr>
          </w:p>
        </w:tc>
        <w:tc>
          <w:tcPr>
            <w:tcW w:w="1140" w:type="dxa"/>
            <w:vAlign w:val="bottom"/>
            <w:tcBorders>
              <w:top w:val="single" w:sz="8" w:color="auto"/>
            </w:tcBorders>
          </w:tcPr>
          <w:p>
            <w:pPr>
              <w:jc w:val="right"/>
              <w:ind w:right="938"/>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233,823</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233,823</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1,463,003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8890</wp:posOffset>
            </wp:positionV>
            <wp:extent cx="4999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-98425</wp:posOffset>
            </wp:positionV>
            <wp:extent cx="49999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jc w:val="both"/>
        <w:ind w:left="500" w:hanging="492"/>
        <w:spacing w:after="0" w:line="276" w:lineRule="auto"/>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of March 31, 2017, the Company had four loans which were greater than 90 days delinquent and were in various stages of resolution, including legal proceedings, environmental concerns and foreclosure-related proceedings, and ranged from 1.0 to 8.0 years outstanding. As of December 31, 2016, the Company had four loans which were greater than 90 days delinquent and were in various stages of resolution, including legal proceedings, environmental concerns and foreclosure-related proceedings, and ranged from 1.0 to 8.0 years outstanding.</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Impaired Loans</w:t>
      </w:r>
      <w:r>
        <w:rPr>
          <w:rFonts w:ascii="Arial" w:cs="Arial" w:eastAsia="Arial" w:hAnsi="Arial"/>
          <w:sz w:val="18"/>
          <w:szCs w:val="18"/>
          <w:color w:val="auto"/>
        </w:rPr>
        <w:t>—The Company's recorded investment in impaired loans, presented by class, were as follows ($ in thousands)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As of March 31, 2017</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w w:val="92"/>
              </w:rPr>
              <w:t>As of December 31, 2016</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Recorded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Unpaid</w:t>
            </w:r>
          </w:p>
        </w:tc>
        <w:tc>
          <w:tcPr>
            <w:tcW w:w="20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Related</w:t>
            </w:r>
          </w:p>
        </w:tc>
        <w:tc>
          <w:tcPr>
            <w:tcW w:w="200" w:type="dxa"/>
            <w:vAlign w:val="bottom"/>
          </w:tcPr>
          <w:p>
            <w:pPr>
              <w:spacing w:after="0"/>
              <w:rPr>
                <w:sz w:val="13"/>
                <w:szCs w:val="13"/>
                <w:color w:val="auto"/>
              </w:rPr>
            </w:pPr>
          </w:p>
        </w:tc>
        <w:tc>
          <w:tcPr>
            <w:tcW w:w="10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Recorded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Unpaid</w:t>
            </w:r>
          </w:p>
        </w:tc>
        <w:tc>
          <w:tcPr>
            <w:tcW w:w="220" w:type="dxa"/>
            <w:vAlign w:val="bottom"/>
          </w:tcPr>
          <w:p>
            <w:pPr>
              <w:spacing w:after="0"/>
              <w:rPr>
                <w:sz w:val="13"/>
                <w:szCs w:val="13"/>
                <w:color w:val="auto"/>
              </w:rPr>
            </w:pPr>
          </w:p>
        </w:tc>
        <w:tc>
          <w:tcPr>
            <w:tcW w:w="10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13"/>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6"/>
                <w:szCs w:val="16"/>
                <w:color w:val="auto"/>
              </w:rPr>
            </w:pPr>
          </w:p>
        </w:tc>
        <w:tc>
          <w:tcPr>
            <w:tcW w:w="1000" w:type="dxa"/>
            <w:vAlign w:val="bottom"/>
          </w:tcPr>
          <w:p>
            <w:pPr>
              <w:jc w:val="right"/>
              <w:ind w:right="153"/>
              <w:spacing w:after="0"/>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6"/>
                <w:szCs w:val="16"/>
                <w:color w:val="auto"/>
              </w:rPr>
            </w:pPr>
          </w:p>
        </w:tc>
        <w:tc>
          <w:tcPr>
            <w:tcW w:w="1040" w:type="dxa"/>
            <w:vAlign w:val="bottom"/>
          </w:tcPr>
          <w:p>
            <w:pPr>
              <w:jc w:val="right"/>
              <w:ind w:right="213"/>
              <w:spacing w:after="0"/>
              <w:rPr>
                <w:sz w:val="20"/>
                <w:szCs w:val="20"/>
                <w:color w:val="auto"/>
              </w:rPr>
            </w:pPr>
            <w:r>
              <w:rPr>
                <w:rFonts w:ascii="Arial" w:cs="Arial" w:eastAsia="Arial" w:hAnsi="Arial"/>
                <w:sz w:val="14"/>
                <w:szCs w:val="14"/>
                <w:b w:val="1"/>
                <w:bCs w:val="1"/>
                <w:color w:val="auto"/>
              </w:rPr>
              <w:t>Allowance</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 allowance recorded:</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Subordinate mortgages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11,044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11,027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10,862</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10,846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With an allowance recorded:</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82,571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85,933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(49,774)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Corporate/Partnership loans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157,303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146,783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157,146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146,783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(12,471)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239,757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229,354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243,079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232,563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(62,245)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82,571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85,933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(49,774)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Corporate/Partnership loans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157,303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146,783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157,146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146,783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(12,471)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Subordinate mortgages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250,801</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240,381</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(60,989)</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253,941</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243,409</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5137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-98425</wp:posOffset>
            </wp:positionV>
            <wp:extent cx="5137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ind w:left="500" w:hanging="49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All of the Company's non-accrual loans are considered impaired and included in the table above.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average recorded investment in impaired loans and interest income recognized, presented by class, were as follows ($ in thousands):</w:t>
      </w:r>
    </w:p>
    <w:p>
      <w:pPr>
        <w:spacing w:after="0" w:line="253"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6"/>
              </w:rPr>
              <w:t>For the Three Months Ended March 31,</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auto"/>
            </w:tcBorders>
          </w:tcPr>
          <w:p>
            <w:pPr>
              <w:spacing w:after="0"/>
              <w:rPr>
                <w:sz w:val="22"/>
                <w:szCs w:val="22"/>
                <w:color w:val="auto"/>
              </w:rPr>
            </w:pPr>
          </w:p>
        </w:tc>
      </w:tr>
      <w:tr>
        <w:trPr>
          <w:trHeight w:val="152"/>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15"/>
              <w:spacing w:after="0" w:line="153"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920" w:type="dxa"/>
            <w:vAlign w:val="bottom"/>
          </w:tcPr>
          <w:p>
            <w:pPr>
              <w:jc w:val="center"/>
              <w:ind w:right="54"/>
              <w:spacing w:after="0" w:line="153" w:lineRule="exact"/>
              <w:rPr>
                <w:sz w:val="20"/>
                <w:szCs w:val="20"/>
                <w:color w:val="auto"/>
              </w:rPr>
            </w:pPr>
            <w:r>
              <w:rPr>
                <w:rFonts w:ascii="Arial" w:cs="Arial" w:eastAsia="Arial" w:hAnsi="Arial"/>
                <w:sz w:val="14"/>
                <w:szCs w:val="14"/>
                <w:b w:val="1"/>
                <w:bCs w:val="1"/>
                <w:color w:val="auto"/>
                <w:w w:val="90"/>
              </w:rPr>
              <w:t>Interest</w:t>
            </w:r>
          </w:p>
        </w:tc>
      </w:tr>
      <w:tr>
        <w:trPr>
          <w:trHeight w:val="149"/>
        </w:trPr>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Recorded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Recorded</w:t>
            </w:r>
          </w:p>
        </w:tc>
        <w:tc>
          <w:tcPr>
            <w:tcW w:w="140" w:type="dxa"/>
            <w:vAlign w:val="bottom"/>
          </w:tcPr>
          <w:p>
            <w:pPr>
              <w:spacing w:after="0"/>
              <w:rPr>
                <w:sz w:val="12"/>
                <w:szCs w:val="12"/>
                <w:color w:val="auto"/>
              </w:rPr>
            </w:pPr>
          </w:p>
        </w:tc>
        <w:tc>
          <w:tcPr>
            <w:tcW w:w="92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3"/>
              </w:rPr>
              <w:t>Income</w:t>
            </w:r>
          </w:p>
        </w:tc>
      </w:tr>
      <w:tr>
        <w:trPr>
          <w:trHeight w:val="192"/>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Investment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16"/>
                <w:szCs w:val="16"/>
                <w:color w:val="auto"/>
              </w:rPr>
            </w:pPr>
          </w:p>
        </w:tc>
        <w:tc>
          <w:tcPr>
            <w:tcW w:w="92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Recognized</w:t>
            </w:r>
          </w:p>
        </w:tc>
      </w:tr>
      <w:tr>
        <w:trPr>
          <w:trHeight w:val="250"/>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With no related allowance recorded:</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160"/>
              <w:spacing w:after="0"/>
              <w:rPr>
                <w:sz w:val="20"/>
                <w:szCs w:val="20"/>
                <w:color w:val="auto"/>
              </w:rPr>
            </w:pPr>
            <w:r>
              <w:rPr>
                <w:rFonts w:ascii="Arial" w:cs="Arial" w:eastAsia="Arial" w:hAnsi="Arial"/>
                <w:sz w:val="18"/>
                <w:szCs w:val="18"/>
                <w:color w:val="auto"/>
              </w:rPr>
              <w:t>Senior mortgages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Subordinate mortgages</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37"/>
        </w:trPr>
        <w:tc>
          <w:tcPr>
            <w:tcW w:w="3900" w:type="dxa"/>
            <w:vAlign w:val="bottom"/>
          </w:tcPr>
          <w:p>
            <w:pPr>
              <w:ind w:left="380"/>
              <w:spacing w:after="0"/>
              <w:rPr>
                <w:sz w:val="20"/>
                <w:szCs w:val="20"/>
                <w:color w:val="auto"/>
              </w:rPr>
            </w:pPr>
            <w:r>
              <w:rPr>
                <w:rFonts w:ascii="Arial" w:cs="Arial" w:eastAsia="Arial" w:hAnsi="Arial"/>
                <w:sz w:val="18"/>
                <w:szCs w:val="18"/>
                <w:color w:val="auto"/>
              </w:rPr>
              <w:t>Subtotal</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With an allowance recorded:</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160"/>
              <w:spacing w:after="0"/>
              <w:rPr>
                <w:sz w:val="20"/>
                <w:szCs w:val="20"/>
                <w:color w:val="auto"/>
              </w:rPr>
            </w:pPr>
            <w:r>
              <w:rPr>
                <w:rFonts w:ascii="Arial" w:cs="Arial" w:eastAsia="Arial" w:hAnsi="Arial"/>
                <w:sz w:val="18"/>
                <w:szCs w:val="18"/>
                <w:color w:val="auto"/>
              </w:rPr>
              <w:t>Senior mortgages</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84,194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126,843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Corporate/Partnership loans</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157,224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37"/>
        </w:trPr>
        <w:tc>
          <w:tcPr>
            <w:tcW w:w="3900" w:type="dxa"/>
            <w:vAlign w:val="bottom"/>
          </w:tcPr>
          <w:p>
            <w:pPr>
              <w:ind w:left="380"/>
              <w:spacing w:after="0"/>
              <w:rPr>
                <w:sz w:val="20"/>
                <w:szCs w:val="20"/>
                <w:color w:val="auto"/>
              </w:rPr>
            </w:pPr>
            <w:r>
              <w:rPr>
                <w:rFonts w:ascii="Arial" w:cs="Arial" w:eastAsia="Arial" w:hAnsi="Arial"/>
                <w:sz w:val="18"/>
                <w:szCs w:val="18"/>
                <w:color w:val="auto"/>
              </w:rPr>
              <w:t>Subtotal</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241,418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132,414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160"/>
              <w:spacing w:after="0"/>
              <w:rPr>
                <w:sz w:val="20"/>
                <w:szCs w:val="20"/>
                <w:color w:val="auto"/>
              </w:rPr>
            </w:pPr>
            <w:r>
              <w:rPr>
                <w:rFonts w:ascii="Arial" w:cs="Arial" w:eastAsia="Arial" w:hAnsi="Arial"/>
                <w:sz w:val="18"/>
                <w:szCs w:val="18"/>
                <w:color w:val="auto"/>
              </w:rPr>
              <w:t>Senior mortgages</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84,194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131,385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Corporate/Partnership loans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157,224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43"/>
        </w:trPr>
        <w:tc>
          <w:tcPr>
            <w:tcW w:w="3900" w:type="dxa"/>
            <w:vAlign w:val="bottom"/>
          </w:tcPr>
          <w:p>
            <w:pPr>
              <w:ind w:left="160"/>
              <w:spacing w:after="0"/>
              <w:rPr>
                <w:sz w:val="20"/>
                <w:szCs w:val="20"/>
                <w:color w:val="auto"/>
              </w:rPr>
            </w:pPr>
            <w:r>
              <w:rPr>
                <w:rFonts w:ascii="Arial" w:cs="Arial" w:eastAsia="Arial" w:hAnsi="Arial"/>
                <w:sz w:val="18"/>
                <w:szCs w:val="18"/>
                <w:color w:val="auto"/>
              </w:rPr>
              <w:t>Subordinate mortgages</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10,953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252,371</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—Other lending investments—securities includes the following ($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Face Value</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Amortized Cost</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Unrealized Gain</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Estimated Fair</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Net Carrying Value</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Basis</w:t>
            </w:r>
          </w:p>
        </w:tc>
        <w:tc>
          <w:tcPr>
            <w:tcW w:w="30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2017</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21,639</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Held-to-Maturity Securities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59,867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59,742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62,063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59,742</w:t>
            </w:r>
          </w:p>
        </w:tc>
        <w:tc>
          <w:tcPr>
            <w:tcW w:w="0" w:type="dxa"/>
            <w:vAlign w:val="bottom"/>
          </w:tcPr>
          <w:p>
            <w:pPr>
              <w:spacing w:after="0"/>
              <w:rPr>
                <w:sz w:val="1"/>
                <w:szCs w:val="1"/>
                <w:color w:val="auto"/>
              </w:rPr>
            </w:pPr>
          </w:p>
        </w:tc>
      </w:tr>
      <w:tr>
        <w:trPr>
          <w:trHeight w:val="297"/>
        </w:trPr>
        <w:tc>
          <w:tcPr>
            <w:tcW w:w="3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81,097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80,972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2,730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83,702</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81,381</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21,666</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Held-to-Maturity Securities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61,003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58,250</w:t>
            </w:r>
          </w:p>
        </w:tc>
        <w:tc>
          <w:tcPr>
            <w:tcW w:w="0" w:type="dxa"/>
            <w:vAlign w:val="bottom"/>
          </w:tcPr>
          <w:p>
            <w:pPr>
              <w:spacing w:after="0"/>
              <w:rPr>
                <w:sz w:val="1"/>
                <w:szCs w:val="1"/>
                <w:color w:val="auto"/>
              </w:rPr>
            </w:pPr>
          </w:p>
        </w:tc>
      </w:tr>
      <w:tr>
        <w:trPr>
          <w:trHeight w:val="257"/>
        </w:trPr>
        <w:tc>
          <w:tcPr>
            <w:tcW w:w="3080" w:type="dxa"/>
            <w:vAlign w:val="bottom"/>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79,694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79,490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82,669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79,916</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122" w:right="5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other investments and its proportionate share of earnings (losses) from equity method investments were as follows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Equity in Earnings (Losses)</w:t>
            </w:r>
          </w:p>
        </w:tc>
      </w:tr>
      <w:tr>
        <w:trPr>
          <w:trHeight w:val="276"/>
        </w:trPr>
        <w:tc>
          <w:tcPr>
            <w:tcW w:w="2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4"/>
                <w:szCs w:val="14"/>
                <w:b w:val="1"/>
                <w:bCs w:val="1"/>
                <w:color w:val="auto"/>
              </w:rPr>
              <w:t>Carrying Value as of</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264"/>
        </w:trPr>
        <w:tc>
          <w:tcPr>
            <w:tcW w:w="2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Pr>
          <w:p>
            <w:pPr>
              <w:spacing w:after="0"/>
              <w:rPr>
                <w:sz w:val="22"/>
                <w:szCs w:val="22"/>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Pr>
          <w:p>
            <w:pPr>
              <w:spacing w:after="0"/>
              <w:rPr>
                <w:sz w:val="22"/>
                <w:szCs w:val="22"/>
                <w:color w:val="auto"/>
              </w:rPr>
            </w:pPr>
          </w:p>
        </w:tc>
        <w:tc>
          <w:tcPr>
            <w:tcW w:w="1360" w:type="dxa"/>
            <w:vAlign w:val="bottom"/>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250"/>
        </w:trPr>
        <w:tc>
          <w:tcPr>
            <w:tcW w:w="2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equity investments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9"/>
        </w:trPr>
        <w:tc>
          <w:tcPr>
            <w:tcW w:w="2960" w:type="dxa"/>
            <w:vAlign w:val="bottom"/>
          </w:tcPr>
          <w:p>
            <w:pPr>
              <w:ind w:left="40"/>
              <w:spacing w:after="0"/>
              <w:rPr>
                <w:sz w:val="20"/>
                <w:szCs w:val="20"/>
                <w:color w:val="auto"/>
              </w:rPr>
            </w:pPr>
            <w:r>
              <w:rPr>
                <w:rFonts w:ascii="Arial" w:cs="Arial" w:eastAsia="Arial" w:hAnsi="Arial"/>
                <w:sz w:val="18"/>
                <w:szCs w:val="18"/>
                <w:color w:val="auto"/>
              </w:rPr>
              <w:t>iStar Net Lease I LLC ("Net Lease</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960" w:type="dxa"/>
            <w:vAlign w:val="bottom"/>
          </w:tcPr>
          <w:p>
            <w:pPr>
              <w:ind w:left="40"/>
              <w:spacing w:after="0"/>
              <w:rPr>
                <w:sz w:val="20"/>
                <w:szCs w:val="20"/>
                <w:color w:val="auto"/>
              </w:rPr>
            </w:pPr>
            <w:r>
              <w:rPr>
                <w:rFonts w:ascii="Arial" w:cs="Arial" w:eastAsia="Arial" w:hAnsi="Arial"/>
                <w:sz w:val="18"/>
                <w:szCs w:val="18"/>
                <w:color w:val="auto"/>
              </w:rPr>
              <w:t>Venture")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92,024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92,669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946</w:t>
            </w:r>
          </w:p>
        </w:tc>
      </w:tr>
      <w:tr>
        <w:trPr>
          <w:trHeight w:val="27"/>
        </w:trPr>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Marina Palms, LLC ("Marina Palms")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8,221</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Other real estate equity investments</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53,202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(1,702)</w:t>
            </w:r>
          </w:p>
        </w:tc>
      </w:tr>
      <w:tr>
        <w:trPr>
          <w:trHeight w:val="27"/>
        </w:trPr>
        <w:tc>
          <w:tcPr>
            <w:tcW w:w="2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7,465</w:t>
            </w:r>
          </w:p>
        </w:tc>
      </w:tr>
      <w:tr>
        <w:trPr>
          <w:trHeight w:val="270"/>
        </w:trPr>
        <w:tc>
          <w:tcPr>
            <w:tcW w:w="29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Other strategic investments</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33,350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r>
      <w:tr>
        <w:trPr>
          <w:trHeight w:val="257"/>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8,267</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-98425</wp:posOffset>
            </wp:positionV>
            <wp:extent cx="40989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ind w:left="500" w:hanging="492"/>
        <w:spacing w:after="0" w:line="255"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conjunction with the sale of the Company's interests in Oak Hill Advisors, L.P. in 2011, the Company retained a share of the carried interest related to various funds. During the three months ended March 31, 2016, the Company recognized $3.2 million of carried interest income.</w:t>
      </w:r>
    </w:p>
    <w:p>
      <w:pPr>
        <w:spacing w:after="0" w:line="13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b w:val="1"/>
          <w:bCs w:val="1"/>
          <w:color w:val="auto"/>
        </w:rPr>
        <w:t>Net Lease Venture</w:t>
      </w:r>
      <w:r>
        <w:rPr>
          <w:rFonts w:ascii="Arial" w:cs="Arial" w:eastAsia="Arial" w:hAnsi="Arial"/>
          <w:sz w:val="17"/>
          <w:szCs w:val="17"/>
          <w:color w:val="auto"/>
        </w:rPr>
        <w:t>—In February 2014, the Company partnered with a sovereign wealth fund to form an unconsolidated entity in which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has an equity interest of approximately 51.9%. The partners plan to contribute up to an aggregate $500 million of equity to acquire and develop net lease assets over time. The Company is responsible for sourcing new opportunities and managing the venture and its assets in exchange for a promote and management fee. Several of the Company's senior executives whose time is substantially devoted to the Net Lease Venture own a total of 0.6% equity ownership in the venture via co-investment. These senior executives are also entitled to an amount equal to 50% of any promote payment received based on the 47.5% partner's interest. As of March 31, 2017 and December 31, 2016, the venture's carrying value of total assets was $516.5 million and $511.3 million, respectively. During the three months ended March 31, 2017 and 2016, the Company recorded $0.5 million and $0.4 million of management fees, respectively, from the Net Lease Venture which are included in "Other income" in the Company's consolidated statements of operations. This entity is not a VIE and the Company does not have controlling interest due to the substantive participating rights of its partner.</w:t>
      </w:r>
    </w:p>
    <w:p>
      <w:pPr>
        <w:spacing w:after="0" w:line="12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Marina Palms</w:t>
      </w:r>
      <w:r>
        <w:rPr>
          <w:rFonts w:ascii="Arial" w:cs="Arial" w:eastAsia="Arial" w:hAnsi="Arial"/>
          <w:sz w:val="18"/>
          <w:szCs w:val="18"/>
          <w:color w:val="auto"/>
        </w:rPr>
        <w:t>—As of March 31, 2017, the Company owned a 47.5% equity interest in Marina Palms, a 468 unit, two tower residential condominium</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in North Miami Beach, Florida. The 234 unit north tower has one unit remaining for sale as of March 31, 2017. The 234 unit south tower is 84% sold or pre-sold (based on unit count) as of March 31, 2017. This entity is not a VIE and the Company does not have controlling interest due to shared control of the entity with its partner. As of March 31, 2017 and December 31, 2016, the venture's carrying value of total assets was $98.3 million and $201.8 million, respectively.</w:t>
      </w:r>
    </w:p>
    <w:p>
      <w:pPr>
        <w:spacing w:after="0" w:line="13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Other real estate equity investments</w:t>
      </w:r>
      <w:r>
        <w:rPr>
          <w:rFonts w:ascii="Arial" w:cs="Arial" w:eastAsia="Arial" w:hAnsi="Arial"/>
          <w:sz w:val="17"/>
          <w:szCs w:val="17"/>
          <w:color w:val="auto"/>
        </w:rPr>
        <w:t>—As of March 31, 2017, the Company's other real estate equity investments included equity interests in real</w:t>
      </w:r>
      <w:r>
        <w:rPr>
          <w:rFonts w:ascii="Arial" w:cs="Arial" w:eastAsia="Arial" w:hAnsi="Arial"/>
          <w:sz w:val="17"/>
          <w:szCs w:val="17"/>
          <w:b w:val="1"/>
          <w:bCs w:val="1"/>
          <w:color w:val="auto"/>
        </w:rPr>
        <w:t xml:space="preserve"> </w:t>
      </w:r>
      <w:r>
        <w:rPr>
          <w:rFonts w:ascii="Arial" w:cs="Arial" w:eastAsia="Arial" w:hAnsi="Arial"/>
          <w:sz w:val="17"/>
          <w:szCs w:val="17"/>
          <w:color w:val="auto"/>
        </w:rPr>
        <w:t>estate ventures ranging from 20% to 85%, comprised of investments of $3.2 million in operating properties and $50.0 million in land assets. As of December 31, 2016, the Company's other real estate equity investments included $3.6 million in operating properties and $49.6 million in land assets.</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December 2016, the Company sold a land and development asset to a newly formed unconsolidated entity in which the Company owns a 50.0% equity interest. This entity is a VIE and the Company does not have a controlling interest due to shared control of the entity with its partner. The Company and its partner both made $7.0 million contributions to the venture and the Company provided financing to the entity in the form of a $27.0 million senior loan commitment, which had a carrying value of $23.1 million and $22.7 million as of March 31, 2017 and December 31, 2016, respectively, and is included in "Loans receivable and other lending investments, net" on the Company's consolidated balance sheets. During the three months ended March 31, 2017, the Company recorded $0.4 million of interest income on the senior loan.</w:t>
      </w:r>
    </w:p>
    <w:p>
      <w:pPr>
        <w:spacing w:after="0" w:line="189"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Other strategic investments</w:t>
      </w:r>
      <w:r>
        <w:rPr>
          <w:rFonts w:ascii="Arial" w:cs="Arial" w:eastAsia="Arial" w:hAnsi="Arial"/>
          <w:sz w:val="18"/>
          <w:szCs w:val="18"/>
          <w:color w:val="auto"/>
        </w:rPr>
        <w:t>—As of March 31, 2017, the Company also had smaller investments in real estate related funds and other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several other entities that were accounted for under the equity method or cost method. As of</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March 31, 2017 and December 31, 2016, the carrying value of the Company's cost method investments was $0.9 million and $1.4 million, respectively.</w:t>
      </w:r>
    </w:p>
    <w:p>
      <w:pPr>
        <w:spacing w:after="0" w:line="327" w:lineRule="exact"/>
        <w:rPr>
          <w:sz w:val="20"/>
          <w:szCs w:val="20"/>
          <w:color w:val="auto"/>
        </w:rPr>
      </w:pPr>
    </w:p>
    <w:p>
      <w:pPr>
        <w:ind w:right="20" w:firstLine="432"/>
        <w:spacing w:after="0" w:line="313" w:lineRule="auto"/>
        <w:rPr>
          <w:sz w:val="20"/>
          <w:szCs w:val="20"/>
          <w:color w:val="auto"/>
        </w:rPr>
      </w:pPr>
      <w:r>
        <w:rPr>
          <w:rFonts w:ascii="Arial" w:cs="Arial" w:eastAsia="Arial" w:hAnsi="Arial"/>
          <w:sz w:val="17"/>
          <w:szCs w:val="17"/>
          <w:b w:val="1"/>
          <w:bCs w:val="1"/>
          <w:color w:val="auto"/>
        </w:rPr>
        <w:t>Summarized investee financial information</w:t>
      </w:r>
      <w:r>
        <w:rPr>
          <w:rFonts w:ascii="Arial" w:cs="Arial" w:eastAsia="Arial" w:hAnsi="Arial"/>
          <w:sz w:val="17"/>
          <w:szCs w:val="17"/>
          <w:color w:val="auto"/>
        </w:rPr>
        <w:t>—The following table presents the investee level summarized financial information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equity method investments, which were significant subsidiaries for the three months ended March 31, 2017 and 2016 ($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238"/>
              <w:spacing w:after="0"/>
              <w:rPr>
                <w:sz w:val="20"/>
                <w:szCs w:val="20"/>
                <w:color w:val="auto"/>
              </w:rPr>
            </w:pPr>
            <w:r>
              <w:rPr>
                <w:rFonts w:ascii="Arial" w:cs="Arial" w:eastAsia="Arial" w:hAnsi="Arial"/>
                <w:sz w:val="14"/>
                <w:szCs w:val="14"/>
                <w:b w:val="1"/>
                <w:bCs w:val="1"/>
                <w:color w:val="auto"/>
              </w:rPr>
              <w:t>Net Income</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2"/>
                <w:szCs w:val="12"/>
                <w:color w:val="auto"/>
              </w:rPr>
            </w:pPr>
          </w:p>
        </w:tc>
        <w:tc>
          <w:tcPr>
            <w:tcW w:w="1180" w:type="dxa"/>
            <w:vAlign w:val="bottom"/>
          </w:tcPr>
          <w:p>
            <w:pPr>
              <w:jc w:val="right"/>
              <w:ind w:right="118"/>
              <w:spacing w:after="0" w:line="149" w:lineRule="exact"/>
              <w:rPr>
                <w:sz w:val="20"/>
                <w:szCs w:val="20"/>
                <w:color w:val="auto"/>
              </w:rPr>
            </w:pPr>
            <w:r>
              <w:rPr>
                <w:rFonts w:ascii="Arial" w:cs="Arial" w:eastAsia="Arial" w:hAnsi="Arial"/>
                <w:sz w:val="14"/>
                <w:szCs w:val="14"/>
                <w:b w:val="1"/>
                <w:bCs w:val="1"/>
                <w:color w:val="auto"/>
              </w:rPr>
              <w:t>Attributable to</w:t>
            </w: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Arial" w:cs="Arial" w:eastAsia="Arial" w:hAnsi="Arial"/>
                <w:sz w:val="14"/>
                <w:szCs w:val="14"/>
                <w:b w:val="1"/>
                <w:bCs w:val="1"/>
                <w:color w:val="auto"/>
                <w:w w:val="97"/>
              </w:rPr>
              <w:t>Parent Entities</w:t>
            </w:r>
          </w:p>
        </w:tc>
        <w:tc>
          <w:tcPr>
            <w:tcW w:w="0" w:type="dxa"/>
            <w:vAlign w:val="bottom"/>
          </w:tcPr>
          <w:p>
            <w:pPr>
              <w:spacing w:after="0"/>
              <w:rPr>
                <w:sz w:val="1"/>
                <w:szCs w:val="1"/>
                <w:color w:val="auto"/>
              </w:rPr>
            </w:pPr>
          </w:p>
        </w:tc>
      </w:tr>
      <w:tr>
        <w:trPr>
          <w:trHeight w:val="250"/>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2017</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Marina Palms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23,669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8,758</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 Venture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324"/>
        </w:trPr>
        <w:tc>
          <w:tcPr>
            <w:tcW w:w="5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2016</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Marina Palms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50,628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25,117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Lease Venture</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7,830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7"/>
        </w:trPr>
        <w:tc>
          <w:tcPr>
            <w:tcW w:w="5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8—Other Assets and Other Liabilities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expenses and other assets, net, consist of the following items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 2017</w:t>
            </w:r>
          </w:p>
        </w:tc>
        <w:tc>
          <w:tcPr>
            <w:tcW w:w="140" w:type="dxa"/>
            <w:vAlign w:val="bottom"/>
          </w:tcPr>
          <w:p>
            <w:pPr>
              <w:spacing w:after="0"/>
              <w:rPr>
                <w:sz w:val="22"/>
                <w:szCs w:val="22"/>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70"/>
        </w:trPr>
        <w:tc>
          <w:tcPr>
            <w:tcW w:w="58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Intangible assets, net</w:t>
            </w:r>
            <w:r>
              <w:rPr>
                <w:rFonts w:ascii="Arial" w:cs="Arial" w:eastAsia="Arial" w:hAnsi="Arial"/>
                <w:sz w:val="25"/>
                <w:szCs w:val="25"/>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61,723</w:t>
            </w:r>
          </w:p>
        </w:tc>
        <w:tc>
          <w:tcPr>
            <w:tcW w:w="10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63,098</w:t>
            </w:r>
          </w:p>
        </w:tc>
        <w:tc>
          <w:tcPr>
            <w:tcW w:w="0" w:type="dxa"/>
            <w:vAlign w:val="bottom"/>
          </w:tcPr>
          <w:p>
            <w:pPr>
              <w:spacing w:after="0"/>
              <w:rPr>
                <w:sz w:val="1"/>
                <w:szCs w:val="1"/>
                <w:color w:val="auto"/>
              </w:rPr>
            </w:pPr>
          </w:p>
        </w:tc>
      </w:tr>
      <w:tr>
        <w:trPr>
          <w:trHeight w:val="270"/>
        </w:trPr>
        <w:tc>
          <w:tcPr>
            <w:tcW w:w="5860" w:type="dxa"/>
            <w:vAlign w:val="bottom"/>
          </w:tcPr>
          <w:p>
            <w:pPr>
              <w:ind w:left="40"/>
              <w:spacing w:after="0" w:line="270" w:lineRule="exact"/>
              <w:rPr>
                <w:sz w:val="20"/>
                <w:szCs w:val="20"/>
                <w:color w:val="auto"/>
              </w:rPr>
            </w:pPr>
            <w:r>
              <w:rPr>
                <w:rFonts w:ascii="Arial" w:cs="Arial" w:eastAsia="Arial" w:hAnsi="Arial"/>
                <w:sz w:val="18"/>
                <w:szCs w:val="18"/>
                <w:color w:val="auto"/>
              </w:rPr>
              <w:t>Other receivables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51,047</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52,820</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47,877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39,591</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26,290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25,883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Leasing costs, net</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11,812</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12,566</w:t>
            </w:r>
          </w:p>
        </w:tc>
        <w:tc>
          <w:tcPr>
            <w:tcW w:w="0" w:type="dxa"/>
            <w:vAlign w:val="bottom"/>
          </w:tcPr>
          <w:p>
            <w:pPr>
              <w:spacing w:after="0"/>
              <w:rPr>
                <w:sz w:val="1"/>
                <w:szCs w:val="1"/>
                <w:color w:val="auto"/>
              </w:rPr>
            </w:pPr>
          </w:p>
        </w:tc>
      </w:tr>
      <w:tr>
        <w:trPr>
          <w:trHeight w:val="270"/>
        </w:trPr>
        <w:tc>
          <w:tcPr>
            <w:tcW w:w="58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Corporate furniture, fixtures and equipment, net</w:t>
            </w:r>
            <w:r>
              <w:rPr>
                <w:rFonts w:ascii="Arial" w:cs="Arial" w:eastAsia="Arial" w:hAnsi="Arial"/>
                <w:sz w:val="25"/>
                <w:szCs w:val="25"/>
                <w:color w:val="auto"/>
                <w:vertAlign w:val="superscript"/>
              </w:rPr>
              <w:t>(4)</w:t>
            </w:r>
          </w:p>
        </w:tc>
        <w:tc>
          <w:tcPr>
            <w:tcW w:w="2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5,399</w:t>
            </w: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5,691</w:t>
            </w: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expenses and other assets,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204,148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199,649</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4"/>
                <w:szCs w:val="14"/>
                <w:color w:val="auto"/>
                <w:w w:val="94"/>
              </w:rPr>
              <w:t>_______________________________________________________________________________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500" w:hanging="492"/>
        <w:spacing w:after="0" w:line="241"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Intangible assets, net includes above market and in-place lease assets and lease incentives related to the acquisition of real estate assets. Accumulated amortization on intangible assets, net was $33.2 million and $32.6 million as of March 31, 2017 and December 31, 2016, respectively. The amortization of above market leases and lease incentive assets decreased operating lease income in the Company's consolidated statements of operations by $0.9 million and $1.2 million for the three months ended March 31, 2017 and 2016, respectively. These intangible lease assets are amortized over the term of the lease. The amortization expense for in-place leases was $0.5 million for the three months ended March 31, 2017 and 2016. These amounts are included in "Depreciation and amortization" in the Company's consolidated statements of operations.</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As of March 31, 2017 and December 31, 2016, included $25.8 million and $26.0 million, respectively, of receivables related to the construction and development of an amphitheater.</w:t>
      </w:r>
    </w:p>
    <w:p>
      <w:pPr>
        <w:spacing w:after="0" w:line="12" w:lineRule="exact"/>
        <w:rPr>
          <w:rFonts w:ascii="Arial" w:cs="Arial" w:eastAsia="Arial" w:hAnsi="Arial"/>
          <w:sz w:val="13"/>
          <w:szCs w:val="13"/>
          <w:color w:val="auto"/>
        </w:rPr>
      </w:pPr>
    </w:p>
    <w:p>
      <w:pPr>
        <w:ind w:left="500" w:hanging="492"/>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Accumulated amortization of leasing costs was $6.4 million and $6.7 million as of March 31, 2017 and December 31, 2016,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Accumulated depreciation on corporate furniture, fixtures and equipment was $9.5 million and $9.0 million as of March 31, 2017 and December 31, 2016, respectively.</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accrued expenses and other liabilities consist of the following items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 2017</w:t>
            </w:r>
          </w:p>
        </w:tc>
        <w:tc>
          <w:tcPr>
            <w:tcW w:w="140" w:type="dxa"/>
            <w:vAlign w:val="bottom"/>
          </w:tcPr>
          <w:p>
            <w:pPr>
              <w:spacing w:after="0"/>
              <w:rPr>
                <w:sz w:val="22"/>
                <w:szCs w:val="22"/>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70"/>
        </w:trPr>
        <w:tc>
          <w:tcPr>
            <w:tcW w:w="588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Other liabilities</w:t>
            </w:r>
            <w:r>
              <w:rPr>
                <w:rFonts w:ascii="Arial" w:cs="Arial" w:eastAsia="Arial" w:hAnsi="Arial"/>
                <w:sz w:val="25"/>
                <w:szCs w:val="25"/>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79,398</w:t>
            </w: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75,993</w:t>
            </w:r>
          </w:p>
        </w:tc>
        <w:tc>
          <w:tcPr>
            <w:tcW w:w="0" w:type="dxa"/>
            <w:vAlign w:val="bottom"/>
          </w:tcPr>
          <w:p>
            <w:pPr>
              <w:spacing w:after="0"/>
              <w:rPr>
                <w:sz w:val="1"/>
                <w:szCs w:val="1"/>
                <w:color w:val="auto"/>
              </w:rPr>
            </w:pPr>
          </w:p>
        </w:tc>
      </w:tr>
      <w:tr>
        <w:trPr>
          <w:trHeight w:val="270"/>
        </w:trPr>
        <w:tc>
          <w:tcPr>
            <w:tcW w:w="5880" w:type="dxa"/>
            <w:vAlign w:val="bottom"/>
          </w:tcPr>
          <w:p>
            <w:pPr>
              <w:ind w:left="40"/>
              <w:spacing w:after="0" w:line="270" w:lineRule="exact"/>
              <w:rPr>
                <w:sz w:val="20"/>
                <w:szCs w:val="20"/>
                <w:color w:val="auto"/>
              </w:rPr>
            </w:pPr>
            <w:r>
              <w:rPr>
                <w:rFonts w:ascii="Arial" w:cs="Arial" w:eastAsia="Arial" w:hAnsi="Arial"/>
                <w:sz w:val="18"/>
                <w:szCs w:val="18"/>
                <w:color w:val="auto"/>
              </w:rPr>
              <w:t>Accrued expenses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62,139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72,693</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payable</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41,901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54,033</w:t>
            </w:r>
          </w:p>
        </w:tc>
        <w:tc>
          <w:tcPr>
            <w:tcW w:w="0" w:type="dxa"/>
            <w:vAlign w:val="bottom"/>
          </w:tcPr>
          <w:p>
            <w:pPr>
              <w:spacing w:after="0"/>
              <w:rPr>
                <w:sz w:val="1"/>
                <w:szCs w:val="1"/>
                <w:color w:val="auto"/>
              </w:rPr>
            </w:pPr>
          </w:p>
        </w:tc>
      </w:tr>
      <w:tr>
        <w:trPr>
          <w:trHeight w:val="270"/>
        </w:trPr>
        <w:tc>
          <w:tcPr>
            <w:tcW w:w="58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Intangible liabilities, net</w:t>
            </w:r>
            <w:r>
              <w:rPr>
                <w:rFonts w:ascii="Arial" w:cs="Arial" w:eastAsia="Arial" w:hAnsi="Arial"/>
                <w:sz w:val="25"/>
                <w:szCs w:val="25"/>
                <w:color w:val="auto"/>
                <w:vertAlign w:val="superscript"/>
              </w:rPr>
              <w:t>(3)</w:t>
            </w:r>
          </w:p>
        </w:tc>
        <w:tc>
          <w:tcPr>
            <w:tcW w:w="2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8,851</w:t>
            </w:r>
          </w:p>
        </w:tc>
        <w:tc>
          <w:tcPr>
            <w:tcW w:w="0" w:type="dxa"/>
            <w:vAlign w:val="bottom"/>
          </w:tcPr>
          <w:p>
            <w:pPr>
              <w:spacing w:after="0"/>
              <w:rPr>
                <w:sz w:val="1"/>
                <w:szCs w:val="1"/>
                <w:color w:val="auto"/>
              </w:rPr>
            </w:pPr>
          </w:p>
        </w:tc>
      </w:tr>
      <w:tr>
        <w:trPr>
          <w:trHeight w:val="257"/>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192,040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211,570</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4"/>
                <w:szCs w:val="14"/>
                <w:color w:val="auto"/>
                <w:w w:val="95"/>
              </w:rPr>
              <w:t>_______________________________________________________________________________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500" w:hanging="492"/>
        <w:spacing w:after="0" w:line="241"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March 31, 2017 and December 31, 2016, "Other liabilities" includes $24.0 million related to profit sharing arrangements with developers for certain properties sold. As of March 31, 2017 and December 31, 2016, includes $1.4 million and $1.2 million, respectively, associated with "Real estate available and held for sale" on the Company's consolidated balance sheets. As of March 31, 2017 and December 31, 2016, "Other liabilities" also includes $7.8 million and $8.5 million, respectively, related to tax increment financing bonds which were issued by government entities to fund development within two of the Company's land projects. The amount represents tax assessments associated with each project, which will decrease as the Company sells units.</w:t>
      </w:r>
    </w:p>
    <w:p>
      <w:pPr>
        <w:spacing w:after="0" w:line="1" w:lineRule="exact"/>
        <w:rPr>
          <w:rFonts w:ascii="Arial" w:cs="Arial" w:eastAsia="Arial" w:hAnsi="Arial"/>
          <w:sz w:val="14"/>
          <w:szCs w:val="14"/>
          <w:color w:val="auto"/>
        </w:rPr>
      </w:pPr>
    </w:p>
    <w:p>
      <w:pPr>
        <w:ind w:left="500" w:hanging="492"/>
        <w:spacing w:after="0" w:line="241"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March 31, 2017 and December 31, 2016, accrued expenses includes $2.4 million and $1.7 million, respectively, associated with "Real estate available and held for sale" on the Company's consolidated balance sheets.</w:t>
      </w:r>
    </w:p>
    <w:p>
      <w:pPr>
        <w:jc w:val="both"/>
        <w:ind w:left="500" w:hanging="492"/>
        <w:spacing w:after="0" w:line="248"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Intangible liabilities, net includes below market lease liabilities related to the acquisition of real estate assets. Accumulated amortization on below market leases was $6.7 million and $6.4 million as of March 31, 2017 and December 31, 2016, respectively. The amortization of below market leases increased operating lease income in the Company's consolidated statements of operations by $0.3 million for the three months ended March 31, 2017 and 2016.</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tax assets and liabilities of the Company's taxable REIT subsidiaries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r>
      <w:tr>
        <w:trPr>
          <w:trHeight w:val="264"/>
        </w:trPr>
        <w:tc>
          <w:tcPr>
            <w:tcW w:w="4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22"/>
                <w:szCs w:val="22"/>
                <w:color w:val="auto"/>
              </w:rPr>
            </w:pPr>
          </w:p>
        </w:tc>
        <w:tc>
          <w:tcPr>
            <w:tcW w:w="146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4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(liabilities)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66,498</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(70,806)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(66,498)</w:t>
            </w:r>
          </w:p>
        </w:tc>
      </w:tr>
      <w:tr>
        <w:trPr>
          <w:trHeight w:val="27"/>
        </w:trPr>
        <w:tc>
          <w:tcPr>
            <w:tcW w:w="4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assets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9—Loan Participations Payable,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loan participations payable, net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4"/>
                <w:szCs w:val="14"/>
                <w:b w:val="1"/>
                <w:bCs w:val="1"/>
                <w:color w:val="auto"/>
              </w:rPr>
              <w:t>Carrying Value as of</w:t>
            </w:r>
          </w:p>
        </w:tc>
      </w:tr>
      <w:tr>
        <w:trPr>
          <w:trHeight w:val="264"/>
        </w:trPr>
        <w:tc>
          <w:tcPr>
            <w:tcW w:w="4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22"/>
                <w:szCs w:val="22"/>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2016</w:t>
            </w:r>
          </w:p>
        </w:tc>
      </w:tr>
      <w:tr>
        <w:trPr>
          <w:trHeight w:val="270"/>
        </w:trPr>
        <w:tc>
          <w:tcPr>
            <w:tcW w:w="46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Loan participations payable</w:t>
            </w:r>
            <w:r>
              <w:rPr>
                <w:rFonts w:ascii="Arial" w:cs="Arial" w:eastAsia="Arial" w:hAnsi="Arial"/>
                <w:sz w:val="25"/>
                <w:szCs w:val="25"/>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182,853</w:t>
            </w:r>
          </w:p>
        </w:tc>
        <w:tc>
          <w:tcPr>
            <w:tcW w:w="1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160,251</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Debt discounts and deferred financing costs, net</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(930)</w:t>
            </w:r>
          </w:p>
        </w:tc>
      </w:tr>
      <w:tr>
        <w:trPr>
          <w:trHeight w:val="27"/>
        </w:trPr>
        <w:tc>
          <w:tcPr>
            <w:tcW w:w="4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loan participations payable,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182,087</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159,321</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-98425</wp:posOffset>
            </wp:positionV>
            <wp:extent cx="22898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ind w:left="500" w:hanging="492"/>
        <w:spacing w:after="0" w:line="255" w:lineRule="auto"/>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March 31, 2017, the Company had three loan participations payable with a weighted average interest rate of 5.2%. As of December 31, 2016, the Company had three loan participations payable with a weighted average interest rate of 4.8%.</w:t>
      </w:r>
    </w:p>
    <w:p>
      <w:pPr>
        <w:spacing w:after="0" w:line="13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Loan participations represent transfers of financial assets that did not meet the sales criteria established under ASC Topic 860 and are accounted for as loan participations payable, net. As of March 31, 2017 and December 31, 2016, the corresponding loan receivable balances were $181.9 million and $159.1 million, respectively, and are included in "Loans receivable and other lending investments, net" on the Company's consolidated balance sheets. The principal and interest due on these loan participations payable are paid from cash flows of the corresponding loans receivable, which serve as collateral for the participations.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 Obligations,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debt obligations were as follows ($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4"/>
                <w:szCs w:val="14"/>
                <w:b w:val="1"/>
                <w:bCs w:val="1"/>
                <w:color w:val="auto"/>
              </w:rPr>
              <w:t>Carrying Value as of</w:t>
            </w:r>
          </w:p>
        </w:tc>
        <w:tc>
          <w:tcPr>
            <w:tcW w:w="120" w:type="dxa"/>
            <w:vAlign w:val="bottom"/>
          </w:tcPr>
          <w:p>
            <w:pPr>
              <w:spacing w:after="0"/>
              <w:rPr>
                <w:sz w:val="16"/>
                <w:szCs w:val="16"/>
                <w:color w:val="auto"/>
              </w:rPr>
            </w:pPr>
          </w:p>
        </w:tc>
        <w:tc>
          <w:tcPr>
            <w:tcW w:w="1620" w:type="dxa"/>
            <w:vAlign w:val="bottom"/>
            <w:vMerge w:val="restart"/>
          </w:tcPr>
          <w:p>
            <w:pPr>
              <w:jc w:val="right"/>
              <w:ind w:right="543"/>
              <w:spacing w:after="0"/>
              <w:rPr>
                <w:sz w:val="20"/>
                <w:szCs w:val="20"/>
                <w:color w:val="auto"/>
              </w:rPr>
            </w:pPr>
            <w:r>
              <w:rPr>
                <w:rFonts w:ascii="Arial" w:cs="Arial" w:eastAsia="Arial" w:hAnsi="Arial"/>
                <w:sz w:val="14"/>
                <w:szCs w:val="14"/>
                <w:b w:val="1"/>
                <w:bCs w:val="1"/>
                <w:color w:val="auto"/>
              </w:rPr>
              <w:t>Stated</w:t>
            </w:r>
          </w:p>
        </w:tc>
        <w:tc>
          <w:tcPr>
            <w:tcW w:w="46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Scheduled</w:t>
            </w:r>
          </w:p>
        </w:tc>
        <w:tc>
          <w:tcPr>
            <w:tcW w:w="0" w:type="dxa"/>
            <w:vAlign w:val="bottom"/>
          </w:tcPr>
          <w:p>
            <w:pPr>
              <w:spacing w:after="0"/>
              <w:rPr>
                <w:sz w:val="1"/>
                <w:szCs w:val="1"/>
                <w:color w:val="auto"/>
              </w:rPr>
            </w:pPr>
          </w:p>
        </w:tc>
      </w:tr>
      <w:tr>
        <w:trPr>
          <w:trHeight w:val="71"/>
        </w:trPr>
        <w:tc>
          <w:tcPr>
            <w:tcW w:w="4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31, 2017</w:t>
            </w:r>
          </w:p>
        </w:tc>
        <w:tc>
          <w:tcPr>
            <w:tcW w:w="140" w:type="dxa"/>
            <w:vAlign w:val="bottom"/>
          </w:tcPr>
          <w:p>
            <w:pPr>
              <w:spacing w:after="0"/>
              <w:rPr>
                <w:sz w:val="6"/>
                <w:szCs w:val="6"/>
                <w:color w:val="auto"/>
              </w:rPr>
            </w:pPr>
          </w:p>
        </w:tc>
        <w:tc>
          <w:tcPr>
            <w:tcW w:w="14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5"/>
              </w:rPr>
              <w:t>December 31, 2016</w:t>
            </w:r>
          </w:p>
        </w:tc>
        <w:tc>
          <w:tcPr>
            <w:tcW w:w="12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right"/>
              <w:ind w:right="303"/>
              <w:spacing w:after="0"/>
              <w:rPr>
                <w:sz w:val="20"/>
                <w:szCs w:val="20"/>
                <w:color w:val="auto"/>
              </w:rPr>
            </w:pPr>
            <w:r>
              <w:rPr>
                <w:rFonts w:ascii="Arial" w:cs="Arial" w:eastAsia="Arial" w:hAnsi="Arial"/>
                <w:sz w:val="14"/>
                <w:szCs w:val="14"/>
                <w:b w:val="1"/>
                <w:bCs w:val="1"/>
                <w:color w:val="auto"/>
              </w:rPr>
              <w:t>Interest Rates</w:t>
            </w:r>
          </w:p>
        </w:tc>
        <w:tc>
          <w:tcPr>
            <w:tcW w:w="46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0" w:type="dxa"/>
            <w:vAlign w:val="bottom"/>
          </w:tcPr>
          <w:p>
            <w:pPr>
              <w:spacing w:after="0"/>
              <w:rPr>
                <w:sz w:val="1"/>
                <w:szCs w:val="1"/>
                <w:color w:val="auto"/>
              </w:rPr>
            </w:pPr>
          </w:p>
        </w:tc>
      </w:tr>
      <w:tr>
        <w:trPr>
          <w:trHeight w:val="236"/>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Secured credit facilities and mortgages: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100" w:type="dxa"/>
            <w:vAlign w:val="bottom"/>
            <w:vMerge w:val="restart"/>
          </w:tcPr>
          <w:p>
            <w:pPr>
              <w:ind w:left="160"/>
              <w:spacing w:after="0"/>
              <w:rPr>
                <w:sz w:val="20"/>
                <w:szCs w:val="20"/>
                <w:color w:val="auto"/>
              </w:rPr>
            </w:pPr>
            <w:r>
              <w:rPr>
                <w:rFonts w:ascii="Arial" w:cs="Arial" w:eastAsia="Arial" w:hAnsi="Arial"/>
                <w:sz w:val="16"/>
                <w:szCs w:val="16"/>
                <w:color w:val="auto"/>
              </w:rPr>
              <w:t>2015 $250 Million Secured Revolving Credit Facility</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620" w:type="dxa"/>
            <w:vAlign w:val="bottom"/>
            <w:vMerge w:val="restart"/>
          </w:tcPr>
          <w:p>
            <w:pPr>
              <w:jc w:val="right"/>
              <w:ind w:right="83"/>
              <w:spacing w:after="0"/>
              <w:rPr>
                <w:sz w:val="20"/>
                <w:szCs w:val="20"/>
                <w:color w:val="auto"/>
              </w:rPr>
            </w:pPr>
            <w:r>
              <w:rPr>
                <w:rFonts w:ascii="Arial" w:cs="Arial" w:eastAsia="Arial" w:hAnsi="Arial"/>
                <w:sz w:val="16"/>
                <w:szCs w:val="16"/>
                <w:color w:val="auto"/>
              </w:rPr>
              <w:t>LIBOR + 2.75%</w:t>
            </w:r>
          </w:p>
        </w:tc>
        <w:tc>
          <w:tcPr>
            <w:tcW w:w="460" w:type="dxa"/>
            <w:vAlign w:val="bottom"/>
          </w:tcPr>
          <w:p>
            <w:pPr>
              <w:jc w:val="right"/>
              <w:ind w:right="246"/>
              <w:spacing w:after="0"/>
              <w:rPr>
                <w:sz w:val="20"/>
                <w:szCs w:val="20"/>
                <w:color w:val="auto"/>
              </w:rPr>
            </w:pPr>
            <w:r>
              <w:rPr>
                <w:rFonts w:ascii="Arial" w:cs="Arial" w:eastAsia="Arial" w:hAnsi="Arial"/>
                <w:sz w:val="11"/>
                <w:szCs w:val="11"/>
                <w:color w:val="auto"/>
              </w:rPr>
              <w:t>(1)</w:t>
            </w:r>
          </w:p>
        </w:tc>
        <w:tc>
          <w:tcPr>
            <w:tcW w:w="1700" w:type="dxa"/>
            <w:vAlign w:val="bottom"/>
            <w:vMerge w:val="restart"/>
          </w:tcPr>
          <w:p>
            <w:pPr>
              <w:jc w:val="center"/>
              <w:spacing w:after="0"/>
              <w:rPr>
                <w:sz w:val="20"/>
                <w:szCs w:val="20"/>
                <w:color w:val="auto"/>
              </w:rPr>
            </w:pPr>
            <w:r>
              <w:rPr>
                <w:rFonts w:ascii="Arial" w:cs="Arial" w:eastAsia="Arial" w:hAnsi="Arial"/>
                <w:sz w:val="16"/>
                <w:szCs w:val="16"/>
                <w:color w:val="auto"/>
                <w:w w:val="92"/>
              </w:rPr>
              <w:t>March 2018</w:t>
            </w:r>
          </w:p>
        </w:tc>
        <w:tc>
          <w:tcPr>
            <w:tcW w:w="0" w:type="dxa"/>
            <w:vAlign w:val="bottom"/>
          </w:tcPr>
          <w:p>
            <w:pPr>
              <w:spacing w:after="0"/>
              <w:rPr>
                <w:sz w:val="1"/>
                <w:szCs w:val="1"/>
                <w:color w:val="auto"/>
              </w:rPr>
            </w:pPr>
          </w:p>
        </w:tc>
      </w:tr>
      <w:tr>
        <w:trPr>
          <w:trHeight w:val="70"/>
        </w:trPr>
        <w:tc>
          <w:tcPr>
            <w:tcW w:w="41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10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2016 Senior Secured Credit Facility</w:t>
            </w:r>
          </w:p>
        </w:tc>
        <w:tc>
          <w:tcPr>
            <w:tcW w:w="2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498,648</w:t>
            </w:r>
          </w:p>
        </w:tc>
        <w:tc>
          <w:tcPr>
            <w:tcW w:w="12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ind w:right="83"/>
              <w:spacing w:after="0"/>
              <w:rPr>
                <w:sz w:val="20"/>
                <w:szCs w:val="20"/>
                <w:color w:val="auto"/>
              </w:rPr>
            </w:pPr>
            <w:r>
              <w:rPr>
                <w:rFonts w:ascii="Arial" w:cs="Arial" w:eastAsia="Arial" w:hAnsi="Arial"/>
                <w:sz w:val="16"/>
                <w:szCs w:val="16"/>
                <w:color w:val="auto"/>
              </w:rPr>
              <w:t>LIBOR + 3.75%</w:t>
            </w:r>
          </w:p>
        </w:tc>
        <w:tc>
          <w:tcPr>
            <w:tcW w:w="46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(2)</w:t>
            </w: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July 2020</w:t>
            </w:r>
          </w:p>
        </w:tc>
        <w:tc>
          <w:tcPr>
            <w:tcW w:w="0" w:type="dxa"/>
            <w:vAlign w:val="bottom"/>
          </w:tcPr>
          <w:p>
            <w:pPr>
              <w:spacing w:after="0"/>
              <w:rPr>
                <w:sz w:val="1"/>
                <w:szCs w:val="1"/>
                <w:color w:val="auto"/>
              </w:rPr>
            </w:pPr>
          </w:p>
        </w:tc>
      </w:tr>
      <w:tr>
        <w:trPr>
          <w:trHeight w:val="83"/>
        </w:trPr>
        <w:tc>
          <w:tcPr>
            <w:tcW w:w="410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14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142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620" w:type="dxa"/>
            <w:vAlign w:val="bottom"/>
            <w:tcBorders>
              <w:bottom w:val="single" w:sz="8" w:color="CCEEFF"/>
            </w:tcBorders>
            <w:vMerge w:val="continue"/>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17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2017 Secured Financing</w:t>
            </w: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227,000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3.795%</w:t>
            </w:r>
          </w:p>
        </w:tc>
        <w:tc>
          <w:tcPr>
            <w:tcW w:w="460" w:type="dxa"/>
            <w:vAlign w:val="bottom"/>
          </w:tcPr>
          <w:p>
            <w:pPr>
              <w:jc w:val="right"/>
              <w:ind w:right="246"/>
              <w:spacing w:after="0"/>
              <w:rPr>
                <w:sz w:val="20"/>
                <w:szCs w:val="20"/>
                <w:color w:val="auto"/>
              </w:rPr>
            </w:pPr>
            <w:r>
              <w:rPr>
                <w:rFonts w:ascii="Arial" w:cs="Arial" w:eastAsia="Arial" w:hAnsi="Arial"/>
                <w:sz w:val="11"/>
                <w:szCs w:val="11"/>
                <w:color w:val="auto"/>
              </w:rPr>
              <w:t>(3)</w:t>
            </w:r>
          </w:p>
        </w:tc>
        <w:tc>
          <w:tcPr>
            <w:tcW w:w="1700" w:type="dxa"/>
            <w:vAlign w:val="bottom"/>
          </w:tcPr>
          <w:p>
            <w:pPr>
              <w:jc w:val="center"/>
              <w:spacing w:after="0"/>
              <w:rPr>
                <w:sz w:val="20"/>
                <w:szCs w:val="20"/>
                <w:color w:val="auto"/>
              </w:rPr>
            </w:pPr>
            <w:r>
              <w:rPr>
                <w:rFonts w:ascii="Arial" w:cs="Arial" w:eastAsia="Arial" w:hAnsi="Arial"/>
                <w:sz w:val="16"/>
                <w:szCs w:val="16"/>
                <w:color w:val="auto"/>
                <w:w w:val="97"/>
              </w:rPr>
              <w:t>April 2027</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10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Mortgages collateralized by net lease assets</w:t>
            </w:r>
          </w:p>
        </w:tc>
        <w:tc>
          <w:tcPr>
            <w:tcW w:w="2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247,535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249,987</w:t>
            </w:r>
          </w:p>
        </w:tc>
        <w:tc>
          <w:tcPr>
            <w:tcW w:w="1740" w:type="dxa"/>
            <w:vAlign w:val="bottom"/>
            <w:gridSpan w:val="2"/>
            <w:vMerge w:val="restart"/>
            <w:shd w:val="clear" w:color="auto" w:fill="CCEEFF"/>
          </w:tcPr>
          <w:p>
            <w:pPr>
              <w:jc w:val="right"/>
              <w:ind w:right="83"/>
              <w:spacing w:after="0"/>
              <w:rPr>
                <w:sz w:val="20"/>
                <w:szCs w:val="20"/>
                <w:color w:val="auto"/>
              </w:rPr>
            </w:pPr>
            <w:r>
              <w:rPr>
                <w:rFonts w:ascii="Arial" w:cs="Arial" w:eastAsia="Arial" w:hAnsi="Arial"/>
                <w:sz w:val="16"/>
                <w:szCs w:val="16"/>
                <w:color w:val="auto"/>
              </w:rPr>
              <w:t>3.875% - 7.26%</w:t>
            </w:r>
          </w:p>
        </w:tc>
        <w:tc>
          <w:tcPr>
            <w:tcW w:w="46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(4)</w:t>
            </w: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1"/>
              </w:rPr>
              <w:t>Various through 2032</w:t>
            </w:r>
          </w:p>
        </w:tc>
        <w:tc>
          <w:tcPr>
            <w:tcW w:w="0" w:type="dxa"/>
            <w:vAlign w:val="bottom"/>
          </w:tcPr>
          <w:p>
            <w:pPr>
              <w:spacing w:after="0"/>
              <w:rPr>
                <w:sz w:val="1"/>
                <w:szCs w:val="1"/>
                <w:color w:val="auto"/>
              </w:rPr>
            </w:pPr>
          </w:p>
        </w:tc>
      </w:tr>
      <w:tr>
        <w:trPr>
          <w:trHeight w:val="103"/>
        </w:trPr>
        <w:tc>
          <w:tcPr>
            <w:tcW w:w="4100" w:type="dxa"/>
            <w:vAlign w:val="bottom"/>
            <w:tcBorders>
              <w:bottom w:val="single" w:sz="8" w:color="CCEEFF"/>
            </w:tcBorders>
            <w:vMerge w:val="continue"/>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14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420" w:type="dxa"/>
            <w:vAlign w:val="bottom"/>
            <w:tcBorders>
              <w:bottom w:val="single" w:sz="8" w:color="CCEEFF"/>
            </w:tcBorders>
            <w:vMerge w:val="continue"/>
            <w:shd w:val="clear" w:color="auto" w:fill="CCEEFF"/>
          </w:tcPr>
          <w:p>
            <w:pPr>
              <w:spacing w:after="0"/>
              <w:rPr>
                <w:sz w:val="8"/>
                <w:szCs w:val="8"/>
                <w:color w:val="auto"/>
              </w:rPr>
            </w:pPr>
          </w:p>
        </w:tc>
        <w:tc>
          <w:tcPr>
            <w:tcW w:w="1740" w:type="dxa"/>
            <w:vAlign w:val="bottom"/>
            <w:tcBorders>
              <w:bottom w:val="single" w:sz="8" w:color="CCEEFF"/>
            </w:tcBorders>
            <w:gridSpan w:val="2"/>
            <w:vMerge w:val="continue"/>
            <w:shd w:val="clear" w:color="auto" w:fill="CCEEFF"/>
          </w:tcPr>
          <w:p>
            <w:pPr>
              <w:spacing w:after="0"/>
              <w:rPr>
                <w:sz w:val="8"/>
                <w:szCs w:val="8"/>
                <w:color w:val="auto"/>
              </w:rPr>
            </w:pPr>
          </w:p>
        </w:tc>
        <w:tc>
          <w:tcPr>
            <w:tcW w:w="460" w:type="dxa"/>
            <w:vAlign w:val="bottom"/>
            <w:tcBorders>
              <w:bottom w:val="single" w:sz="8" w:color="CCEEFF"/>
            </w:tcBorders>
            <w:shd w:val="clear" w:color="auto" w:fill="CCEEFF"/>
          </w:tcPr>
          <w:p>
            <w:pPr>
              <w:spacing w:after="0"/>
              <w:rPr>
                <w:sz w:val="8"/>
                <w:szCs w:val="8"/>
                <w:color w:val="auto"/>
              </w:rPr>
            </w:pPr>
          </w:p>
        </w:tc>
        <w:tc>
          <w:tcPr>
            <w:tcW w:w="17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Total secured credit facilities and mortgages</w:t>
            </w: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974,535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748,635</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Unsecured notes: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5.85% senior notes</w:t>
            </w:r>
          </w:p>
        </w:tc>
        <w:tc>
          <w:tcPr>
            <w:tcW w:w="2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99,722</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5.85%</w:t>
            </w:r>
          </w:p>
        </w:tc>
        <w:tc>
          <w:tcPr>
            <w:tcW w:w="4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9.00%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June 2017</w:t>
            </w:r>
          </w:p>
        </w:tc>
        <w:tc>
          <w:tcPr>
            <w:tcW w:w="0" w:type="dxa"/>
            <w:vAlign w:val="bottom"/>
          </w:tcPr>
          <w:p>
            <w:pPr>
              <w:spacing w:after="0"/>
              <w:rPr>
                <w:sz w:val="1"/>
                <w:szCs w:val="1"/>
                <w:color w:val="auto"/>
              </w:rPr>
            </w:pPr>
          </w:p>
        </w:tc>
      </w:tr>
      <w:tr>
        <w:trPr>
          <w:trHeight w:val="270"/>
        </w:trPr>
        <w:tc>
          <w:tcPr>
            <w:tcW w:w="4100" w:type="dxa"/>
            <w:vAlign w:val="bottom"/>
          </w:tcPr>
          <w:p>
            <w:pPr>
              <w:ind w:left="160"/>
              <w:spacing w:after="0"/>
              <w:rPr>
                <w:sz w:val="20"/>
                <w:szCs w:val="20"/>
                <w:color w:val="auto"/>
              </w:rPr>
            </w:pPr>
            <w:r>
              <w:rPr>
                <w:rFonts w:ascii="Arial" w:cs="Arial" w:eastAsia="Arial" w:hAnsi="Arial"/>
                <w:sz w:val="16"/>
                <w:szCs w:val="16"/>
                <w:color w:val="auto"/>
              </w:rPr>
              <w:t>4.00% senior notes</w:t>
            </w:r>
            <w:r>
              <w:rPr>
                <w:rFonts w:ascii="Arial" w:cs="Arial" w:eastAsia="Arial" w:hAnsi="Arial"/>
                <w:sz w:val="21"/>
                <w:szCs w:val="21"/>
                <w:color w:val="auto"/>
                <w:vertAlign w:val="superscript"/>
              </w:rPr>
              <w:t>(5)</w:t>
            </w:r>
          </w:p>
        </w:tc>
        <w:tc>
          <w:tcPr>
            <w:tcW w:w="240" w:type="dxa"/>
            <w:vAlign w:val="bottom"/>
          </w:tcPr>
          <w:p>
            <w:pPr>
              <w:spacing w:after="0"/>
              <w:rPr>
                <w:sz w:val="23"/>
                <w:szCs w:val="23"/>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550,000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46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November 2017</w:t>
            </w: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7.125%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7.125%</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February 2018</w:t>
            </w:r>
          </w:p>
        </w:tc>
        <w:tc>
          <w:tcPr>
            <w:tcW w:w="0" w:type="dxa"/>
            <w:vAlign w:val="bottom"/>
          </w:tcPr>
          <w:p>
            <w:pPr>
              <w:spacing w:after="0"/>
              <w:rPr>
                <w:sz w:val="1"/>
                <w:szCs w:val="1"/>
                <w:color w:val="auto"/>
              </w:rPr>
            </w:pPr>
          </w:p>
        </w:tc>
      </w:tr>
      <w:tr>
        <w:trPr>
          <w:trHeight w:val="270"/>
        </w:trPr>
        <w:tc>
          <w:tcPr>
            <w:tcW w:w="4100" w:type="dxa"/>
            <w:vAlign w:val="bottom"/>
          </w:tcPr>
          <w:p>
            <w:pPr>
              <w:ind w:left="160"/>
              <w:spacing w:after="0"/>
              <w:rPr>
                <w:sz w:val="20"/>
                <w:szCs w:val="20"/>
                <w:color w:val="auto"/>
              </w:rPr>
            </w:pPr>
            <w:r>
              <w:rPr>
                <w:rFonts w:ascii="Arial" w:cs="Arial" w:eastAsia="Arial" w:hAnsi="Arial"/>
                <w:sz w:val="16"/>
                <w:szCs w:val="16"/>
                <w:color w:val="auto"/>
              </w:rPr>
              <w:t>4.875% senior notes</w:t>
            </w:r>
            <w:r>
              <w:rPr>
                <w:rFonts w:ascii="Arial" w:cs="Arial" w:eastAsia="Arial" w:hAnsi="Arial"/>
                <w:sz w:val="21"/>
                <w:szCs w:val="21"/>
                <w:color w:val="auto"/>
                <w:vertAlign w:val="superscript"/>
              </w:rPr>
              <w:t>(6)</w:t>
            </w:r>
          </w:p>
        </w:tc>
        <w:tc>
          <w:tcPr>
            <w:tcW w:w="240" w:type="dxa"/>
            <w:vAlign w:val="bottom"/>
          </w:tcPr>
          <w:p>
            <w:pPr>
              <w:spacing w:after="0"/>
              <w:rPr>
                <w:sz w:val="23"/>
                <w:szCs w:val="23"/>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4.875%</w:t>
            </w:r>
          </w:p>
        </w:tc>
        <w:tc>
          <w:tcPr>
            <w:tcW w:w="46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July 2018</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5.00% senior notes</w:t>
            </w:r>
            <w:r>
              <w:rPr>
                <w:rFonts w:ascii="Arial" w:cs="Arial" w:eastAsia="Arial" w:hAnsi="Arial"/>
                <w:sz w:val="21"/>
                <w:szCs w:val="21"/>
                <w:color w:val="auto"/>
                <w:vertAlign w:val="superscript"/>
              </w:rPr>
              <w:t>(7)</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770,000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46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July 2019</w:t>
            </w:r>
          </w:p>
        </w:tc>
        <w:tc>
          <w:tcPr>
            <w:tcW w:w="0" w:type="dxa"/>
            <w:vAlign w:val="bottom"/>
          </w:tcPr>
          <w:p>
            <w:pPr>
              <w:spacing w:after="0"/>
              <w:rPr>
                <w:sz w:val="1"/>
                <w:szCs w:val="1"/>
                <w:color w:val="auto"/>
              </w:rPr>
            </w:pPr>
          </w:p>
        </w:tc>
      </w:tr>
      <w:tr>
        <w:trPr>
          <w:trHeight w:val="270"/>
        </w:trPr>
        <w:tc>
          <w:tcPr>
            <w:tcW w:w="4100" w:type="dxa"/>
            <w:vAlign w:val="bottom"/>
          </w:tcPr>
          <w:p>
            <w:pPr>
              <w:ind w:left="160"/>
              <w:spacing w:after="0"/>
              <w:rPr>
                <w:sz w:val="20"/>
                <w:szCs w:val="20"/>
                <w:color w:val="auto"/>
              </w:rPr>
            </w:pPr>
            <w:r>
              <w:rPr>
                <w:rFonts w:ascii="Arial" w:cs="Arial" w:eastAsia="Arial" w:hAnsi="Arial"/>
                <w:sz w:val="16"/>
                <w:szCs w:val="16"/>
                <w:color w:val="auto"/>
              </w:rPr>
              <w:t>6.50% senior notes</w:t>
            </w:r>
            <w:r>
              <w:rPr>
                <w:rFonts w:ascii="Arial" w:cs="Arial" w:eastAsia="Arial" w:hAnsi="Arial"/>
                <w:sz w:val="21"/>
                <w:szCs w:val="21"/>
                <w:color w:val="auto"/>
                <w:vertAlign w:val="superscript"/>
              </w:rPr>
              <w:t>(8)</w:t>
            </w:r>
          </w:p>
        </w:tc>
        <w:tc>
          <w:tcPr>
            <w:tcW w:w="240" w:type="dxa"/>
            <w:vAlign w:val="bottom"/>
          </w:tcPr>
          <w:p>
            <w:pPr>
              <w:spacing w:after="0"/>
              <w:rPr>
                <w:sz w:val="23"/>
                <w:szCs w:val="23"/>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6.50%</w:t>
            </w:r>
          </w:p>
        </w:tc>
        <w:tc>
          <w:tcPr>
            <w:tcW w:w="46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July 2021</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6.00% senior notes</w:t>
            </w:r>
            <w:r>
              <w:rPr>
                <w:rFonts w:ascii="Arial" w:cs="Arial" w:eastAsia="Arial" w:hAnsi="Arial"/>
                <w:sz w:val="21"/>
                <w:szCs w:val="21"/>
                <w:color w:val="auto"/>
                <w:vertAlign w:val="superscript"/>
              </w:rPr>
              <w:t>(9)</w:t>
            </w: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375,000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46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April 2022</w:t>
            </w:r>
          </w:p>
        </w:tc>
        <w:tc>
          <w:tcPr>
            <w:tcW w:w="0" w:type="dxa"/>
            <w:vAlign w:val="bottom"/>
          </w:tcPr>
          <w:p>
            <w:pPr>
              <w:spacing w:after="0"/>
              <w:rPr>
                <w:sz w:val="1"/>
                <w:szCs w:val="1"/>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Total unsecured notes</w:t>
            </w:r>
          </w:p>
        </w:tc>
        <w:tc>
          <w:tcPr>
            <w:tcW w:w="240" w:type="dxa"/>
            <w:vAlign w:val="bottom"/>
          </w:tcPr>
          <w:p>
            <w:pPr>
              <w:spacing w:after="0"/>
              <w:rPr>
                <w:sz w:val="18"/>
                <w:szCs w:val="18"/>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2,845,000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2,569,722</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debt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Trust preferred securities</w:t>
            </w: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0"/>
                <w:szCs w:val="20"/>
                <w:color w:val="auto"/>
              </w:rPr>
            </w:pPr>
          </w:p>
        </w:tc>
        <w:tc>
          <w:tcPr>
            <w:tcW w:w="1620" w:type="dxa"/>
            <w:vAlign w:val="bottom"/>
          </w:tcPr>
          <w:p>
            <w:pPr>
              <w:jc w:val="right"/>
              <w:ind w:right="83"/>
              <w:spacing w:after="0"/>
              <w:rPr>
                <w:sz w:val="20"/>
                <w:szCs w:val="20"/>
                <w:color w:val="auto"/>
              </w:rPr>
            </w:pPr>
            <w:r>
              <w:rPr>
                <w:rFonts w:ascii="Arial" w:cs="Arial" w:eastAsia="Arial" w:hAnsi="Arial"/>
                <w:sz w:val="16"/>
                <w:szCs w:val="16"/>
                <w:color w:val="auto"/>
              </w:rPr>
              <w:t>LIBOR + 1.50%</w:t>
            </w:r>
          </w:p>
        </w:tc>
        <w:tc>
          <w:tcPr>
            <w:tcW w:w="4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0"/>
              </w:rPr>
              <w:t>October 2035</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 obligations</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3,919,535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3,418,357</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Debt discounts and deferred financing costs, net</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(37,140)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(28,449)</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b w:val="1"/>
                <w:bCs w:val="1"/>
                <w:color w:val="auto"/>
              </w:rPr>
              <w:t>Total debt obligations, net</w:t>
            </w:r>
            <w:r>
              <w:rPr>
                <w:rFonts w:ascii="Arial" w:cs="Arial" w:eastAsia="Arial" w:hAnsi="Arial"/>
                <w:sz w:val="21"/>
                <w:szCs w:val="21"/>
                <w:b w:val="1"/>
                <w:bCs w:val="1"/>
                <w:color w:val="auto"/>
                <w:vertAlign w:val="superscript"/>
              </w:rPr>
              <w:t>(10)</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3,882,395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3,389,908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-98425</wp:posOffset>
            </wp:positionV>
            <wp:extent cx="21355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jc w:val="both"/>
        <w:ind w:left="500" w:hanging="492"/>
        <w:spacing w:after="0" w:line="241"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loan bears interest at the Company's election of either (i) a base rate, which is the greater of (a) prime, (b) federal funds plus 0.5% or (c) LIBOR plus 1.0% and subject to a margin ranging from 1.25% to 1.75%, or (ii) LIBOR subject to a margin ranging from 2.25% to 2.75%. At maturity, the Company may convert outstanding borrowings to a one year term loan which matures in quarterly installments through March 2019.</w:t>
      </w:r>
    </w:p>
    <w:p>
      <w:pPr>
        <w:spacing w:after="0" w:line="1" w:lineRule="exact"/>
        <w:rPr>
          <w:rFonts w:ascii="Arial" w:cs="Arial" w:eastAsia="Arial" w:hAnsi="Arial"/>
          <w:sz w:val="14"/>
          <w:szCs w:val="14"/>
          <w:color w:val="auto"/>
        </w:rPr>
      </w:pPr>
    </w:p>
    <w:p>
      <w:pPr>
        <w:ind w:left="500" w:hanging="492"/>
        <w:spacing w:after="0" w:line="241"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loan bears interest at the Company's election of either (i) a base rate, which is the greater of (a) prime, (b) federal funds plus 0.5% or (c) LIBOR plus 1.0% and subject to a margin of 2.75% or (ii) LIBOR subject to a margin of 3.75% with a minimum LIBOR rate of 1.0%.</w:t>
      </w:r>
    </w:p>
    <w:p>
      <w:pPr>
        <w:ind w:left="500" w:hanging="492"/>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 entered into a $200 million notional rate lock swap, bringing the effective interest rate down from 3.795% to 3.773%.</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As of March 31, 2017 and December 31, 2016, includes a loan with a floating rate of LIBOR plus 2.0%. As of March 31, 2017, the weighted average interest rate of these loans is 5.1%.</w:t>
      </w:r>
    </w:p>
    <w:p>
      <w:pPr>
        <w:spacing w:after="0" w:line="12" w:lineRule="exact"/>
        <w:rPr>
          <w:rFonts w:ascii="Arial" w:cs="Arial" w:eastAsia="Arial" w:hAnsi="Arial"/>
          <w:sz w:val="13"/>
          <w:szCs w:val="13"/>
          <w:color w:val="auto"/>
        </w:rPr>
      </w:pPr>
    </w:p>
    <w:p>
      <w:pPr>
        <w:ind w:left="500" w:hanging="492"/>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 can prepay these senior notes without penalty beginning August 1, 2017.</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 can prepay these senior notes without penalty beginning January 1, 2018.</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 can prepay these senior notes without penalty beginning July 1, 2018.</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 can prepay these senior notes without penalty beginning July 1, 2020.</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 can prepay these senior notes without penalty beginning April 1, 2021.</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 capitalized interest relating to development activities of $2.0 million and $1.4 million during the three months ended March 31,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Future Scheduled Maturities</w:t>
      </w:r>
      <w:r>
        <w:rPr>
          <w:rFonts w:ascii="Arial" w:cs="Arial" w:eastAsia="Arial" w:hAnsi="Arial"/>
          <w:sz w:val="17"/>
          <w:szCs w:val="17"/>
          <w:color w:val="auto"/>
        </w:rPr>
        <w:t>—As of March 31, 2017, future scheduled maturities of outstanding debt obligations are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Unsecured Debt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Secured Debt</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(remaining nine months)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825,000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610,648</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798,770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500,000</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394,072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475,000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316,045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791,045</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principal maturities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974,535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3,919,535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Unamortized discounts and deferred financing costs, net</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(21,148)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(37,140)</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obligations,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2,923,852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958,543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3,882,395</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-98425</wp:posOffset>
            </wp:positionV>
            <wp:extent cx="3353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jc w:val="both"/>
        <w:ind w:left="500" w:hanging="492"/>
        <w:spacing w:after="0" w:line="268" w:lineRule="auto"/>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Company has $825.0 million of debt obligations maturing in two separate tranches during 2017, and $310.6 million of other debt obligations maturing before the end of May 2018, as listed in the debt obligations table above. The Company's plans to satisfy these obligations primarily consist of accessing the debt and/or equity markets to obtain capital to satisfy the maturing obligations. In addition, management intends to execute on its business strategy of disposing of assets and selling interests in business lines as well as collecting loan repayments from borrowers to further generate available liquidity. Should these sources of capital not be sufficiently available, the Company will slow its pace of making new investments and will need to identify alternative sources of capital. As of May 3, 2017, the Company had approximately $1.2 billion of cash and available capacity under existing borrowing arrangements.</w:t>
      </w:r>
    </w:p>
    <w:p>
      <w:pPr>
        <w:spacing w:after="0" w:line="126"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b w:val="1"/>
          <w:bCs w:val="1"/>
          <w:color w:val="auto"/>
        </w:rPr>
        <w:t>2017 Secured Financing</w:t>
      </w:r>
      <w:r>
        <w:rPr>
          <w:rFonts w:ascii="Arial" w:cs="Arial" w:eastAsia="Arial" w:hAnsi="Arial"/>
          <w:sz w:val="16"/>
          <w:szCs w:val="16"/>
          <w:color w:val="auto"/>
        </w:rPr>
        <w:t>—In March 2017, the Company entered into a $227.0 million secured financing transaction (the "2017 Secured Financing")</w:t>
      </w:r>
      <w:r>
        <w:rPr>
          <w:rFonts w:ascii="Arial" w:cs="Arial" w:eastAsia="Arial" w:hAnsi="Arial"/>
          <w:sz w:val="16"/>
          <w:szCs w:val="16"/>
          <w:b w:val="1"/>
          <w:bCs w:val="1"/>
          <w:color w:val="auto"/>
        </w:rPr>
        <w:t xml:space="preserve"> </w:t>
      </w:r>
      <w:r>
        <w:rPr>
          <w:rFonts w:ascii="Arial" w:cs="Arial" w:eastAsia="Arial" w:hAnsi="Arial"/>
          <w:sz w:val="16"/>
          <w:szCs w:val="16"/>
          <w:color w:val="auto"/>
        </w:rPr>
        <w:t>that accrues interest at 3.795% and matures in April 2027. Subsequent to March 31, 2017, the 2017 Secured Financing was assumed by an entity in which the Company has a 49% noncontrolling interest (refer to Note 18). The 2017 Secured Financing is collateralized by 12 properties including seven ground net leases and one master lease (covering the accounts of five properties). In connection with the 2017 Secured Financing, the Company incurred $7.4 million of lender and third-party fees, substantially all of which was capitalized in "Debt obligations, net" on the Company's consolidated balance sheets.</w:t>
      </w:r>
    </w:p>
    <w:p>
      <w:pPr>
        <w:spacing w:after="0" w:line="114"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2016 Secured Term Loan</w:t>
      </w:r>
      <w:r>
        <w:rPr>
          <w:rFonts w:ascii="Arial" w:cs="Arial" w:eastAsia="Arial" w:hAnsi="Arial"/>
          <w:sz w:val="18"/>
          <w:szCs w:val="18"/>
          <w:color w:val="auto"/>
        </w:rPr>
        <w:t>—In December 2016, the Company arranged a $170.0 million delayed draw secured term loan (the "2016 Secured Term</w:t>
      </w:r>
      <w:r>
        <w:rPr>
          <w:rFonts w:ascii="Arial" w:cs="Arial" w:eastAsia="Arial" w:hAnsi="Arial"/>
          <w:sz w:val="18"/>
          <w:szCs w:val="18"/>
          <w:b w:val="1"/>
          <w:bCs w:val="1"/>
          <w:color w:val="auto"/>
        </w:rPr>
        <w:t xml:space="preserve"> </w:t>
      </w:r>
      <w:r>
        <w:rPr>
          <w:rFonts w:ascii="Arial" w:cs="Arial" w:eastAsia="Arial" w:hAnsi="Arial"/>
          <w:sz w:val="18"/>
          <w:szCs w:val="18"/>
          <w:color w:val="auto"/>
        </w:rPr>
        <w:t>Loan"). During the three months ended March 31, 2017, the Company allowed the 2016 Secured Term Loan to expire and replaced the 2016 Secured Term Loan with the 2017 Secured Financing. The 2016 Secured Term Loan was collateralized by the 12 properties that now serve as collateral for the 2017 Secured Financing which were sold subsequent to March 31, 2017.</w:t>
      </w:r>
    </w:p>
    <w:p>
      <w:pPr>
        <w:spacing w:after="0" w:line="14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b w:val="1"/>
          <w:bCs w:val="1"/>
          <w:color w:val="auto"/>
        </w:rPr>
        <w:t>2016 Senior Secured Credit Facility</w:t>
      </w:r>
      <w:r>
        <w:rPr>
          <w:rFonts w:ascii="Arial" w:cs="Arial" w:eastAsia="Arial" w:hAnsi="Arial"/>
          <w:sz w:val="17"/>
          <w:szCs w:val="17"/>
          <w:color w:val="auto"/>
        </w:rPr>
        <w:t>—In June 2016, the Company entered into a senior secured credit facility of $450.0 million (the "2016 Senior</w:t>
      </w:r>
      <w:r>
        <w:rPr>
          <w:rFonts w:ascii="Arial" w:cs="Arial" w:eastAsia="Arial" w:hAnsi="Arial"/>
          <w:sz w:val="17"/>
          <w:szCs w:val="17"/>
          <w:b w:val="1"/>
          <w:bCs w:val="1"/>
          <w:color w:val="auto"/>
        </w:rPr>
        <w:t xml:space="preserve"> </w:t>
      </w:r>
      <w:r>
        <w:rPr>
          <w:rFonts w:ascii="Arial" w:cs="Arial" w:eastAsia="Arial" w:hAnsi="Arial"/>
          <w:sz w:val="17"/>
          <w:szCs w:val="17"/>
          <w:color w:val="auto"/>
        </w:rPr>
        <w:t>Secured Credit Facility"). In August 2016, the Company upsized the facility to $500.0 million. The initial $450.0 million of the 2016 Senior Secured Credit Facility was issued at 99% of par and the upsize was issued at par. The 2016 Senior Secured Credit Facility initially accrued interest at a floating rate of LIBOR plus 4.50% with a 1.00% LIBOR floor. In January 2017, the Company repriced the 2016 Senior Secured Credit Facility to LIBOR plus 3.75% with a 1.00% LIBOR floor. The 2016 Senior Secured Credit Facility is collateralized 1.25x by a first lien on a fixed pool of assets. Proceeds from principal repayments and sales of collateral are applied to amortize the 2016 Senior Secured Credit Facility. Proceeds received for interest, rent, lease payments and fee income are retained by the Company. The Company may also make optional prepayments, subject to prepayment fees, and is required to repay 0.25% of the principal amount on the first business day of each quarter. Proceeds from the 2016 Senior Secured Credit Facility, together with cash on hand, were primarily used to repay other secured debt.</w:t>
      </w:r>
    </w:p>
    <w:p>
      <w:pPr>
        <w:spacing w:after="0" w:line="13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connection with the 2016 Senior Secured Credit Facility, the Company incurred $4.5 million of lender fees, substantially all of which was capitalized in "Debt obligations, net" on the Company's consolidated balance sheets. The Company also incurred $6.2 million in third party fees, of which $4.3 million was capitalized in “Debt obligations, net” on the Company's consolidated balance sheets, as it related to new lenders, and $1.9 million was recognized in “Other expense” in the Company's consolidated statements of operations as it related primarily to those lenders from the original facility that modified their debt under the new facility. In connection with the repricing of the 2016 Senior Secured Credit Facility in January 2017, the Company incurred an additional $0.8 million in fees, substantially all of which was recognized in "Other expense."</w:t>
      </w:r>
    </w:p>
    <w:p>
      <w:pPr>
        <w:spacing w:after="0" w:line="174"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2015 Secured Revolving Credit Facility</w:t>
      </w:r>
      <w:r>
        <w:rPr>
          <w:rFonts w:ascii="Arial" w:cs="Arial" w:eastAsia="Arial" w:hAnsi="Arial"/>
          <w:sz w:val="18"/>
          <w:szCs w:val="18"/>
          <w:color w:val="auto"/>
        </w:rPr>
        <w:t>—In March 2015, the Company entered into a secured revolving credit facility with a maximum capacity of</w:t>
      </w:r>
      <w:r>
        <w:rPr>
          <w:rFonts w:ascii="Arial" w:cs="Arial" w:eastAsia="Arial" w:hAnsi="Arial"/>
          <w:sz w:val="18"/>
          <w:szCs w:val="18"/>
          <w:b w:val="1"/>
          <w:bCs w:val="1"/>
          <w:color w:val="auto"/>
        </w:rPr>
        <w:t xml:space="preserve"> </w:t>
      </w:r>
      <w:r>
        <w:rPr>
          <w:rFonts w:ascii="Arial" w:cs="Arial" w:eastAsia="Arial" w:hAnsi="Arial"/>
          <w:sz w:val="18"/>
          <w:szCs w:val="18"/>
          <w:color w:val="auto"/>
        </w:rPr>
        <w:t>$250.0 million (the "2015 Secured Revolving Credit Facility"). Borrowings under this credit facility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bear interest at a floating rate indexed to one of several base rates plus a margin which adjusts upward or downward based upon the Company's corporate credit rating. An undrawn credit facility commitment fee ranges from 0.375% to 0.50%, based on average utilization each quarter. During the three months ended March 31, 2017, the weighted average cost of the credit facility was 3.46%. Commitments under the revolving facility mature in March 2018. At maturity, the Company may convert outstanding borrowings to a one year term loan which matures in quarterly installments through March 2019. As of March 31, 2017, based on the Company's borrowing base of assets, the Company had $236.0 million of borrowing capacity available under the 2015 Secured Revolving Credit Facility.</w:t>
      </w:r>
    </w:p>
    <w:p>
      <w:pPr>
        <w:spacing w:after="0" w:line="14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Unsecured Notes</w:t>
      </w:r>
      <w:r>
        <w:rPr>
          <w:rFonts w:ascii="Arial" w:cs="Arial" w:eastAsia="Arial" w:hAnsi="Arial"/>
          <w:sz w:val="17"/>
          <w:szCs w:val="17"/>
          <w:color w:val="auto"/>
        </w:rPr>
        <w:t>—In March 2017, the Company issued $375.0 million principal amount of 6.00% senior unsecured notes due April 2022. Proceeds</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offering were primarily used to repay in full the $99.7 million principal amount of 5.85% senior unsecured notes due March 2017 and, subsequent to March 31, 2017, repay in full the $275.0 million principal amount of 9.00% senior unsecured notes due June 2017. In March 2016, the Company repaid its $261.4 million principal amount of 5.875% senior unsecured notes at maturity using available cash. In addition, the Company issued $275.0 million principal amount of 6.50% senior unsecured notes due July 2021. Proceeds from the offering were primarily used to repay in full the $265.0 million principal amount of senior unsecured notes due July 2016 and repay $5.0 million of the 2015 Secured Revolving Credit Facility.</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November 2016, in connection with the retirement of the Company's $200.0 million principal amount of 3.0% senior unsecured convertible notes due November 2016, the Company converted $9.6 million principal amount into 0.8 million shares of our common stock.</w:t>
      </w:r>
    </w:p>
    <w:p>
      <w:pPr>
        <w:spacing w:after="0" w:line="166"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Encumbered/Unencumbered Assets</w:t>
      </w:r>
      <w:r>
        <w:rPr>
          <w:rFonts w:ascii="Arial" w:cs="Arial" w:eastAsia="Arial" w:hAnsi="Arial"/>
          <w:sz w:val="18"/>
          <w:szCs w:val="18"/>
          <w:color w:val="auto"/>
        </w:rPr>
        <w:t>—The carrying value of the Company's encumbered and unencumbered assets by asset type are as follows ($ in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w w:val="79"/>
              </w:rPr>
              <w:t>As of</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1,005,826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470,765</w:t>
            </w:r>
          </w:p>
        </w:tc>
        <w:tc>
          <w:tcPr>
            <w:tcW w:w="54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881,212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610,540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71,934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83,764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 net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919,985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910,400</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Loans receivable and other lending investments, net</w:t>
            </w:r>
            <w:r>
              <w:rPr>
                <w:rFonts w:ascii="Arial" w:cs="Arial" w:eastAsia="Arial" w:hAnsi="Arial"/>
                <w:sz w:val="25"/>
                <w:szCs w:val="25"/>
                <w:color w:val="auto"/>
                <w:vertAlign w:val="superscript"/>
              </w:rPr>
              <w:t>(1)(2)</w:t>
            </w: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137,293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1,080,448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172,581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1,142,050</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214,406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and other assets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1,212,055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639,588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1,178,284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3,952,746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1,088,958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3,600,748</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-98425</wp:posOffset>
            </wp:positionV>
            <wp:extent cx="3687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500" w:hanging="492"/>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March 31, 2017 and December 31, 2016, the amounts presented exclude general reserves for loan losses of $18.4 million and $23.3 million,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March 31, 2017 and December 31, 2016, the amounts presented exclude loan participations of $181.9 million and $159.1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Company's outstanding unsecured debt securities contain corporate level covenants that include a covenant to maintain a ratio of unencumbered assets to unsecured indebtedness of at least 1.2x and a covenant not to incur additional indebtedness (except for incurrences of permitted debt), if on a pro forma basis, the Company's consolidated fixed charge coverage ratio, determined in accordance with the indentures governing the Company's debt securities, is 1.5x or lower. If any of the Company's covenants are breached and not cured within applicable cure periods, the breach could result in acceleration of its debt securities unless a waiver or modification is agreed upon with the requisite percentage of the bondholders. If the Company's ability to incur additional indebtedness under the fixed charge coverage ratio is limited, the Company is permitted to incur indebtedness for the purpose of refinancing existing indebtedness and for other permitted purposes under the indentures.</w:t>
      </w:r>
    </w:p>
    <w:p>
      <w:pPr>
        <w:spacing w:after="0" w:line="17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2016 Senior Secured Credit Facility and the 2015 Secured Revolving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2016 Senior Secured Credit Facility requires the Company to maintain collateral coverage of at least 1.25x outstanding borrowings on the facility. The 2015 Secured Revolving Credit Facility is secured by a borrowing base of assets and requires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Company to maintain both collateral coverage of at least 1.5x outstanding borrowings on the facility and a consolidated ratio of cash flow to fixed charges of at least 1.5x. The 2015 Secured Revolving Credit Facility does not require that proceeds from the borrowing base be used to pay down outstanding borrowings provided the collateral coverage remains at least 1.5x outstanding borrowings on the facility. To satisfy this covenant, the Company has the option to pay down outstanding borrowings or substitute assets in the borrowing base. In addition, for so long as the Company maintains its qualification as a REIT, the 2016 Senior Secured Credit Facility and the 2015 Secured Revolving Credit Facility permit the Company to distribute 100% of its REIT taxable income on an annual basis (prior to deducting certain cumulative net operating loss ("NOL") carryforwards). The Company may not pay common dividends if it ceases to qualify as a REIT.</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2016 Senior Secured Credit Facility and the 2015 Secured Revolving Credit Facility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 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—The Company generally funds construction and development loans and build-outs of space in real estate assets over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time if and when the borrowers and tenants meet established milestones and other performance criteria. The Company refers to these arrangements as Performance-Based Commitments. In addition, the Company sometimes establishes a maximum amount of additional funding which it will make available to a borrower or tenant for an expansion or addition to a project if it approves of the expansion or addition in its sole discretion. The Company refers to these arrangements as Discretionary Fundings. Finally, the Company has committed to invest capital in several real estate funds and other ventures. These arrangements are referred to as Strategic Investments.</w:t>
      </w:r>
    </w:p>
    <w:p>
      <w:pPr>
        <w:spacing w:after="0" w:line="19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2017, the maximum amount of fundings the Company may be required to make under each category, assuming all performance hurdles and milestones are met under the Performance-Based Commitments, that it approves all Discretionary Fundings and that 100% of its capital committed to Strategic Investments is drawn down, are as follows ($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Loans and Other Lending</w:t>
            </w:r>
          </w:p>
        </w:tc>
        <w:tc>
          <w:tcPr>
            <w:tcW w:w="340" w:type="dxa"/>
            <w:vAlign w:val="bottom"/>
          </w:tcPr>
          <w:p>
            <w:pPr>
              <w:spacing w:after="0"/>
              <w:rPr>
                <w:sz w:val="14"/>
                <w:szCs w:val="14"/>
                <w:color w:val="auto"/>
              </w:rPr>
            </w:pPr>
          </w:p>
        </w:tc>
        <w:tc>
          <w:tcPr>
            <w:tcW w:w="15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Real Estate</w:t>
            </w:r>
          </w:p>
        </w:tc>
        <w:tc>
          <w:tcPr>
            <w:tcW w:w="320" w:type="dxa"/>
            <w:vAlign w:val="bottom"/>
          </w:tcPr>
          <w:p>
            <w:pPr>
              <w:spacing w:after="0"/>
              <w:rPr>
                <w:sz w:val="14"/>
                <w:szCs w:val="1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4"/>
                <w:szCs w:val="14"/>
                <w:color w:val="auto"/>
              </w:rPr>
            </w:pPr>
          </w:p>
        </w:tc>
        <w:tc>
          <w:tcPr>
            <w:tcW w:w="1380" w:type="dxa"/>
            <w:vAlign w:val="bottom"/>
            <w:vMerge w:val="restart"/>
          </w:tcPr>
          <w:p>
            <w:pPr>
              <w:jc w:val="right"/>
              <w:ind w:right="6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Investments</w:t>
            </w:r>
            <w:r>
              <w:rPr>
                <w:rFonts w:ascii="Arial" w:cs="Arial" w:eastAsia="Arial" w:hAnsi="Arial"/>
                <w:sz w:val="8"/>
                <w:szCs w:val="8"/>
                <w:b w:val="1"/>
                <w:bCs w:val="1"/>
                <w:color w:val="auto"/>
                <w:w w:val="91"/>
              </w:rPr>
              <w:t>(1)</w:t>
            </w:r>
          </w:p>
        </w:tc>
        <w:tc>
          <w:tcPr>
            <w:tcW w:w="3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Investments</w:t>
            </w:r>
          </w:p>
        </w:tc>
        <w:tc>
          <w:tcPr>
            <w:tcW w:w="4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305,862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24,059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339,735</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Strategic Investments</w:t>
            </w:r>
          </w:p>
        </w:tc>
        <w:tc>
          <w:tcPr>
            <w:tcW w:w="14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45,564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45,564</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00" w:type="dxa"/>
            <w:vAlign w:val="bottom"/>
            <w:tcBorders>
              <w:bottom w:val="single" w:sz="8" w:color="CCEEFF"/>
            </w:tcBorders>
            <w:shd w:val="clear" w:color="auto" w:fill="CCEEFF"/>
          </w:tcPr>
          <w:p>
            <w:pPr>
              <w:ind w:left="18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305,862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69,623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385,299</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-98425</wp:posOffset>
            </wp:positionV>
            <wp:extent cx="48450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ind w:left="500" w:hanging="492"/>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Excludes $155.3 million of commitments on loan participations sold that are not the obligation of the Company.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 did not have any Discretionary Fundings as of March 31, 2017.</w:t>
      </w:r>
    </w:p>
    <w:p>
      <w:pPr>
        <w:spacing w:after="0" w:line="20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—The Company and/or one or more of its subsidiaries is party to various pending litigation matters that are considered ordinary</w:t>
      </w:r>
      <w:r>
        <w:rPr>
          <w:rFonts w:ascii="Arial" w:cs="Arial" w:eastAsia="Arial" w:hAnsi="Arial"/>
          <w:sz w:val="17"/>
          <w:szCs w:val="17"/>
          <w:b w:val="1"/>
          <w:bCs w:val="1"/>
          <w:color w:val="auto"/>
        </w:rPr>
        <w:t xml:space="preserve"> </w:t>
      </w:r>
      <w:r>
        <w:rPr>
          <w:rFonts w:ascii="Arial" w:cs="Arial" w:eastAsia="Arial" w:hAnsi="Arial"/>
          <w:sz w:val="17"/>
          <w:szCs w:val="17"/>
          <w:color w:val="auto"/>
        </w:rPr>
        <w:t>routine litigation incidental to the Company's business as a finance and investment company focused on the commercial real estate industry, including loan foreclosure and foreclosure-related proceedings. In addition to such matters, the Company is a party to the following legal proceedings:</w:t>
      </w:r>
    </w:p>
    <w:p>
      <w:pPr>
        <w:spacing w:after="0"/>
        <w:rPr>
          <w:sz w:val="20"/>
          <w:szCs w:val="20"/>
          <w:color w:val="auto"/>
        </w:rPr>
      </w:pPr>
      <w:r>
        <w:rPr>
          <w:rFonts w:ascii="Arial" w:cs="Arial" w:eastAsia="Arial" w:hAnsi="Arial"/>
          <w:sz w:val="18"/>
          <w:szCs w:val="18"/>
          <w:i w:val="1"/>
          <w:iCs w:val="1"/>
          <w:color w:val="auto"/>
        </w:rPr>
        <w:t>Shareholder Action</w:t>
      </w:r>
    </w:p>
    <w:p>
      <w:pPr>
        <w:spacing w:after="0" w:line="22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previously reported, a shareholder action was filed in 2014 in Maryland state court purporting to assert derivative, class and individual claims against the Company, a number of our current and former senior executives (including our chief executive officer) and current and former directors as defendants. The complaint alleged breach of fiduciary duty, breach of contract and other causes of action arising out of compensation awards granted by the Company to our senior executives in December 2008 and modified in July 2011. On October 30, 2014, the Maryland Circuit Court dismissed all of plaintiffs' claims in the action. Plaintiffs appealed and, on January 28, 2016, the Maryland Court of Special Appeals affirmed the order of the Circuit Court. Plaintiffs appealed that decision and, on January 20, 2017, the Maryland Court of Appeals (Maryland’s highest court) issued its opinion affirming the dismissal of all of plaintiffs’ claims against the Company and the other defendants. This matter is concluded.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Home Corporation ("Lennar") v. Settlers Crossing, LLC, et al. (Civil Action No. DKC 08-1863)</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This litigation involves a dispute over the purchase and sale of approximately 1,250 acres of land in Prince George’s County, Maryland. On January 22, 2015, the United States District Court for the District of Maryland (the District Court) entered a judgment in favor of the Company, as seller, and against Lennar, as purchaser. The District Court found that the Company is entitled to specific performance and awarded damages to the Company in the aggregate amount of: (i) the remaining purchase price to be paid by Lennar of $114.0 million; plus (ii) simple interest on the unpaid amount at a rate of 12% annually, calculated from May 27, 2008, until Lennar proceeds to settlement on the land; plus (iii) real estate taxes paid by the Company; plus (iv) actual and reasonable attorneys' fees and costs incurred by the Company in connection with the litigation. Lennar appealed the District Court's judgment and posted an appeal bond.</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April 12, 2017, the United States Court of Appeals for the Fourth Circuit (the Court of Appeals) affirmed the judgment of the District Court in its entirety. Lennar has filed a petition with the Court of Appeals for rehearing en banc, only with respect to the calculation of interest owed by Lennar on the unpaid purchase price following the date of the judgment of the District Court, which petition is pending. Lennar’s time period to seek review of the Court of Appeals’ decision by the United States Supreme Court has not expired.</w:t>
      </w:r>
    </w:p>
    <w:p>
      <w:pPr>
        <w:spacing w:after="0" w:line="1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April 21, 2017, the Company and Lennar completed settlement of transfer of the land, pursuant to which we conveyed the land to Lennar and received net proceeds of $231.1 million after payment of $6.3 million in documentary transfer taxes, subject to certain holdbacks and subject also to final resolution of the amount of post-judgment interest owed by Lennar, consisting of $114.0 million of sales proceeds, $121.8 million of interest and $1.6 million of real estate tax reimbursements. The amount of attorneys’ fees and costs to be recovered by the Company will be determined through further proceedings before the District Court. A portion of the net proceeds received by the Company has been paid to the third party which holds a 4.3% participation interest in all proceeds received by the Company.</w:t>
      </w:r>
    </w:p>
    <w:p>
      <w:pPr>
        <w:spacing w:after="0" w:line="19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a quarterly basis, the Company evaluates developments in legal proceedings that could require a liability to be accrued and/or disclosed. Based on its current knowledge, and after consultation with legal counsel, the Company believes it is not a party to, nor are any of its properties the subject of, any pending legal proceeding that would have a material adverse effect on the Company's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12—Derivatives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use of derivative financial instruments is primarily limited to the utilization of interest rate swaps, interest rate caps and foreign exchange contracts. The principal objective of such financial instruments is to minimize the risks and/or costs associated with the Company's operating and financial structure and to manage its exposure to interest rates and foreign exchange rates.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 ($ in thousands):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Derivative Assets as of</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Derivative Liabilities as of</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1940" w:type="dxa"/>
            <w:vAlign w:val="bottom"/>
          </w:tcPr>
          <w:p>
            <w:pPr>
              <w:spacing w:after="0"/>
              <w:rPr>
                <w:sz w:val="22"/>
                <w:szCs w:val="22"/>
                <w:color w:val="auto"/>
              </w:rPr>
            </w:pPr>
          </w:p>
        </w:tc>
        <w:tc>
          <w:tcPr>
            <w:tcW w:w="16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4"/>
              </w:rPr>
              <w:t>March 31, 2017</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rPr>
                <w:sz w:val="22"/>
                <w:szCs w:val="22"/>
                <w:color w:val="auto"/>
              </w:rPr>
            </w:pPr>
          </w:p>
        </w:tc>
        <w:tc>
          <w:tcPr>
            <w:tcW w:w="16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4"/>
              </w:rPr>
              <w:t>March 31, 2017</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December 31, 2016</w:t>
            </w:r>
          </w:p>
        </w:tc>
      </w:tr>
      <w:tr>
        <w:trPr>
          <w:trHeight w:val="152"/>
        </w:trPr>
        <w:tc>
          <w:tcPr>
            <w:tcW w:w="194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Balance Sheet</w:t>
            </w:r>
          </w:p>
        </w:tc>
        <w:tc>
          <w:tcPr>
            <w:tcW w:w="260" w:type="dxa"/>
            <w:vAlign w:val="bottom"/>
          </w:tcPr>
          <w:p>
            <w:pPr>
              <w:spacing w:after="0"/>
              <w:rPr>
                <w:sz w:val="13"/>
                <w:szCs w:val="13"/>
                <w:color w:val="auto"/>
              </w:rPr>
            </w:pPr>
          </w:p>
        </w:tc>
        <w:tc>
          <w:tcPr>
            <w:tcW w:w="68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120" w:type="dxa"/>
            <w:vAlign w:val="bottom"/>
          </w:tcPr>
          <w:p>
            <w:pPr>
              <w:ind w:left="180"/>
              <w:spacing w:after="0" w:line="153" w:lineRule="exact"/>
              <w:rPr>
                <w:sz w:val="20"/>
                <w:szCs w:val="20"/>
                <w:color w:val="auto"/>
              </w:rPr>
            </w:pPr>
            <w:r>
              <w:rPr>
                <w:rFonts w:ascii="Arial" w:cs="Arial" w:eastAsia="Arial" w:hAnsi="Arial"/>
                <w:sz w:val="14"/>
                <w:szCs w:val="14"/>
                <w:b w:val="1"/>
                <w:bCs w:val="1"/>
                <w:color w:val="auto"/>
                <w:w w:val="96"/>
              </w:rPr>
              <w:t>Balance Sheet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Balance Sheet</w:t>
            </w:r>
          </w:p>
        </w:tc>
        <w:tc>
          <w:tcPr>
            <w:tcW w:w="260" w:type="dxa"/>
            <w:vAlign w:val="bottom"/>
          </w:tcPr>
          <w:p>
            <w:pPr>
              <w:spacing w:after="0"/>
              <w:rPr>
                <w:sz w:val="13"/>
                <w:szCs w:val="13"/>
                <w:color w:val="auto"/>
              </w:rPr>
            </w:pPr>
          </w:p>
        </w:tc>
        <w:tc>
          <w:tcPr>
            <w:tcW w:w="64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19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Value</w:t>
            </w:r>
          </w:p>
        </w:tc>
      </w:tr>
      <w:tr>
        <w:trPr>
          <w:trHeight w:val="270"/>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in Hedging Relationships</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contracts</w:t>
            </w: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N/A</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8</w:t>
            </w:r>
          </w:p>
        </w:tc>
      </w:tr>
      <w:tr>
        <w:trPr>
          <w:trHeight w:val="27"/>
        </w:trPr>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r>
      <w:tr>
        <w:trPr>
          <w:trHeight w:val="297"/>
        </w:trPr>
        <w:tc>
          <w:tcPr>
            <w:tcW w:w="1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gridSpan w:val="2"/>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w:t>
            </w:r>
          </w:p>
        </w:tc>
      </w:tr>
      <w:tr>
        <w:trPr>
          <w:trHeight w:val="271"/>
        </w:trPr>
        <w:tc>
          <w:tcPr>
            <w:tcW w:w="19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33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Derivatives not Designated in Hedging Relationships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5"/>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7"/>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Interest rate cap</w:t>
            </w: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680" w:type="dxa"/>
            <w:vAlign w:val="bottom"/>
          </w:tcPr>
          <w:p>
            <w:pPr>
              <w:ind w:left="38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19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622"/>
        </w:trPr>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22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tables below present the effect of the Company's derivative financial instruments in the consolidated statements of operations and the consolidated statements of comprehensive income (loss)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2"/>
              </w:rPr>
              <w:t>Amount of Gain (Loss)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Amount of Gain (Loss)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44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Location of Gain (Loss)</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Recognized in 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Comprehensive Income into</w:t>
            </w:r>
          </w:p>
        </w:tc>
        <w:tc>
          <w:tcPr>
            <w:tcW w:w="0" w:type="dxa"/>
            <w:vAlign w:val="bottom"/>
          </w:tcPr>
          <w:p>
            <w:pPr>
              <w:spacing w:after="0"/>
              <w:rPr>
                <w:sz w:val="1"/>
                <w:szCs w:val="1"/>
                <w:color w:val="auto"/>
              </w:rPr>
            </w:pPr>
          </w:p>
        </w:tc>
      </w:tr>
      <w:tr>
        <w:trPr>
          <w:trHeight w:val="149"/>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Derivatives Designated in Hedging Relationships</w:t>
            </w:r>
          </w:p>
        </w:tc>
        <w:tc>
          <w:tcPr>
            <w:tcW w:w="2440" w:type="dxa"/>
            <w:vAlign w:val="bottom"/>
            <w:gridSpan w:val="4"/>
            <w:vMerge w:val="continue"/>
          </w:tcPr>
          <w:p>
            <w:pPr>
              <w:spacing w:after="0"/>
              <w:rPr>
                <w:sz w:val="12"/>
                <w:szCs w:val="12"/>
                <w:color w:val="auto"/>
              </w:rPr>
            </w:pP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 Income into</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Recognized in Income</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Income (Effective Portion)</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Earnings (Effective Portion)</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2017</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440" w:type="dxa"/>
            <w:vAlign w:val="bottom"/>
            <w:gridSpan w:val="4"/>
          </w:tcPr>
          <w:p>
            <w:pPr>
              <w:ind w:left="60"/>
              <w:spacing w:after="0"/>
              <w:rPr>
                <w:sz w:val="20"/>
                <w:szCs w:val="20"/>
                <w:color w:val="auto"/>
              </w:rPr>
            </w:pPr>
            <w:r>
              <w:rPr>
                <w:rFonts w:ascii="Arial" w:cs="Arial" w:eastAsia="Arial" w:hAnsi="Arial"/>
                <w:sz w:val="18"/>
                <w:szCs w:val="18"/>
                <w:color w:val="auto"/>
              </w:rPr>
              <w:t>Interest Expense</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20" w:type="dxa"/>
            <w:vAlign w:val="bottom"/>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24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Earnings from equity method</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440" w:type="dxa"/>
            <w:vAlign w:val="bottom"/>
            <w:gridSpan w:val="4"/>
          </w:tcPr>
          <w:p>
            <w:pPr>
              <w:ind w:left="60"/>
              <w:spacing w:after="0"/>
              <w:rPr>
                <w:sz w:val="20"/>
                <w:szCs w:val="20"/>
                <w:color w:val="auto"/>
              </w:rPr>
            </w:pPr>
            <w:r>
              <w:rPr>
                <w:rFonts w:ascii="Arial" w:cs="Arial" w:eastAsia="Arial" w:hAnsi="Arial"/>
                <w:sz w:val="18"/>
                <w:szCs w:val="18"/>
                <w:color w:val="auto"/>
              </w:rPr>
              <w:t>Earnings from equity method</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820" w:type="dxa"/>
            <w:vAlign w:val="bottom"/>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440" w:type="dxa"/>
            <w:vAlign w:val="bottom"/>
            <w:gridSpan w:val="4"/>
          </w:tcPr>
          <w:p>
            <w:pPr>
              <w:ind w:left="60"/>
              <w:spacing w:after="0"/>
              <w:rPr>
                <w:sz w:val="20"/>
                <w:szCs w:val="20"/>
                <w:color w:val="auto"/>
              </w:rPr>
            </w:pPr>
            <w:r>
              <w:rPr>
                <w:rFonts w:ascii="Arial" w:cs="Arial" w:eastAsia="Arial" w:hAnsi="Arial"/>
                <w:sz w:val="18"/>
                <w:szCs w:val="18"/>
                <w:color w:val="auto"/>
              </w:rPr>
              <w:t>investments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4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Earnings from equity method</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gridSpan w:val="5"/>
          </w:tcPr>
          <w:p>
            <w:pPr>
              <w:ind w:left="40"/>
              <w:spacing w:after="0"/>
              <w:rPr>
                <w:sz w:val="20"/>
                <w:szCs w:val="20"/>
                <w:color w:val="auto"/>
              </w:rPr>
            </w:pPr>
            <w:r>
              <w:rPr>
                <w:rFonts w:ascii="Arial" w:cs="Arial" w:eastAsia="Arial" w:hAnsi="Arial"/>
                <w:sz w:val="18"/>
                <w:szCs w:val="18"/>
                <w:b w:val="1"/>
                <w:bCs w:val="1"/>
                <w:color w:val="auto"/>
              </w:rPr>
              <w:t>For the Three Months Ended March 31, 2016</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244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rPr>
              <w:t>Interest Expense</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cap</w:t>
            </w:r>
          </w:p>
        </w:tc>
        <w:tc>
          <w:tcPr>
            <w:tcW w:w="2440" w:type="dxa"/>
            <w:vAlign w:val="bottom"/>
            <w:gridSpan w:val="4"/>
          </w:tcPr>
          <w:p>
            <w:pPr>
              <w:ind w:left="60"/>
              <w:spacing w:after="0"/>
              <w:rPr>
                <w:sz w:val="20"/>
                <w:szCs w:val="20"/>
                <w:color w:val="auto"/>
              </w:rPr>
            </w:pPr>
            <w:r>
              <w:rPr>
                <w:rFonts w:ascii="Arial" w:cs="Arial" w:eastAsia="Arial" w:hAnsi="Arial"/>
                <w:sz w:val="18"/>
                <w:szCs w:val="18"/>
                <w:color w:val="auto"/>
              </w:rPr>
              <w:t>Earnings from equity method</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440" w:type="dxa"/>
            <w:vAlign w:val="bottom"/>
            <w:gridSpan w:val="4"/>
          </w:tcPr>
          <w:p>
            <w:pPr>
              <w:ind w:left="60"/>
              <w:spacing w:after="0"/>
              <w:rPr>
                <w:sz w:val="20"/>
                <w:szCs w:val="20"/>
                <w:color w:val="auto"/>
              </w:rPr>
            </w:pPr>
            <w:r>
              <w:rPr>
                <w:rFonts w:ascii="Arial" w:cs="Arial" w:eastAsia="Arial" w:hAnsi="Arial"/>
                <w:sz w:val="18"/>
                <w:szCs w:val="18"/>
                <w:color w:val="auto"/>
              </w:rPr>
              <w:t>investments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44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rPr>
              <w:t>Interest Expense</w:t>
            </w:r>
          </w:p>
        </w:tc>
        <w:tc>
          <w:tcPr>
            <w:tcW w:w="1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440" w:type="dxa"/>
            <w:vAlign w:val="bottom"/>
            <w:gridSpan w:val="4"/>
          </w:tcPr>
          <w:p>
            <w:pPr>
              <w:ind w:left="60"/>
              <w:spacing w:after="0"/>
              <w:rPr>
                <w:sz w:val="20"/>
                <w:szCs w:val="20"/>
                <w:color w:val="auto"/>
              </w:rPr>
            </w:pPr>
            <w:r>
              <w:rPr>
                <w:rFonts w:ascii="Arial" w:cs="Arial" w:eastAsia="Arial" w:hAnsi="Arial"/>
                <w:sz w:val="18"/>
                <w:szCs w:val="18"/>
                <w:color w:val="auto"/>
              </w:rPr>
              <w:t>Earnings from equity method</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(459)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820" w:type="dxa"/>
            <w:vAlign w:val="bottom"/>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440" w:type="dxa"/>
            <w:vAlign w:val="bottom"/>
            <w:gridSpan w:val="4"/>
          </w:tcPr>
          <w:p>
            <w:pPr>
              <w:ind w:left="60"/>
              <w:spacing w:after="0"/>
              <w:rPr>
                <w:sz w:val="20"/>
                <w:szCs w:val="20"/>
                <w:color w:val="auto"/>
              </w:rPr>
            </w:pPr>
            <w:r>
              <w:rPr>
                <w:rFonts w:ascii="Arial" w:cs="Arial" w:eastAsia="Arial" w:hAnsi="Arial"/>
                <w:sz w:val="18"/>
                <w:szCs w:val="18"/>
                <w:color w:val="auto"/>
              </w:rPr>
              <w:t>investments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4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Earnings from equity method</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63"/>
        </w:trPr>
        <w:tc>
          <w:tcPr>
            <w:tcW w:w="3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center"/>
              <w:ind w:left="444"/>
              <w:spacing w:after="0"/>
              <w:rPr>
                <w:sz w:val="20"/>
                <w:szCs w:val="20"/>
                <w:color w:val="auto"/>
              </w:rPr>
            </w:pPr>
            <w:r>
              <w:rPr>
                <w:rFonts w:ascii="Arial" w:cs="Arial" w:eastAsia="Arial" w:hAnsi="Arial"/>
                <w:sz w:val="14"/>
                <w:szCs w:val="14"/>
                <w:b w:val="1"/>
                <w:bCs w:val="1"/>
                <w:color w:val="auto"/>
                <w:w w:val="94"/>
              </w:rPr>
              <w:t>Amount of Gain (Loss)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6"/>
          </w:tcPr>
          <w:p>
            <w:pPr>
              <w:jc w:val="center"/>
              <w:ind w:left="444"/>
              <w:spacing w:after="0"/>
              <w:rPr>
                <w:sz w:val="20"/>
                <w:szCs w:val="20"/>
                <w:color w:val="auto"/>
              </w:rPr>
            </w:pPr>
            <w:r>
              <w:rPr>
                <w:rFonts w:ascii="Arial" w:cs="Arial" w:eastAsia="Arial" w:hAnsi="Arial"/>
                <w:sz w:val="14"/>
                <w:szCs w:val="14"/>
                <w:b w:val="1"/>
                <w:bCs w:val="1"/>
                <w:color w:val="auto"/>
                <w:w w:val="90"/>
              </w:rPr>
              <w:t>Recognized in Income</w:t>
            </w:r>
          </w:p>
        </w:tc>
        <w:tc>
          <w:tcPr>
            <w:tcW w:w="4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left="461"/>
              <w:spacing w:after="0"/>
              <w:rPr>
                <w:sz w:val="20"/>
                <w:szCs w:val="20"/>
                <w:color w:val="auto"/>
              </w:rPr>
            </w:pPr>
            <w:r>
              <w:rPr>
                <w:rFonts w:ascii="Arial" w:cs="Arial" w:eastAsia="Arial" w:hAnsi="Arial"/>
                <w:sz w:val="14"/>
                <w:szCs w:val="14"/>
                <w:b w:val="1"/>
                <w:bCs w:val="1"/>
                <w:color w:val="auto"/>
                <w:w w:val="94"/>
              </w:rPr>
              <w:t>Location of Gain</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2220" w:type="dxa"/>
            <w:vAlign w:val="bottom"/>
            <w:gridSpan w:val="4"/>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(Loss) Recognized in</w:t>
            </w: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Derivatives not Designated in Hedging Relationships</w:t>
            </w:r>
          </w:p>
        </w:tc>
        <w:tc>
          <w:tcPr>
            <w:tcW w:w="7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2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3"/>
              </w:rPr>
              <w:t>Income</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780" w:type="dxa"/>
            <w:vAlign w:val="bottom"/>
            <w:tcBorders>
              <w:bottom w:val="single" w:sz="8" w:color="CCEEFF"/>
            </w:tcBorders>
            <w:gridSpan w:val="3"/>
            <w:shd w:val="clear" w:color="auto" w:fill="CCEEFF"/>
          </w:tcPr>
          <w:p>
            <w:pPr>
              <w:jc w:val="right"/>
              <w:ind w:right="94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w w:val="79"/>
              </w:rPr>
              <w:t>47</w:t>
            </w:r>
          </w:p>
        </w:tc>
        <w:tc>
          <w:tcPr>
            <w:tcW w:w="104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Other Expense</w:t>
            </w:r>
          </w:p>
        </w:tc>
        <w:tc>
          <w:tcPr>
            <w:tcW w:w="2060" w:type="dxa"/>
            <w:vAlign w:val="bottom"/>
            <w:gridSpan w:val="6"/>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Foreign Exchange Contracts</w:t>
      </w:r>
      <w:r>
        <w:rPr>
          <w:rFonts w:ascii="Arial" w:cs="Arial" w:eastAsia="Arial" w:hAnsi="Arial"/>
          <w:sz w:val="17"/>
          <w:szCs w:val="17"/>
          <w:color w:val="auto"/>
        </w:rPr>
        <w:t>—The Company is exposed to fluctuations in foreign exchange rates on investments it holds in foreign entities.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uses foreign exchange contracts to hedge its exposure to changes in foreign exchange rates on its foreign investments. Foreign exchange contracts involve fixing the U.S. dollar ("USD") to the respective foreign currency exchange rate for delivery of a specified amount of foreign currency on a specified date. The foreign exchange contracts are typically cash settled in USD for their fair value at or close to their settlement date.</w:t>
      </w:r>
    </w:p>
    <w:p>
      <w:pPr>
        <w:spacing w:after="0" w:line="12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derivatives designated as net investment hedges, the effective portion of changes in the fair value of the derivatives are reported in Accumulated Other Comprehensive Income as part of the cumulative translation adjustment. The ineffective portion of the change in fair value of the derivatives is recognized directly in earnings. Amounts are reclassified out of Accumulated Other Comprehensive Income into earnings when the hedged foreign entity is either sold or substantially liquidated. As of March 31, 2017, the Company had the following outstanding foreign currency derivatives that were used to hedge its net investments in foreign operations that were designated ($ and Rs in thousands):</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Notional</w:t>
            </w:r>
          </w:p>
        </w:tc>
        <w:tc>
          <w:tcPr>
            <w:tcW w:w="15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6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(USD Equivalent)</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Sells Indian rupee ("INR")/Buys USD Forward</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5,089</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8"/>
              </w:rPr>
              <w:t>April 2017</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derivatives not designated as net investment hedges, the changes in the fair value of the derivatives are reported in the Company's consolidated statements of operations within "Other Expense." As of March 31, 2017, the Company had the following</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outstanding foreign currency derivatives that were used to hedge its net investments in foreign operations that were not designated ($, €, and £ in thousands):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14"/>
                <w:szCs w:val="14"/>
                <w:color w:val="auto"/>
              </w:rPr>
            </w:pPr>
          </w:p>
        </w:tc>
        <w:tc>
          <w:tcPr>
            <w:tcW w:w="1680" w:type="dxa"/>
            <w:vAlign w:val="bottom"/>
            <w:gridSpan w:val="2"/>
          </w:tcPr>
          <w:p>
            <w:pPr>
              <w:ind w:left="400"/>
              <w:spacing w:after="0"/>
              <w:rPr>
                <w:sz w:val="20"/>
                <w:szCs w:val="20"/>
                <w:color w:val="auto"/>
              </w:rPr>
            </w:pPr>
            <w:r>
              <w:rPr>
                <w:rFonts w:ascii="Arial" w:cs="Arial" w:eastAsia="Arial" w:hAnsi="Arial"/>
                <w:sz w:val="14"/>
                <w:szCs w:val="14"/>
                <w:b w:val="1"/>
                <w:bCs w:val="1"/>
                <w:color w:val="auto"/>
              </w:rPr>
              <w:t>Notional</w:t>
            </w: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6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(USD Equivalent)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Sells euro ("EUR")/Buys USD Forward</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6,549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6"/>
              </w:rPr>
              <w:t>April 2017</w:t>
            </w:r>
          </w:p>
        </w:tc>
        <w:tc>
          <w:tcPr>
            <w:tcW w:w="0" w:type="dxa"/>
            <w:vAlign w:val="bottom"/>
          </w:tcPr>
          <w:p>
            <w:pPr>
              <w:spacing w:after="0"/>
              <w:rPr>
                <w:sz w:val="1"/>
                <w:szCs w:val="1"/>
                <w:color w:val="auto"/>
              </w:rPr>
            </w:pPr>
          </w:p>
        </w:tc>
      </w:tr>
      <w:tr>
        <w:trPr>
          <w:trHeight w:val="243"/>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Sells pound sterling ("GBP")/Buys USD Forward</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3,400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21"/>
                <w:szCs w:val="21"/>
                <w:color w:val="auto"/>
              </w:rPr>
            </w:pPr>
          </w:p>
        </w:tc>
        <w:tc>
          <w:tcPr>
            <w:tcW w:w="1360" w:type="dxa"/>
            <w:vAlign w:val="bottom"/>
          </w:tcPr>
          <w:p>
            <w:pPr>
              <w:ind w:left="560"/>
              <w:spacing w:after="0"/>
              <w:rPr>
                <w:sz w:val="20"/>
                <w:szCs w:val="20"/>
                <w:color w:val="auto"/>
              </w:rPr>
            </w:pPr>
            <w:r>
              <w:rPr>
                <w:rFonts w:ascii="Arial" w:cs="Arial" w:eastAsia="Arial" w:hAnsi="Arial"/>
                <w:sz w:val="18"/>
                <w:szCs w:val="18"/>
                <w:color w:val="auto"/>
                <w:w w:val="96"/>
              </w:rPr>
              <w:t>April 2017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marks its foreign investments each quarter based on current exchange rates and records the gain or loss through "Other expense" in its consolidated statements of operations for loan investments or "Accumulated other comprehensive income (loss)," on its consolidated balance sheets for net investments in foreign subsidiaries. The Company recorded net gains related to foreign investments of $0.1 million during the three months ended March 31, 2017 and 2016 in its consolidated statements of operations.</w:t>
      </w:r>
    </w:p>
    <w:p>
      <w:pPr>
        <w:spacing w:after="0" w:line="14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Interest Rate Hedges</w:t>
      </w:r>
      <w:r>
        <w:rPr>
          <w:rFonts w:ascii="Arial" w:cs="Arial" w:eastAsia="Arial" w:hAnsi="Arial"/>
          <w:sz w:val="17"/>
          <w:szCs w:val="17"/>
          <w:color w:val="auto"/>
        </w:rPr>
        <w:t>—For derivatives designated as cash flow hedges, the effective portion of changes in the fair value of the derivatives are reported</w:t>
      </w:r>
      <w:r>
        <w:rPr>
          <w:rFonts w:ascii="Arial" w:cs="Arial" w:eastAsia="Arial" w:hAnsi="Arial"/>
          <w:sz w:val="17"/>
          <w:szCs w:val="17"/>
          <w:b w:val="1"/>
          <w:bCs w:val="1"/>
          <w:color w:val="auto"/>
        </w:rPr>
        <w:t xml:space="preserve"> </w:t>
      </w:r>
      <w:r>
        <w:rPr>
          <w:rFonts w:ascii="Arial" w:cs="Arial" w:eastAsia="Arial" w:hAnsi="Arial"/>
          <w:sz w:val="17"/>
          <w:szCs w:val="17"/>
          <w:color w:val="auto"/>
        </w:rPr>
        <w:t>in Accumulated Other Comprehensive Income (Loss). The ineffective portion of the change in fair value of the derivatives is recognized directly in the Company's consolidated statements of operations. As of March 31, 2017, the Company had the following outstanding interest rate swap that was used to hedge its variable rate debt that was designated as a cash flow hedge ($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Variable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26,254</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LIBOR + 2.00%</w:t>
            </w:r>
          </w:p>
        </w:tc>
        <w:tc>
          <w:tcPr>
            <w:tcW w:w="16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October 2012</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2019</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March 31, 2017, the Company entered into and settled a rate lock swap in connection with the 2017 Secured Financing. As a result of the settlement, the Company recorded a $0.4 million unrealized gain in “Accumulated other comprehensive income” on the Company’s consolidated balance sheets. The unrealized gain will be amortized from accumulated other comprehensive as a reduction to interest expense over the term of the 2017 Secured Financing.</w:t>
      </w:r>
    </w:p>
    <w:p>
      <w:pPr>
        <w:spacing w:after="0" w:line="1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derivatives not designated as cash flow hedges, the changes in the fair value of the derivatives are reported in the Company's consolidated statements of operations within "Other Expense." As of March 31, 2017, the Company had the following outstanding interest rate cap that was used to hedge its variable rate debt that was not designated as a cash flow hedge ($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Variable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LIBOR</w:t>
            </w:r>
          </w:p>
        </w:tc>
        <w:tc>
          <w:tcPr>
            <w:tcW w:w="16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July 2014</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2017</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Over the next 12 months, the Company expects that $0.1 million related to terminated cash flow hedges will be reclassified</w:t>
      </w:r>
    </w:p>
    <w:p>
      <w:pPr>
        <w:spacing w:after="0" w:line="23"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from "Accumulated other comprehensive income (loss)" into interest expense and $0.3 million related to cash flow hedges will be reclassified from "Accumulated other comprehensive income (loss)" into earnings.</w:t>
      </w:r>
    </w:p>
    <w:p>
      <w:pPr>
        <w:spacing w:after="0" w:line="180"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Risk-Related Contingent Features</w:t>
      </w:r>
      <w:r>
        <w:rPr>
          <w:rFonts w:ascii="Arial" w:cs="Arial" w:eastAsia="Arial" w:hAnsi="Arial"/>
          <w:sz w:val="18"/>
          <w:szCs w:val="18"/>
          <w:color w:val="auto"/>
        </w:rPr>
        <w:t>—The Company has agreements with each of its derivative counterparties that contain a provision where if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either defaults or is capable of being declared in default on any of its indebtedness, then the Company could also be declared in default on its derivative obligations.</w:t>
      </w:r>
    </w:p>
    <w:p>
      <w:pPr>
        <w:spacing w:after="0" w:line="18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reports derivative instruments on a gross basis in the consolidated financial statements. In connection with its foreign currency derivatives which were in a liability position as of March 31, 2017 and December 31, 2016, the Company has posted collateral of $1.8 million and $0.4 million, respectively, and is included in "Deferred expenses and other assets, net" on the Company's consolidated balance sheets. The Company's net exposure under these contracts was zero as of March 31,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13—Equity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Preferred Stock</w:t>
      </w:r>
      <w:r>
        <w:rPr>
          <w:rFonts w:ascii="Arial" w:cs="Arial" w:eastAsia="Arial" w:hAnsi="Arial"/>
          <w:sz w:val="16"/>
          <w:szCs w:val="16"/>
          <w:color w:val="auto"/>
        </w:rPr>
        <w:t>—The Company had the following series of Cumulative Redeemable and Convertible Perpetual Preferred Stock outstanding as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December 31, 2016: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Cumulative Preferential Cash</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Dividends</w:t>
            </w:r>
            <w:r>
              <w:rPr>
                <w:rFonts w:ascii="Arial" w:cs="Arial" w:eastAsia="Arial" w:hAnsi="Arial"/>
                <w:sz w:val="8"/>
                <w:szCs w:val="8"/>
                <w:b w:val="1"/>
                <w:bCs w:val="1"/>
                <w:color w:val="auto"/>
                <w:w w:val="94"/>
              </w:rPr>
              <w:t>(1)(2)</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Shares Issued and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5"/>
              </w:rPr>
              <w:t>Equivalent to</w:t>
            </w:r>
          </w:p>
        </w:tc>
        <w:tc>
          <w:tcPr>
            <w:tcW w:w="0" w:type="dxa"/>
            <w:vAlign w:val="bottom"/>
          </w:tcPr>
          <w:p>
            <w:pPr>
              <w:spacing w:after="0"/>
              <w:rPr>
                <w:sz w:val="1"/>
                <w:szCs w:val="1"/>
                <w:color w:val="auto"/>
              </w:rPr>
            </w:pPr>
          </w:p>
        </w:tc>
      </w:tr>
      <w:tr>
        <w:trPr>
          <w:trHeight w:val="185"/>
        </w:trPr>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Series</w:t>
            </w:r>
          </w:p>
        </w:tc>
        <w:tc>
          <w:tcPr>
            <w:tcW w:w="120" w:type="dxa"/>
            <w:vAlign w:val="bottom"/>
            <w:vMerge w:val="restart"/>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Liquidation Preference</w:t>
            </w:r>
            <w:r>
              <w:rPr>
                <w:rFonts w:ascii="Arial" w:cs="Arial" w:eastAsia="Arial" w:hAnsi="Arial"/>
                <w:sz w:val="8"/>
                <w:szCs w:val="8"/>
                <w:b w:val="1"/>
                <w:bCs w:val="1"/>
                <w:color w:val="auto"/>
                <w:w w:val="97"/>
              </w:rPr>
              <w:t>(3)</w:t>
            </w:r>
          </w:p>
        </w:tc>
        <w:tc>
          <w:tcPr>
            <w:tcW w:w="10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Rate per Annum</w:t>
            </w:r>
          </w:p>
        </w:tc>
        <w:tc>
          <w:tcPr>
            <w:tcW w:w="10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156"/>
              <w:spacing w:after="0"/>
              <w:rPr>
                <w:sz w:val="20"/>
                <w:szCs w:val="20"/>
                <w:color w:val="auto"/>
              </w:rPr>
            </w:pPr>
            <w:r>
              <w:rPr>
                <w:rFonts w:ascii="Arial" w:cs="Arial" w:eastAsia="Arial" w:hAnsi="Arial"/>
                <w:sz w:val="14"/>
                <w:szCs w:val="14"/>
                <w:b w:val="1"/>
                <w:bCs w:val="1"/>
                <w:color w:val="auto"/>
                <w:w w:val="95"/>
              </w:rPr>
              <w:t>Fixed Annual</w:t>
            </w:r>
          </w:p>
        </w:tc>
        <w:tc>
          <w:tcPr>
            <w:tcW w:w="0" w:type="dxa"/>
            <w:vAlign w:val="bottom"/>
          </w:tcPr>
          <w:p>
            <w:pPr>
              <w:spacing w:after="0"/>
              <w:rPr>
                <w:sz w:val="1"/>
                <w:szCs w:val="1"/>
                <w:color w:val="auto"/>
              </w:rPr>
            </w:pPr>
          </w:p>
        </w:tc>
      </w:tr>
      <w:tr>
        <w:trPr>
          <w:trHeight w:val="162"/>
        </w:trPr>
        <w:tc>
          <w:tcPr>
            <w:tcW w:w="1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96"/>
              <w:spacing w:after="0"/>
              <w:rPr>
                <w:sz w:val="20"/>
                <w:szCs w:val="20"/>
                <w:color w:val="auto"/>
              </w:rPr>
            </w:pPr>
            <w:r>
              <w:rPr>
                <w:rFonts w:ascii="Arial" w:cs="Arial" w:eastAsia="Arial" w:hAnsi="Arial"/>
                <w:sz w:val="9"/>
                <w:szCs w:val="9"/>
                <w:b w:val="1"/>
                <w:bCs w:val="1"/>
                <w:color w:val="auto"/>
              </w:rPr>
              <w:t>(4)</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3"/>
              </w:rPr>
              <w:t>Rate (per share)</w:t>
            </w:r>
          </w:p>
        </w:tc>
        <w:tc>
          <w:tcPr>
            <w:tcW w:w="0" w:type="dxa"/>
            <w:vAlign w:val="bottom"/>
          </w:tcPr>
          <w:p>
            <w:pPr>
              <w:spacing w:after="0"/>
              <w:rPr>
                <w:sz w:val="1"/>
                <w:szCs w:val="1"/>
                <w:color w:val="auto"/>
              </w:rPr>
            </w:pPr>
          </w:p>
        </w:tc>
      </w:tr>
      <w:tr>
        <w:trPr>
          <w:trHeight w:val="244"/>
        </w:trPr>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D</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E</w:t>
            </w: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5,600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25.00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7.875%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G</w:t>
            </w: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25.00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I</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 (convertible)</w:t>
            </w: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50.00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-98425</wp:posOffset>
            </wp:positionV>
            <wp:extent cx="10979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jc w:val="both"/>
        <w:ind w:left="500" w:hanging="492"/>
        <w:spacing w:after="0" w:line="241"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Holders of shares of the Series D, E, F, G, I and J preferred stock are entitled to receive dividends, when and as declared by the Company's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Company's Board of Directors for the payment of dividends that is not more than 30 nor less than 10 days prior to the dividend payment date.</w:t>
      </w:r>
    </w:p>
    <w:p>
      <w:pPr>
        <w:spacing w:after="0" w:line="2" w:lineRule="exact"/>
        <w:rPr>
          <w:rFonts w:ascii="Arial" w:cs="Arial" w:eastAsia="Arial" w:hAnsi="Arial"/>
          <w:sz w:val="14"/>
          <w:szCs w:val="14"/>
          <w:color w:val="auto"/>
        </w:rPr>
      </w:pPr>
    </w:p>
    <w:p>
      <w:pPr>
        <w:jc w:val="both"/>
        <w:ind w:left="500" w:hanging="492"/>
        <w:spacing w:after="0" w:line="260" w:lineRule="auto"/>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Company declared and paid dividends of $2.0 million, $2.8 million, $2.0 million, $1.5 million and $2.3 million on its Series D, E, F, G and I Cumulative Redeemable Preferred Stock during the three months ended March 31, 2017 and 2016. The Company declared and paid dividends of $2.3 million on its Series J Convertible Perpetual Preferred Stock during the three months ended March 31, 2017 and 2016. The character of the 2016 dividends were as follows: 47.30% is a capital gain distribution, of which 76.15% represents unrecaptured section 1250 gain and 23.85% long term capital gain, and 52.70% is ordinary income. There are no dividend arrearages on any of the preferred shares currently outstanding.</w:t>
      </w:r>
    </w:p>
    <w:p>
      <w:pPr>
        <w:ind w:left="500" w:hanging="492"/>
        <w:spacing w:after="0" w:line="241"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may, at its option, redeem the Series D, E, F, G, and I Preferred Stock, in whole or in part, at any time and from time to time, for cash at a redemption price equal to 100% of the liquidation preference of $25.00 per share, plus accrued and unpaid dividends, if any, to the redemption date.</w:t>
      </w:r>
    </w:p>
    <w:p>
      <w:pPr>
        <w:jc w:val="both"/>
        <w:ind w:left="500" w:hanging="492"/>
        <w:spacing w:after="0" w:line="246"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Each share of the Series J Preferred Stock is convertible at the holder's option at any time, initially into 3.9087 shares of the Company's common stock (equal to an initial conversion price of approximately $12.79 per share), subject to specified adjustments. The Company may not redeem the Series J Preferred Stock prior to March 15, 2018. On or after March 15, 2018, the Company may, at its option, redeem the Series J Preferred Stock, in whole or in part, at any time and from time to time, for cash at a redemption price equal to 100% of the liquidation preference of $50.00 per share, plus accrued and unpaid dividends, if any, to the redemption date.</w:t>
      </w:r>
    </w:p>
    <w:p>
      <w:pPr>
        <w:spacing w:after="0" w:line="19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b w:val="1"/>
          <w:bCs w:val="1"/>
          <w:color w:val="auto"/>
        </w:rPr>
        <w:t>Dividends</w:t>
      </w:r>
      <w:r>
        <w:rPr>
          <w:rFonts w:ascii="Arial" w:cs="Arial" w:eastAsia="Arial" w:hAnsi="Arial"/>
          <w:sz w:val="16"/>
          <w:szCs w:val="16"/>
          <w:color w:val="auto"/>
        </w:rPr>
        <w:t>—To maintain its qualification as a REIT, the Company must annually distribute, at a minimum, an amount equal to 90% of its taxable</w:t>
      </w:r>
      <w:r>
        <w:rPr>
          <w:rFonts w:ascii="Arial" w:cs="Arial" w:eastAsia="Arial" w:hAnsi="Arial"/>
          <w:sz w:val="16"/>
          <w:szCs w:val="16"/>
          <w:b w:val="1"/>
          <w:bCs w:val="1"/>
          <w:color w:val="auto"/>
        </w:rPr>
        <w:t xml:space="preserve"> </w:t>
      </w:r>
      <w:r>
        <w:rPr>
          <w:rFonts w:ascii="Arial" w:cs="Arial" w:eastAsia="Arial" w:hAnsi="Arial"/>
          <w:sz w:val="16"/>
          <w:szCs w:val="16"/>
          <w:color w:val="auto"/>
        </w:rPr>
        <w:t>income, excluding net capital gains, and must distribute 100% of its taxable income (including net capital gains) to eliminate corporate federal income taxes payable by the REIT. The Company has recorded NOLs and may record NOLs in the future, which may reduce its taxable income in future periods and lower or eliminate entirely the Company's obligation to pay dividends for such periods in order to maintain its REIT qualification. As of December 31, 2015, the Company had $902.9 million of NOL carryforwards at the corporate REIT level that can generally be used to offset both ordinary taxable income and capital gain net income in future years. The NOL carryforwards will expire beginning in 2029 and through 2035 if unused. The amount of NOL carryforwards as of December 31, 2016 will be determined upon finalization of the Company's 2016 tax return. Because taxable income differs from cash flow from operations due to non-cash revenues and expenses (such as depreciation and certain asset impairments), in certain circumstances, the Company may generate operating cash flow in excess of its dividends, or alternatively, may need to make dividend payments in excess of operating cash flows. The 2016 Senior Secured Credit Facility and 2015 Secured Revolving Credit Facility permit the Company to distribute 100% of its REIT taxable income on an annual basis (prior to deducting certain cumulative NOL carryforwards), as long as the Company maintains its REIT qualification. The 2016 Senior Secured Credit Facility and 2015 Secured Revolving Credit Facility restrict the Company from paying any common dividends if it ceases to qualify as a REIT. The Company did not declare or pay any common stock dividends for the three months ended March 31, 2017 and 2016.</w:t>
      </w:r>
    </w:p>
    <w:p>
      <w:pPr>
        <w:spacing w:after="0" w:line="165"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Stock Repurchase Program</w:t>
      </w:r>
      <w:r>
        <w:rPr>
          <w:rFonts w:ascii="Arial" w:cs="Arial" w:eastAsia="Arial" w:hAnsi="Arial"/>
          <w:sz w:val="18"/>
          <w:szCs w:val="18"/>
          <w:color w:val="auto"/>
        </w:rPr>
        <w:t>—In February 2016, after having substantially utilized the remaining availability previously authorized,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authorized a new $50.0 million stock repurchase program. After having substantially utilized the availability authorized in February 2016, the Company's Board of Directors authorized an increase to the stock repurchase program to $50.0 million, effective August 4, 2016. The program authorizes the repurchase of common stock from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time to time in open market and privately negotiated purchases, including pursuant to one or more trading plans. During the three months ended March 31, 2017, the Company did not repurchase any shares of common stock. During the three months ended March 31, 2016, the Company repurchased 5.8 million shares of its outstanding common stock for $58.1 million, at an average cost of $9.94 per share. As of March 31, 2017, the Company had remaining authorization to repurchase up to $50.0 million of common stock available to repurchase under its stock repurchase program.</w:t>
      </w:r>
    </w:p>
    <w:p>
      <w:pPr>
        <w:spacing w:after="0" w:line="167"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Accumulated Other Comprehensive Income (Loss)</w:t>
      </w:r>
      <w:r>
        <w:rPr>
          <w:rFonts w:ascii="Arial" w:cs="Arial" w:eastAsia="Arial" w:hAnsi="Arial"/>
          <w:sz w:val="18"/>
          <w:szCs w:val="18"/>
          <w:color w:val="auto"/>
        </w:rPr>
        <w:t>—"Accumulated other comprehensive income (loss)" reflected in the Company's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is comprised of the following ($ in thousands):</w:t>
      </w:r>
    </w:p>
    <w:p>
      <w:pPr>
        <w:spacing w:after="0" w:line="171"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6"/>
                <w:szCs w:val="16"/>
                <w:color w:val="auto"/>
              </w:rPr>
            </w:pPr>
          </w:p>
        </w:tc>
      </w:tr>
      <w:tr>
        <w:trPr>
          <w:trHeight w:val="264"/>
        </w:trPr>
        <w:tc>
          <w:tcPr>
            <w:tcW w:w="5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22"/>
                <w:szCs w:val="22"/>
                <w:color w:val="auto"/>
              </w:rPr>
            </w:pPr>
          </w:p>
        </w:tc>
        <w:tc>
          <w:tcPr>
            <w:tcW w:w="152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December 31, 2016</w:t>
            </w:r>
          </w:p>
        </w:tc>
      </w:tr>
      <w:tr>
        <w:trPr>
          <w:trHeight w:val="250"/>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(losses) on available-for-sale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Unrealized gains (losses) on cash flow hedges</w:t>
            </w:r>
          </w:p>
        </w:tc>
        <w:tc>
          <w:tcPr>
            <w:tcW w:w="26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on cumulative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(4,394)</w:t>
            </w:r>
          </w:p>
        </w:tc>
      </w:tr>
      <w:tr>
        <w:trPr>
          <w:trHeight w:val="257"/>
        </w:trPr>
        <w:tc>
          <w:tcPr>
            <w:tcW w:w="584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(4,218)</w:t>
            </w: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14—Stock-Based Compensation Plans and Employee Benefits</w:t>
      </w:r>
    </w:p>
    <w:p>
      <w:pPr>
        <w:spacing w:after="0" w:line="225"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b w:val="1"/>
          <w:bCs w:val="1"/>
          <w:color w:val="auto"/>
        </w:rPr>
        <w:t>Stock-Based Compensation</w:t>
      </w:r>
      <w:r>
        <w:rPr>
          <w:rFonts w:ascii="Arial" w:cs="Arial" w:eastAsia="Arial" w:hAnsi="Arial"/>
          <w:sz w:val="17"/>
          <w:szCs w:val="17"/>
          <w:color w:val="auto"/>
        </w:rPr>
        <w:t>—The Company recorded stock-based compensation expense, including the effect of performance incentive plans (see</w:t>
      </w:r>
      <w:r>
        <w:rPr>
          <w:rFonts w:ascii="Arial" w:cs="Arial" w:eastAsia="Arial" w:hAnsi="Arial"/>
          <w:sz w:val="17"/>
          <w:szCs w:val="17"/>
          <w:b w:val="1"/>
          <w:bCs w:val="1"/>
          <w:color w:val="auto"/>
        </w:rPr>
        <w:t xml:space="preserve"> </w:t>
      </w:r>
      <w:r>
        <w:rPr>
          <w:rFonts w:ascii="Arial" w:cs="Arial" w:eastAsia="Arial" w:hAnsi="Arial"/>
          <w:sz w:val="17"/>
          <w:szCs w:val="17"/>
          <w:color w:val="auto"/>
        </w:rPr>
        <w:t>below), of $5.9 million and $4.6 million for the three months ended March 31, 2017 and 2016, respectively, in "General and administrative" in the Company's consolidated statements of operations. As of March 31, 2017, there was $3.0 million of total unrecognized compensation cost related to all unvested restricted stock units ("Units") that are expected to be recognized over a weighted average remaining vesting/service period of 2.1 years.</w:t>
      </w:r>
    </w:p>
    <w:p>
      <w:pPr>
        <w:spacing w:after="0" w:line="124"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6"/>
          <w:szCs w:val="16"/>
          <w:b w:val="1"/>
          <w:bCs w:val="1"/>
          <w:color w:val="auto"/>
        </w:rPr>
        <w:t>Performance Incentive Plans</w:t>
      </w:r>
      <w:r>
        <w:rPr>
          <w:rFonts w:ascii="Arial" w:cs="Arial" w:eastAsia="Arial" w:hAnsi="Arial"/>
          <w:sz w:val="16"/>
          <w:szCs w:val="16"/>
          <w:color w:val="auto"/>
        </w:rPr>
        <w:t>—The Company's Performance Incentive Plan ("iPIP") is designed to provide, primarily to senior executives and select</w:t>
      </w:r>
      <w:r>
        <w:rPr>
          <w:rFonts w:ascii="Arial" w:cs="Arial" w:eastAsia="Arial" w:hAnsi="Arial"/>
          <w:sz w:val="16"/>
          <w:szCs w:val="16"/>
          <w:b w:val="1"/>
          <w:bCs w:val="1"/>
          <w:color w:val="auto"/>
        </w:rPr>
        <w:t xml:space="preserve"> </w:t>
      </w:r>
      <w:r>
        <w:rPr>
          <w:rFonts w:ascii="Arial" w:cs="Arial" w:eastAsia="Arial" w:hAnsi="Arial"/>
          <w:sz w:val="16"/>
          <w:szCs w:val="16"/>
          <w:color w:val="auto"/>
        </w:rPr>
        <w:t>professionals engaged in the Company's investment activities, long-term compensation which has a direct relationship to the realized returns on investments included in the plan. The fair value of points is determined using a model that forecasts the Company's projected investment performance. iPIP is a liability-classified award which will be remeasured each reporting period at fair value until the awards are settled. The following is a summary of granted iPIP points.</w:t>
      </w:r>
    </w:p>
    <w:p>
      <w:pPr>
        <w:spacing w:after="0" w:line="142" w:lineRule="exact"/>
        <w:rPr>
          <w:sz w:val="20"/>
          <w:szCs w:val="20"/>
          <w:color w:val="auto"/>
        </w:rPr>
      </w:pPr>
    </w:p>
    <w:p>
      <w:pPr>
        <w:ind w:left="1360" w:hanging="299"/>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May 2014, the Company granted 73 iPIP points in the initial 2013-2014 investment pool.</w:t>
      </w:r>
    </w:p>
    <w:p>
      <w:pPr>
        <w:spacing w:after="0" w:line="198" w:lineRule="exact"/>
        <w:rPr>
          <w:rFonts w:ascii="Arial" w:cs="Arial" w:eastAsia="Arial" w:hAnsi="Arial"/>
          <w:sz w:val="18"/>
          <w:szCs w:val="18"/>
          <w:color w:val="auto"/>
        </w:rPr>
      </w:pPr>
    </w:p>
    <w:p>
      <w:pPr>
        <w:ind w:left="1300" w:hanging="239"/>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January 2015, the Company granted an additional 10 iPIP points in the 2013-2014 investment pool and 34 iPIP points in the 2015-2016 investment pool.</w:t>
      </w:r>
    </w:p>
    <w:p>
      <w:pPr>
        <w:spacing w:after="0" w:line="129" w:lineRule="exact"/>
        <w:rPr>
          <w:rFonts w:ascii="Arial" w:cs="Arial" w:eastAsia="Arial" w:hAnsi="Arial"/>
          <w:sz w:val="18"/>
          <w:szCs w:val="18"/>
          <w:color w:val="auto"/>
        </w:rPr>
      </w:pPr>
    </w:p>
    <w:p>
      <w:pPr>
        <w:ind w:left="1300" w:hanging="239"/>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January 2016, the Company granted an additional 10 iPIP points in the 2013-2014 investment pool and an additional 40 iPIP points in the 2015-2016 investment pool.</w:t>
      </w:r>
    </w:p>
    <w:p>
      <w:pPr>
        <w:spacing w:after="0" w:line="129" w:lineRule="exact"/>
        <w:rPr>
          <w:rFonts w:ascii="Arial" w:cs="Arial" w:eastAsia="Arial" w:hAnsi="Arial"/>
          <w:sz w:val="18"/>
          <w:szCs w:val="18"/>
          <w:color w:val="auto"/>
        </w:rPr>
      </w:pPr>
    </w:p>
    <w:p>
      <w:pPr>
        <w:ind w:left="1300" w:hanging="239"/>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June 2016, the Company granted an additional 2.5 iPIP points in the 2015-2016 investment pool.</w:t>
      </w:r>
    </w:p>
    <w:p>
      <w:pPr>
        <w:spacing w:after="0" w:line="184" w:lineRule="exact"/>
        <w:rPr>
          <w:rFonts w:ascii="Arial" w:cs="Arial" w:eastAsia="Arial" w:hAnsi="Arial"/>
          <w:sz w:val="18"/>
          <w:szCs w:val="18"/>
          <w:color w:val="auto"/>
        </w:rPr>
      </w:pPr>
    </w:p>
    <w:p>
      <w:pPr>
        <w:ind w:left="1300" w:hanging="239"/>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February 2017, the Company granted an additional 5 iPIP points in the 2013-2014 investment pool, an additional 18 iPIP points in the 2015-2016 investment pool, and 44 iPIP points in the 2017-2018 investment pool.</w:t>
      </w:r>
    </w:p>
    <w:p>
      <w:pPr>
        <w:spacing w:after="0" w:line="13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As of March 31, 2017 and December 31, 2016, the Company had accrued compensation costs relating to iPIP of $28.3 million and $22.4 million, respectively, which are included in "Accounts payable, accrued expenses and other liabilities" on the Company's consolidated balance sheets.</w:t>
      </w:r>
    </w:p>
    <w:p>
      <w:pPr>
        <w:spacing w:after="0" w:line="102" w:lineRule="exact"/>
        <w:rPr>
          <w:sz w:val="20"/>
          <w:szCs w:val="20"/>
          <w:color w:val="auto"/>
        </w:rPr>
      </w:pPr>
    </w:p>
    <w:p>
      <w:pPr>
        <w:jc w:val="both"/>
        <w:ind w:right="20" w:firstLine="405"/>
        <w:spacing w:after="0" w:line="258" w:lineRule="auto"/>
        <w:rPr>
          <w:sz w:val="20"/>
          <w:szCs w:val="20"/>
          <w:color w:val="auto"/>
        </w:rPr>
      </w:pPr>
      <w:r>
        <w:rPr>
          <w:rFonts w:ascii="Arial" w:cs="Arial" w:eastAsia="Arial" w:hAnsi="Arial"/>
          <w:sz w:val="18"/>
          <w:szCs w:val="18"/>
          <w:b w:val="1"/>
          <w:bCs w:val="1"/>
          <w:color w:val="auto"/>
        </w:rPr>
        <w:t>Long-Term Incentive Plan</w:t>
      </w:r>
      <w:r>
        <w:rPr>
          <w:rFonts w:ascii="Arial" w:cs="Arial" w:eastAsia="Arial" w:hAnsi="Arial"/>
          <w:sz w:val="18"/>
          <w:szCs w:val="18"/>
          <w:color w:val="auto"/>
        </w:rPr>
        <w:t>—The Company's 2009 Long-Term Incentive Plan (the "2009 LTIP") is designed to provide incentive compensation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key employees, directors and advisors of the Company. The 2009 LTIP provides for awards of stock options, shares of restricted stock, phantom shares, restricted stock units, dividend equivalent rights and other share-based performance awards. All awards under the 2009 LTIP are made at the discretion of the Company's Board of Directors or a committee of the Board of Directors. The Company's shareholders approved the 2009 LTIP in 2009 and approved the performance-based provisions of the 2009 LTIP, as amended, in 2014.</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March 31, 2017, an aggregate of 3.4 million shares remain available for issuance pursuant to future awards under the Company's 2009 LTIP.</w:t>
      </w:r>
    </w:p>
    <w:p>
      <w:pPr>
        <w:spacing w:after="0" w:line="20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Restricted Share Issuances</w:t>
      </w:r>
      <w:r>
        <w:rPr>
          <w:rFonts w:ascii="Arial" w:cs="Arial" w:eastAsia="Arial" w:hAnsi="Arial"/>
          <w:sz w:val="18"/>
          <w:szCs w:val="18"/>
          <w:color w:val="auto"/>
        </w:rPr>
        <w:t>—During the three months ended March 31, 2017, the Company granted 97,967 shares of common stock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under the 2009 LTIP as part of annual incentive awards that included a mix of cash and equity awards. The shares are fully-vested and 62,704 shares were issued net of statutory minimum required tax withholdings. The employees are restricted from selling these shares for up to 18 months from the date of grant.</w:t>
      </w:r>
    </w:p>
    <w:p>
      <w:pPr>
        <w:spacing w:after="0" w:line="14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2017 Restricted Stock Unit Activity</w:t>
      </w:r>
      <w:r>
        <w:rPr>
          <w:rFonts w:ascii="Arial" w:cs="Arial" w:eastAsia="Arial" w:hAnsi="Arial"/>
          <w:sz w:val="18"/>
          <w:szCs w:val="18"/>
          <w:color w:val="auto"/>
        </w:rPr>
        <w:t>—During the three months ended March 31, 2017, the Company granted new stock-based compensation awards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employees in the form of long-term incentive awards, comprised of the following:</w:t>
      </w:r>
    </w:p>
    <w:p>
      <w:pPr>
        <w:spacing w:after="0" w:line="130" w:lineRule="exact"/>
        <w:rPr>
          <w:sz w:val="20"/>
          <w:szCs w:val="20"/>
          <w:color w:val="auto"/>
        </w:rPr>
      </w:pPr>
    </w:p>
    <w:p>
      <w:pPr>
        <w:jc w:val="both"/>
        <w:ind w:left="660" w:hanging="247"/>
        <w:spacing w:after="0" w:line="27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115,571 service-based Units granted on February 22, 2017, representing the right to receive an equivalent number of shares of the Company's common stock (after deducting shares for minimum required statutory withholdings) if and when the Units vest. The Units will cliff vest in one installment on December 31, 2019,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As of March 31, 2017, 115,571 of such service-based Units were outstanding.</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2017, the Company had the following additional stock-based compensation awards outstanding:</w:t>
      </w:r>
    </w:p>
    <w:p>
      <w:pPr>
        <w:spacing w:after="0" w:line="225" w:lineRule="exact"/>
        <w:rPr>
          <w:sz w:val="20"/>
          <w:szCs w:val="20"/>
          <w:color w:val="auto"/>
        </w:rPr>
      </w:pPr>
    </w:p>
    <w:p>
      <w:pPr>
        <w:jc w:val="both"/>
        <w:ind w:left="660" w:hanging="247"/>
        <w:spacing w:after="0" w:line="273"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80,000 service-based Units granted on June 15, 2016, representing the right to receive an equivalent number of shares of the Company's common stock (after deducting shares for minimum required statutory withholdings) if and when the Units vest. The Units will vest in equal annual installments over four years on each anniversary of the grant date, if the employee remains employed by the Company on the vesting date, subject to certain accelerated vesting rights. Upon vesting of these Units, the holder will receive shares of the Company's common stock in the amount of the vested Units, net of statutory minimum required tax withholdings. Dividends will accrue as and when dividends are declared by the Company on shares of its common stock, but will not be paid unless and until the Units vest and are settled.</w:t>
      </w:r>
    </w:p>
    <w:p>
      <w:pPr>
        <w:spacing w:after="0" w:line="137" w:lineRule="exact"/>
        <w:rPr>
          <w:rFonts w:ascii="Arial" w:cs="Arial" w:eastAsia="Arial" w:hAnsi="Arial"/>
          <w:sz w:val="17"/>
          <w:szCs w:val="17"/>
          <w:color w:val="auto"/>
        </w:rPr>
      </w:pPr>
    </w:p>
    <w:p>
      <w:pPr>
        <w:jc w:val="both"/>
        <w:ind w:left="660" w:hanging="247"/>
        <w:spacing w:after="0" w:line="25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109,417 service-based Units granted on January 29, 2016, representing the right to receive an equivalent number of shares of the Company's common stock (after deducting shares for minimum required statutory withholdings) if and when the Units vest. The Units will cliff vest in one installment on December 31, 2018,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w:t>
      </w:r>
    </w:p>
    <w:p>
      <w:pPr>
        <w:spacing w:after="0" w:line="147" w:lineRule="exact"/>
        <w:rPr>
          <w:rFonts w:ascii="Arial" w:cs="Arial" w:eastAsia="Arial" w:hAnsi="Arial"/>
          <w:sz w:val="18"/>
          <w:szCs w:val="18"/>
          <w:color w:val="auto"/>
        </w:rPr>
      </w:pPr>
    </w:p>
    <w:p>
      <w:pPr>
        <w:jc w:val="both"/>
        <w:ind w:left="660" w:hanging="247"/>
        <w:spacing w:after="0" w:line="26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39,071 target amount of performance-based Units granted on January 30, 2015, representing the right to receive an equivalent number of shares of the Company's common stock (after deducting shares for minimum required statutory withholdings) if and when the Units vest. The performance is based on the Company's TSR, measured over a performance period ending on December 31, 2017, which is the date the awards cliff vest. Vesting will range from 0% to 200% of the target amount of the awards, depending on the Company’s TSR performance relative to the NAREIT All REITs Index (one-half of the target amount of the award) and the Russell 2000 Index (one-half of the target amount of the award) during the performance period. The Company, as well as any companies not included in each index at the beginning and end of the performance period, are excluded from calculation of the performance of such index. To the extent Units vest based on the Company's TSR performance, holders will receive an equivalent number of shares of common stock (after deducting shares for minimum required statutory withholdings),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The fair values of the performance-based Units were determined by utilizing a Monte Carlo model to simulate a range of possible future stock prices for the Company's common stock. The assumptions used to estimate the fair value of these performance-based awards were 0.75% for risk-free interest rate and 28.14% for expected stock price volatility.</w:t>
      </w:r>
    </w:p>
    <w:p>
      <w:pPr>
        <w:spacing w:after="0" w:line="147" w:lineRule="exact"/>
        <w:rPr>
          <w:rFonts w:ascii="Arial" w:cs="Arial" w:eastAsia="Arial" w:hAnsi="Arial"/>
          <w:sz w:val="17"/>
          <w:szCs w:val="17"/>
          <w:color w:val="auto"/>
        </w:rPr>
      </w:pPr>
    </w:p>
    <w:p>
      <w:pPr>
        <w:jc w:val="both"/>
        <w:ind w:left="660" w:hanging="247"/>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56,020 service-based Units granted on January 30, 2015, representing the right to receive an equivalent number of shares of the Company's common stock (after deducting shares for minimum required statutory withholdings) if and when the Units vest. The Units will cliff vest in one installment on December 31, 2017, if the employee remains employed by the Company on the vesting date, subject to certain accelerated vesting rights. Dividends will accrue as and when dividends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are declared by the Company on shares of its common stock, but will not be paid unless and until the Units vest and are settled.</w:t>
      </w:r>
    </w:p>
    <w:p>
      <w:pPr>
        <w:spacing w:after="0" w:line="198" w:lineRule="exact"/>
        <w:rPr>
          <w:sz w:val="20"/>
          <w:szCs w:val="20"/>
          <w:color w:val="auto"/>
        </w:rPr>
      </w:pPr>
    </w:p>
    <w:p>
      <w:pPr>
        <w:jc w:val="both"/>
        <w:ind w:left="660" w:hanging="247"/>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4,751 service-based Units granted on various dates, representing the right to receive an equivalent number of shares of the Company's common stock (after deducting shares for minimum required statutory withholdings) if and when the Units vest. The Units have an original vesting term of three years. Upon vesting of these Units, holders will receive shares of the Company's common stock in the amount of the vested Units, net of statutory minimum required tax withholdings. Dividends will accrue as and when dividends are declared by the Company on shares of its common stock, but will not be paid unless and until the Units vest and are settled.</w:t>
      </w:r>
    </w:p>
    <w:p>
      <w:pPr>
        <w:spacing w:after="0" w:line="14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Directors' Awards</w:t>
      </w:r>
      <w:r>
        <w:rPr>
          <w:rFonts w:ascii="Arial" w:cs="Arial" w:eastAsia="Arial" w:hAnsi="Arial"/>
          <w:sz w:val="18"/>
          <w:szCs w:val="18"/>
          <w:color w:val="auto"/>
        </w:rPr>
        <w:t>—As of March 31, 2017, a combined total of 333,384 CSEs and restricted shares of common stock granted to members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Board of Directors remained outstanding under the Company's Non-Employee Directors Deferral Plan, with an aggregate intrinsic value of $3.9 million.</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401(k) Plan</w:t>
      </w:r>
      <w:r>
        <w:rPr>
          <w:rFonts w:ascii="Arial" w:cs="Arial" w:eastAsia="Arial" w:hAnsi="Arial"/>
          <w:sz w:val="18"/>
          <w:szCs w:val="18"/>
          <w:color w:val="auto"/>
        </w:rPr>
        <w:t>—The Company made gross contributions of $0.6 million for the three months ended March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15—Earnings Per Share</w:t>
      </w:r>
    </w:p>
    <w:p>
      <w:pPr>
        <w:spacing w:after="0" w:line="22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Earnings per share ("EPS") is calculated using the two-class method, which allocates earnings among common stock and participating securities to calculate EPS when an entity's capital structure includes either two or more classes of common stock or common stock and participating securities.</w:t>
      </w:r>
    </w:p>
    <w:p>
      <w:pPr>
        <w:spacing w:after="0" w:line="10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presents a reconciliation of income (loss) from operations used in the basic and diluted EPS calculations ($ in thousands, except for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w w:val="98"/>
              </w:rPr>
              <w:t>For the Three Months Ended March 31,</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77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(23,990)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(19,757)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780" w:type="dxa"/>
            <w:vAlign w:val="bottom"/>
          </w:tcPr>
          <w:p>
            <w:pPr>
              <w:ind w:left="40"/>
              <w:spacing w:after="0"/>
              <w:rPr>
                <w:sz w:val="20"/>
                <w:szCs w:val="20"/>
                <w:color w:val="auto"/>
              </w:rPr>
            </w:pPr>
            <w:r>
              <w:rPr>
                <w:rFonts w:ascii="Arial" w:cs="Arial" w:eastAsia="Arial" w:hAnsi="Arial"/>
                <w:sz w:val="18"/>
                <w:szCs w:val="18"/>
                <w:color w:val="auto"/>
              </w:rPr>
              <w:t>Income from sales of real estate</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8,618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10,458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780" w:type="dxa"/>
            <w:vAlign w:val="bottom"/>
          </w:tcPr>
          <w:p>
            <w:pPr>
              <w:ind w:left="40"/>
              <w:spacing w:after="0"/>
              <w:rPr>
                <w:sz w:val="20"/>
                <w:szCs w:val="20"/>
                <w:color w:val="auto"/>
              </w:rPr>
            </w:pPr>
            <w:r>
              <w:rPr>
                <w:rFonts w:ascii="Arial" w:cs="Arial" w:eastAsia="Arial" w:hAnsi="Arial"/>
                <w:sz w:val="18"/>
                <w:szCs w:val="18"/>
                <w:color w:val="auto"/>
              </w:rPr>
              <w:t>Preferred dividends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(12,830)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Income (loss) from operations attributable to iStar Inc. and allocable to common shareholders and</w:t>
            </w:r>
          </w:p>
        </w:tc>
        <w:tc>
          <w:tcPr>
            <w:tcW w:w="16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(27,102)</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(21,187)</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Participating Security Holders for basic and diluted earnings per common share</w:t>
            </w: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gridSpan w:val="3"/>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80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97"/>
              </w:rPr>
              <w:t>For the Three Months Ended March 31,</w:t>
            </w:r>
          </w:p>
        </w:tc>
        <w:tc>
          <w:tcPr>
            <w:tcW w:w="0" w:type="dxa"/>
            <w:vAlign w:val="bottom"/>
          </w:tcPr>
          <w:p>
            <w:pPr>
              <w:spacing w:after="0"/>
              <w:rPr>
                <w:sz w:val="1"/>
                <w:szCs w:val="1"/>
                <w:color w:val="auto"/>
              </w:rPr>
            </w:pPr>
          </w:p>
        </w:tc>
      </w:tr>
      <w:tr>
        <w:trPr>
          <w:trHeight w:val="264"/>
        </w:trPr>
        <w:tc>
          <w:tcPr>
            <w:tcW w:w="80" w:type="dxa"/>
            <w:vAlign w:val="bottom"/>
            <w:tcBorders>
              <w:bottom w:val="single" w:sz="8" w:color="CCEEFF"/>
            </w:tcBorders>
          </w:tcPr>
          <w:p>
            <w:pPr>
              <w:spacing w:after="0"/>
              <w:rPr>
                <w:sz w:val="22"/>
                <w:szCs w:val="22"/>
                <w:color w:val="auto"/>
              </w:rPr>
            </w:pPr>
          </w:p>
        </w:tc>
        <w:tc>
          <w:tcPr>
            <w:tcW w:w="77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common shares:</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gridSpan w:val="2"/>
          </w:tcPr>
          <w:p>
            <w:pPr>
              <w:ind w:left="40"/>
              <w:spacing w:after="0"/>
              <w:rPr>
                <w:sz w:val="20"/>
                <w:szCs w:val="20"/>
                <w:color w:val="auto"/>
              </w:rPr>
            </w:pPr>
            <w:r>
              <w:rPr>
                <w:rFonts w:ascii="Arial" w:cs="Arial" w:eastAsia="Arial" w:hAnsi="Arial"/>
                <w:sz w:val="18"/>
                <w:szCs w:val="18"/>
                <w:i w:val="1"/>
                <w:iCs w:val="1"/>
                <w:color w:val="auto"/>
              </w:rPr>
              <w:t>Numerator for basic and diluted earnings per share:</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Borders>
              <w:bottom w:val="single" w:sz="8" w:color="CCEEFF"/>
            </w:tcBorders>
            <w:shd w:val="clear" w:color="auto" w:fill="CCEEFF"/>
          </w:tcPr>
          <w:p>
            <w:pPr>
              <w:spacing w:after="0"/>
              <w:rPr>
                <w:sz w:val="23"/>
                <w:szCs w:val="23"/>
                <w:color w:val="auto"/>
              </w:rPr>
            </w:pPr>
          </w:p>
        </w:tc>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Income (loss) from operations attributable to iStar Inc. and allocable to common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0" w:type="dxa"/>
            <w:vAlign w:val="bottom"/>
            <w:tcBorders>
              <w:bottom w:val="single" w:sz="8" w:color="CCEEFF"/>
            </w:tcBorders>
          </w:tcPr>
          <w:p>
            <w:pPr>
              <w:spacing w:after="0"/>
              <w:rPr>
                <w:sz w:val="24"/>
                <w:szCs w:val="24"/>
                <w:color w:val="auto"/>
              </w:rPr>
            </w:pPr>
          </w:p>
        </w:tc>
        <w:tc>
          <w:tcPr>
            <w:tcW w:w="7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income (loss) attributable to iStar Inc. and allocable to common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(27,102)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(21,187)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20"/>
                <w:szCs w:val="20"/>
                <w:color w:val="auto"/>
              </w:rPr>
            </w:pPr>
          </w:p>
        </w:tc>
        <w:tc>
          <w:tcPr>
            <w:tcW w:w="7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60" w:type="dxa"/>
            <w:vAlign w:val="bottom"/>
            <w:gridSpan w:val="2"/>
          </w:tcPr>
          <w:p>
            <w:pPr>
              <w:ind w:left="40"/>
              <w:spacing w:after="0"/>
              <w:rPr>
                <w:sz w:val="20"/>
                <w:szCs w:val="20"/>
                <w:color w:val="auto"/>
              </w:rPr>
            </w:pPr>
            <w:r>
              <w:rPr>
                <w:rFonts w:ascii="Arial" w:cs="Arial" w:eastAsia="Arial" w:hAnsi="Arial"/>
                <w:sz w:val="18"/>
                <w:szCs w:val="18"/>
                <w:i w:val="1"/>
                <w:iCs w:val="1"/>
                <w:color w:val="auto"/>
              </w:rPr>
              <w:t>Denominator for basic and diluted earnings per share:</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Borders>
              <w:bottom w:val="single" w:sz="8" w:color="CCEEFF"/>
            </w:tcBorders>
            <w:shd w:val="clear" w:color="auto" w:fill="CCEEFF"/>
          </w:tcPr>
          <w:p>
            <w:pPr>
              <w:spacing w:after="0"/>
              <w:rPr>
                <w:sz w:val="22"/>
                <w:szCs w:val="22"/>
                <w:color w:val="auto"/>
              </w:rPr>
            </w:pPr>
          </w:p>
        </w:tc>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Weighted average common shares outstanding for basic and diluted earnings per common share</w:t>
            </w:r>
          </w:p>
        </w:tc>
        <w:tc>
          <w:tcPr>
            <w:tcW w:w="1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72,065</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77,060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6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earnings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780" w:type="dxa"/>
            <w:vAlign w:val="bottom"/>
          </w:tcPr>
          <w:p>
            <w:pPr>
              <w:ind w:left="100"/>
              <w:spacing w:after="0"/>
              <w:rPr>
                <w:sz w:val="20"/>
                <w:szCs w:val="20"/>
                <w:color w:val="auto"/>
              </w:rPr>
            </w:pPr>
            <w:r>
              <w:rPr>
                <w:rFonts w:ascii="Arial" w:cs="Arial" w:eastAsia="Arial" w:hAnsi="Arial"/>
                <w:sz w:val="18"/>
                <w:szCs w:val="18"/>
                <w:color w:val="auto"/>
              </w:rPr>
              <w:t>Income (loss) from operations attributable to iStar Inc. and allocable to common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(loss) attributable to iStar Inc. and allocable to common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7860" w:type="dxa"/>
            <w:vAlign w:val="bottom"/>
            <w:gridSpan w:val="2"/>
          </w:tcPr>
          <w:p>
            <w:pPr>
              <w:ind w:left="562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shares were not included in the diluted EPS calculation because they were anti-dilutive (in thousands)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For the Three Months Ended March 31,</w:t>
            </w:r>
          </w:p>
        </w:tc>
      </w:tr>
      <w:tr>
        <w:trPr>
          <w:trHeight w:val="264"/>
        </w:trPr>
        <w:tc>
          <w:tcPr>
            <w:tcW w:w="518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3.00% convertible senior unsecured notes</w:t>
            </w: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16,992</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Series J convertible perpetual preferred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15,635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15,635</w:t>
            </w: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1.50% convertible senior unsecured notes</w:t>
            </w: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11,567</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Joint venture shares</w:t>
            </w:r>
          </w:p>
        </w:tc>
        <w:tc>
          <w:tcPr>
            <w:tcW w:w="122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298</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For the three months ended March 31, 2017 and 2016, the effect of the Company's unvested Units, performance-based Units, CSEs and restricted stock awards were anti-dilutive.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Values</w:t>
      </w:r>
    </w:p>
    <w:p>
      <w:pPr>
        <w:spacing w:after="0" w:line="18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0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fair value hierarchy table summarizes the Company's assets and liabilities recorded at fair value on a recurring and non-recurring basis by the above categories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Fair Value Using</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Quoted market</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Significant other</w:t>
            </w:r>
          </w:p>
        </w:tc>
        <w:tc>
          <w:tcPr>
            <w:tcW w:w="180" w:type="dxa"/>
            <w:vAlign w:val="bottom"/>
          </w:tcPr>
          <w:p>
            <w:pPr>
              <w:spacing w:after="0"/>
              <w:rPr>
                <w:sz w:val="13"/>
                <w:szCs w:val="13"/>
                <w:color w:val="auto"/>
              </w:rPr>
            </w:pPr>
          </w:p>
        </w:tc>
        <w:tc>
          <w:tcPr>
            <w:tcW w:w="118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prices in</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2"/>
                <w:szCs w:val="12"/>
                <w:color w:val="auto"/>
              </w:rPr>
            </w:pPr>
          </w:p>
        </w:tc>
        <w:tc>
          <w:tcPr>
            <w:tcW w:w="11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1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2017</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Recurring basis: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line="270"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Available-for-sale securities</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21,639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21,639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Non-recurring basis: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Impaired real estate</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10,141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Recurring basis: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line="270"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Available-for-sale securities</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21,666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21,666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Non-recurring basis: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Impaired loans</w:t>
            </w:r>
            <w:r>
              <w:rPr>
                <w:rFonts w:ascii="Arial" w:cs="Arial" w:eastAsia="Arial" w:hAnsi="Arial"/>
                <w:sz w:val="25"/>
                <w:szCs w:val="25"/>
                <w:color w:val="auto"/>
                <w:vertAlign w:val="superscript"/>
              </w:rPr>
              <w:t>(3)</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51"/>
        </w:trPr>
        <w:tc>
          <w:tcPr>
            <w:tcW w:w="5620" w:type="dxa"/>
            <w:vAlign w:val="bottom"/>
          </w:tcPr>
          <w:p>
            <w:pPr>
              <w:ind w:left="180"/>
              <w:spacing w:after="0" w:line="251" w:lineRule="exact"/>
              <w:rPr>
                <w:sz w:val="20"/>
                <w:szCs w:val="20"/>
                <w:color w:val="auto"/>
              </w:rPr>
            </w:pPr>
            <w:r>
              <w:rPr>
                <w:rFonts w:ascii="Arial" w:cs="Arial" w:eastAsia="Arial" w:hAnsi="Arial"/>
                <w:sz w:val="18"/>
                <w:szCs w:val="18"/>
                <w:color w:val="auto"/>
              </w:rPr>
              <w:t>Impaired real estate</w:t>
            </w:r>
            <w:r>
              <w:rPr>
                <w:rFonts w:ascii="Arial" w:cs="Arial" w:eastAsia="Arial" w:hAnsi="Arial"/>
                <w:sz w:val="25"/>
                <w:szCs w:val="25"/>
                <w:color w:val="auto"/>
                <w:vertAlign w:val="superscript"/>
              </w:rPr>
              <w:t>(4)</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174"/>
        </w:trPr>
        <w:tc>
          <w:tcPr>
            <w:tcW w:w="5620" w:type="dxa"/>
            <w:vAlign w:val="bottom"/>
          </w:tcPr>
          <w:p>
            <w:pPr>
              <w:spacing w:after="0"/>
              <w:rPr>
                <w:sz w:val="20"/>
                <w:szCs w:val="20"/>
                <w:color w:val="auto"/>
              </w:rPr>
            </w:pPr>
            <w:r>
              <w:rPr>
                <w:rFonts w:ascii="Arial" w:cs="Arial" w:eastAsia="Arial" w:hAnsi="Arial"/>
                <w:sz w:val="14"/>
                <w:szCs w:val="14"/>
                <w:color w:val="auto"/>
              </w:rPr>
              <w:t>____________________________________________________________</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500" w:hanging="492"/>
        <w:spacing w:after="0" w:line="241"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fair value of the Company's derivatives are based upon widely accepted valuation techniques utilized by a third-party specialist using observable inputs such as interest rates and contractual cash flow and are classified as Level 2. The fair value of the Company's available-for-sale securities are based upon unadjusted third-party broker quotes and are classified as Level 3.</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Company recorded an impairment on one real estate asset with a fair value of $10.1 million based on a discount rate of 11% using discounted cash flows over a two year sellout period.</w:t>
      </w:r>
    </w:p>
    <w:p>
      <w:pPr>
        <w:spacing w:after="0" w:line="12" w:lineRule="exact"/>
        <w:rPr>
          <w:rFonts w:ascii="Arial" w:cs="Arial" w:eastAsia="Arial" w:hAnsi="Arial"/>
          <w:sz w:val="13"/>
          <w:szCs w:val="13"/>
          <w:color w:val="auto"/>
        </w:rPr>
      </w:pPr>
    </w:p>
    <w:p>
      <w:pPr>
        <w:ind w:left="500" w:right="2180" w:hanging="492"/>
        <w:spacing w:after="0" w:line="260" w:lineRule="auto"/>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Company recorded a provision for loan losses on one loan with a fair value of $5.2 million using an appraisal based on market comparable sales. In addition, the Company recorded a recovery of loan losses on one loan with a fair value of $2.0 million based on proceeds to be received.</w:t>
      </w:r>
    </w:p>
    <w:p>
      <w:pPr>
        <w:ind w:left="500" w:hanging="492"/>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Company recorded an impairment on one real estate asset with a fair value of $3.1 million based on a discount rate of 11% using discounted cash flows over a two year sellout period.</w:t>
      </w:r>
    </w:p>
    <w:p>
      <w:pPr>
        <w:spacing w:after="0" w:line="2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changes in Level 3 available-for-sale securities reported at fair value on the Company's consolidated balance sheets for the three months ended March 31, 2017 and 2016 ($ in thousands):</w:t>
      </w:r>
    </w:p>
    <w:p>
      <w:pPr>
        <w:spacing w:after="0" w:line="275"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r>
      <w:tr>
        <w:trPr>
          <w:trHeight w:val="27"/>
        </w:trPr>
        <w:tc>
          <w:tcPr>
            <w:tcW w:w="5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21,666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1,161</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4,366</w:t>
            </w:r>
          </w:p>
        </w:tc>
      </w:tr>
      <w:tr>
        <w:trPr>
          <w:trHeight w:val="27"/>
        </w:trPr>
        <w:tc>
          <w:tcPr>
            <w:tcW w:w="5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Unrealized (losses) gains recorded in other comprehensive income</w:t>
            </w:r>
          </w:p>
        </w:tc>
        <w:tc>
          <w:tcPr>
            <w:tcW w:w="1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7"/>
        </w:trPr>
        <w:tc>
          <w:tcPr>
            <w:tcW w:w="5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21,639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5,536</w:t>
            </w:r>
          </w:p>
        </w:tc>
      </w:tr>
      <w:tr>
        <w:trPr>
          <w:trHeight w:val="20"/>
        </w:trPr>
        <w:tc>
          <w:tcPr>
            <w:tcW w:w="5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b w:val="1"/>
          <w:bCs w:val="1"/>
          <w:color w:val="auto"/>
        </w:rPr>
        <w:t>Fair values of financial instruments—</w:t>
      </w:r>
      <w:r>
        <w:rPr>
          <w:rFonts w:ascii="Arial" w:cs="Arial" w:eastAsia="Arial" w:hAnsi="Arial"/>
          <w:sz w:val="16"/>
          <w:szCs w:val="16"/>
          <w:color w:val="auto"/>
        </w:rPr>
        <w:t>The Company's estimated fair values of its loans receivable and other lending investments and outstanding debt</w:t>
      </w:r>
      <w:r>
        <w:rPr>
          <w:rFonts w:ascii="Arial" w:cs="Arial" w:eastAsia="Arial" w:hAnsi="Arial"/>
          <w:sz w:val="16"/>
          <w:szCs w:val="16"/>
          <w:b w:val="1"/>
          <w:bCs w:val="1"/>
          <w:color w:val="auto"/>
        </w:rPr>
        <w:t xml:space="preserve"> </w:t>
      </w:r>
      <w:r>
        <w:rPr>
          <w:rFonts w:ascii="Arial" w:cs="Arial" w:eastAsia="Arial" w:hAnsi="Arial"/>
          <w:sz w:val="16"/>
          <w:szCs w:val="16"/>
          <w:color w:val="auto"/>
        </w:rPr>
        <w:t>was $1.4 billion and $4.2 billion, respectively, as of March 31, 2017 and $1.5 billion and $3.6 billion, respectively, as of December 31, 2016. The Company determined that the significant inputs used to value its loans receivable and other lending investments and debt obligations fall within Level 3 of the fair value hierarchy. The carrying value of other financial instruments including cash and cash equivalents, restricted cash, accrued interest receivable and accounts payable, approximate the fair values of the instruments. Cash and cash equivalents and restricted cash values are considered Level 1 on the</w:t>
      </w:r>
    </w:p>
    <w:p>
      <w:pPr>
        <w:sectPr>
          <w:pgSz w:w="11900" w:h="16838" w:orient="portrait"/>
          <w:cols w:equalWidth="0" w:num="1">
            <w:col w:w="11420"/>
          </w:cols>
          <w:pgMar w:left="240" w:top="121"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hierarchy. The fair value of other financial instruments, including derivative assets and liabilities, are included in the fair value hierarchy table above.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17—Segment Reporting</w:t>
      </w:r>
    </w:p>
    <w:p>
      <w:pPr>
        <w:spacing w:after="0" w:line="36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has determined that it has four reportable segments based on how management reviews and manages its business. These reportable segments include: Real Estate Finance, Net Lease, Operating Properties and Land and Development. The Real Estate Finance segment includes all of the Company's activities related to senior and mezzanine real estate loans and real estate related securities. The Net Lease segment includes the Company's activities and operations related to the ownership of properties generally leased to single corporate tenants. The Operating Properties segment includes the Company's activities and operations related to its commercial and residential properties. The Land and Development segment includes the Company's activities related to its developable land portfolio.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evaluates performance based on the following financial measures for each segment. The Company's segment information is as follows ($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Land and</w:t>
            </w:r>
          </w:p>
        </w:tc>
        <w:tc>
          <w:tcPr>
            <w:tcW w:w="13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Development</w:t>
            </w:r>
          </w:p>
        </w:tc>
        <w:tc>
          <w:tcPr>
            <w:tcW w:w="136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2017:</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36,496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15,989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52,591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29,058</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10,355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541</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11,864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development revenue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20,050</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w w:val="96"/>
              </w:rPr>
              <w:t>Earnings (loss) from equity method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5,702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real estate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8"/>
                <w:szCs w:val="18"/>
                <w:color w:val="auto"/>
              </w:rPr>
              <w:t>Total revenue and other earnings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44,703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28,874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788</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127,883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(35,741)</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Land development cost of sales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(15,910)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Allocated interest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(9,798)</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(51,193)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Allocated general and administrative</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140" w:type="dxa"/>
            <w:vAlign w:val="bottom"/>
            <w:tcBorders>
              <w:right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(19,292)</w:t>
            </w:r>
          </w:p>
        </w:tc>
        <w:tc>
          <w:tcPr>
            <w:tcW w:w="0" w:type="dxa"/>
            <w:vAlign w:val="bottom"/>
          </w:tcPr>
          <w:p>
            <w:pPr>
              <w:spacing w:after="0"/>
              <w:rPr>
                <w:sz w:val="1"/>
                <w:szCs w:val="1"/>
                <w:color w:val="auto"/>
              </w:rPr>
            </w:pPr>
          </w:p>
        </w:tc>
      </w:tr>
      <w:tr>
        <w:trPr>
          <w:trHeight w:val="304"/>
        </w:trPr>
        <w:tc>
          <w:tcPr>
            <w:tcW w:w="3740" w:type="dxa"/>
            <w:vAlign w:val="bottom"/>
            <w:tcBorders>
              <w:bottom w:val="single" w:sz="8" w:color="CCEEFF"/>
            </w:tcBorders>
          </w:tcPr>
          <w:p>
            <w:pPr>
              <w:ind w:left="500"/>
              <w:spacing w:after="0" w:line="264" w:lineRule="exact"/>
              <w:rPr>
                <w:sz w:val="20"/>
                <w:szCs w:val="20"/>
                <w:color w:val="auto"/>
              </w:rPr>
            </w:pPr>
            <w:r>
              <w:rPr>
                <w:rFonts w:ascii="Arial" w:cs="Arial" w:eastAsia="Arial" w:hAnsi="Arial"/>
                <w:sz w:val="18"/>
                <w:szCs w:val="18"/>
                <w:b w:val="1"/>
                <w:bCs w:val="1"/>
                <w:color w:val="auto"/>
              </w:rPr>
              <w:t>Segment profit (loss)</w:t>
            </w:r>
            <w:r>
              <w:rPr>
                <w:rFonts w:ascii="Arial" w:cs="Arial" w:eastAsia="Arial" w:hAnsi="Arial"/>
                <w:sz w:val="25"/>
                <w:szCs w:val="25"/>
                <w:b w:val="1"/>
                <w:bCs w:val="1"/>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13,045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19,552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(15,647)</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31"/>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significant items: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0"/>
              <w:spacing w:after="0"/>
              <w:rPr>
                <w:sz w:val="20"/>
                <w:szCs w:val="20"/>
                <w:color w:val="auto"/>
              </w:rPr>
            </w:pPr>
            <w:r>
              <w:rPr>
                <w:rFonts w:ascii="Arial" w:cs="Arial" w:eastAsia="Arial" w:hAnsi="Arial"/>
                <w:sz w:val="18"/>
                <w:szCs w:val="18"/>
                <w:color w:val="auto"/>
              </w:rPr>
              <w:t>Recovery of loan losses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4,413</w:t>
            </w:r>
          </w:p>
        </w:tc>
        <w:tc>
          <w:tcPr>
            <w:tcW w:w="0" w:type="dxa"/>
            <w:vAlign w:val="bottom"/>
          </w:tcPr>
          <w:p>
            <w:pPr>
              <w:spacing w:after="0"/>
              <w:rPr>
                <w:sz w:val="1"/>
                <w:szCs w:val="1"/>
                <w:color w:val="auto"/>
              </w:rPr>
            </w:pPr>
          </w:p>
        </w:tc>
      </w:tr>
      <w:tr>
        <w:trPr>
          <w:trHeight w:val="243"/>
        </w:trPr>
        <w:tc>
          <w:tcPr>
            <w:tcW w:w="37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13,067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Capitalized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35,573</w:t>
            </w:r>
          </w:p>
        </w:tc>
        <w:tc>
          <w:tcPr>
            <w:tcW w:w="0" w:type="dxa"/>
            <w:vAlign w:val="bottom"/>
          </w:tcPr>
          <w:p>
            <w:pPr>
              <w:spacing w:after="0"/>
              <w:rPr>
                <w:sz w:val="1"/>
                <w:szCs w:val="1"/>
                <w:color w:val="auto"/>
              </w:rPr>
            </w:pPr>
          </w:p>
        </w:tc>
      </w:tr>
      <w:tr>
        <w:trPr>
          <w:trHeight w:val="297"/>
        </w:trPr>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2016:</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35,750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19,081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54,937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33,219</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7,344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1,755</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11,541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development revenue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14,947</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w w:val="96"/>
              </w:rPr>
              <w:t>Earnings (loss) from equity method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6,661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802</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8,267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real estate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10,458</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8"/>
                <w:szCs w:val="18"/>
                <w:color w:val="auto"/>
              </w:rPr>
              <w:t>Total revenue and other earnings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41,704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31,813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2,557</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133,369</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(34,305)</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Land development cost of sales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(11,575)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Allocated interest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(11,104)</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(57,021)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Allocated general and administrative</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40" w:type="dxa"/>
            <w:vAlign w:val="bottom"/>
            <w:tcBorders>
              <w:right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0" w:type="dxa"/>
            <w:vAlign w:val="bottom"/>
          </w:tcPr>
          <w:p>
            <w:pPr>
              <w:spacing w:after="0"/>
              <w:rPr>
                <w:sz w:val="1"/>
                <w:szCs w:val="1"/>
                <w:color w:val="auto"/>
              </w:rPr>
            </w:pPr>
          </w:p>
        </w:tc>
      </w:tr>
      <w:tr>
        <w:trPr>
          <w:trHeight w:val="304"/>
        </w:trPr>
        <w:tc>
          <w:tcPr>
            <w:tcW w:w="3740" w:type="dxa"/>
            <w:vAlign w:val="bottom"/>
            <w:tcBorders>
              <w:bottom w:val="single" w:sz="8" w:color="CCEEFF"/>
            </w:tcBorders>
          </w:tcPr>
          <w:p>
            <w:pPr>
              <w:ind w:left="500"/>
              <w:spacing w:after="0" w:line="264" w:lineRule="exact"/>
              <w:rPr>
                <w:sz w:val="20"/>
                <w:szCs w:val="20"/>
                <w:color w:val="auto"/>
              </w:rPr>
            </w:pPr>
            <w:r>
              <w:rPr>
                <w:rFonts w:ascii="Arial" w:cs="Arial" w:eastAsia="Arial" w:hAnsi="Arial"/>
                <w:sz w:val="18"/>
                <w:szCs w:val="18"/>
                <w:b w:val="1"/>
                <w:bCs w:val="1"/>
                <w:color w:val="auto"/>
              </w:rPr>
              <w:t>Segment profit (loss)</w:t>
            </w:r>
            <w:r>
              <w:rPr>
                <w:rFonts w:ascii="Arial" w:cs="Arial" w:eastAsia="Arial" w:hAnsi="Arial"/>
                <w:sz w:val="25"/>
                <w:szCs w:val="25"/>
                <w:b w:val="1"/>
                <w:bCs w:val="1"/>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16,069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16,664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(14,631)</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11,203</w:t>
            </w:r>
          </w:p>
        </w:tc>
        <w:tc>
          <w:tcPr>
            <w:tcW w:w="0" w:type="dxa"/>
            <w:vAlign w:val="bottom"/>
          </w:tcPr>
          <w:p>
            <w:pPr>
              <w:spacing w:after="0"/>
              <w:rPr>
                <w:sz w:val="1"/>
                <w:szCs w:val="1"/>
                <w:color w:val="auto"/>
              </w:rPr>
            </w:pPr>
          </w:p>
        </w:tc>
      </w:tr>
      <w:tr>
        <w:trPr>
          <w:trHeight w:val="231"/>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significant items: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0"/>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14,708</w:t>
            </w:r>
          </w:p>
        </w:tc>
        <w:tc>
          <w:tcPr>
            <w:tcW w:w="0" w:type="dxa"/>
            <w:vAlign w:val="bottom"/>
          </w:tcPr>
          <w:p>
            <w:pPr>
              <w:spacing w:after="0"/>
              <w:rPr>
                <w:sz w:val="1"/>
                <w:szCs w:val="1"/>
                <w:color w:val="auto"/>
              </w:rPr>
            </w:pPr>
          </w:p>
        </w:tc>
      </w:tr>
      <w:tr>
        <w:trPr>
          <w:trHeight w:val="243"/>
        </w:trPr>
        <w:tc>
          <w:tcPr>
            <w:tcW w:w="3740" w:type="dxa"/>
            <w:vAlign w:val="bottom"/>
          </w:tcPr>
          <w:p>
            <w:pPr>
              <w:ind w:left="200"/>
              <w:spacing w:after="0"/>
              <w:rPr>
                <w:sz w:val="20"/>
                <w:szCs w:val="20"/>
                <w:color w:val="auto"/>
              </w:rPr>
            </w:pPr>
            <w:r>
              <w:rPr>
                <w:rFonts w:ascii="Arial" w:cs="Arial" w:eastAsia="Arial" w:hAnsi="Arial"/>
                <w:sz w:val="18"/>
                <w:szCs w:val="18"/>
                <w:color w:val="auto"/>
              </w:rPr>
              <w:t>Capitalized expenditures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34,268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50,916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Land and</w:t>
            </w:r>
          </w:p>
        </w:tc>
        <w:tc>
          <w:tcPr>
            <w:tcW w:w="13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Development</w:t>
            </w:r>
          </w:p>
        </w:tc>
        <w:tc>
          <w:tcPr>
            <w:tcW w:w="136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7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right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As of March 31, 2017</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Real estate,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998,314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478,277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1,476,591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71,934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71,934</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8"/>
                <w:szCs w:val="18"/>
                <w:color w:val="auto"/>
              </w:rPr>
              <w:t>Total real estate</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998,314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550,211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1,548,525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955,150</w:t>
            </w:r>
          </w:p>
        </w:tc>
        <w:tc>
          <w:tcPr>
            <w:tcW w:w="0" w:type="dxa"/>
            <w:vAlign w:val="bottom"/>
          </w:tcPr>
          <w:p>
            <w:pPr>
              <w:spacing w:after="0"/>
              <w:rPr>
                <w:sz w:val="1"/>
                <w:szCs w:val="1"/>
                <w:color w:val="auto"/>
              </w:rPr>
            </w:pP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w w:val="95"/>
              </w:rPr>
              <w:t>Loans receivable and other lending 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1,381,227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1,381,227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92,024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32,866</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197,559</w:t>
            </w:r>
          </w:p>
        </w:tc>
        <w:tc>
          <w:tcPr>
            <w:tcW w:w="0" w:type="dxa"/>
            <w:vAlign w:val="bottom"/>
          </w:tcPr>
          <w:p>
            <w:pPr>
              <w:spacing w:after="0"/>
              <w:rPr>
                <w:sz w:val="1"/>
                <w:szCs w:val="1"/>
                <w:color w:val="auto"/>
              </w:rPr>
            </w:pPr>
          </w:p>
        </w:tc>
      </w:tr>
      <w:tr>
        <w:trPr>
          <w:trHeight w:val="297"/>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portfolio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1,381,227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1,090,338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553,426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1,024,604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32,866</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12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4,082,461</w:t>
            </w:r>
          </w:p>
        </w:tc>
        <w:tc>
          <w:tcPr>
            <w:tcW w:w="0" w:type="dxa"/>
            <w:vAlign w:val="bottom"/>
          </w:tcPr>
          <w:p>
            <w:pPr>
              <w:spacing w:after="0"/>
              <w:rPr>
                <w:sz w:val="1"/>
                <w:szCs w:val="1"/>
                <w:color w:val="auto"/>
              </w:rPr>
            </w:pPr>
          </w:p>
        </w:tc>
      </w:tr>
      <w:tr>
        <w:trPr>
          <w:trHeight w:val="25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1,212,055</w:t>
            </w:r>
          </w:p>
        </w:tc>
        <w:tc>
          <w:tcPr>
            <w:tcW w:w="0" w:type="dxa"/>
            <w:vAlign w:val="bottom"/>
          </w:tcPr>
          <w:p>
            <w:pPr>
              <w:spacing w:after="0"/>
              <w:rPr>
                <w:sz w:val="1"/>
                <w:szCs w:val="1"/>
                <w:color w:val="auto"/>
              </w:rPr>
            </w:pPr>
          </w:p>
        </w:tc>
      </w:tr>
      <w:tr>
        <w:trPr>
          <w:trHeight w:val="297"/>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5,294,516</w:t>
            </w:r>
          </w:p>
        </w:tc>
        <w:tc>
          <w:tcPr>
            <w:tcW w:w="0" w:type="dxa"/>
            <w:vAlign w:val="bottom"/>
          </w:tcPr>
          <w:p>
            <w:pPr>
              <w:spacing w:after="0"/>
              <w:rPr>
                <w:sz w:val="1"/>
                <w:szCs w:val="1"/>
                <w:color w:val="auto"/>
              </w:rPr>
            </w:pPr>
          </w:p>
        </w:tc>
      </w:tr>
      <w:tr>
        <w:trPr>
          <w:trHeight w:val="284"/>
        </w:trPr>
        <w:tc>
          <w:tcPr>
            <w:tcW w:w="3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20"/>
              <w:spacing w:after="0"/>
              <w:rPr>
                <w:sz w:val="20"/>
                <w:szCs w:val="20"/>
                <w:color w:val="auto"/>
              </w:rPr>
            </w:pPr>
            <w:r>
              <w:rPr>
                <w:rFonts w:ascii="Arial" w:cs="Arial" w:eastAsia="Arial" w:hAnsi="Arial"/>
                <w:sz w:val="18"/>
                <w:szCs w:val="18"/>
                <w:color w:val="auto"/>
              </w:rPr>
              <w:t>Real estate,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1,015,590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476,162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1,491,752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82,480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83,764</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8"/>
                <w:szCs w:val="18"/>
                <w:color w:val="auto"/>
              </w:rPr>
              <w:t>Total real estate</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1,016,874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558,642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1,575,516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945,565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945,565</w:t>
            </w:r>
          </w:p>
        </w:tc>
        <w:tc>
          <w:tcPr>
            <w:tcW w:w="0" w:type="dxa"/>
            <w:vAlign w:val="bottom"/>
          </w:tcPr>
          <w:p>
            <w:pPr>
              <w:spacing w:after="0"/>
              <w:rPr>
                <w:sz w:val="1"/>
                <w:szCs w:val="1"/>
                <w:color w:val="auto"/>
              </w:rPr>
            </w:pP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w w:val="95"/>
              </w:rPr>
              <w:t>Loans receivable and other lending 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1,450,439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1,450,439</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92,669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33,350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214,406</w:t>
            </w:r>
          </w:p>
        </w:tc>
        <w:tc>
          <w:tcPr>
            <w:tcW w:w="0" w:type="dxa"/>
            <w:vAlign w:val="bottom"/>
          </w:tcPr>
          <w:p>
            <w:pPr>
              <w:spacing w:after="0"/>
              <w:rPr>
                <w:sz w:val="1"/>
                <w:szCs w:val="1"/>
                <w:color w:val="auto"/>
              </w:rPr>
            </w:pPr>
          </w:p>
        </w:tc>
      </w:tr>
      <w:tr>
        <w:trPr>
          <w:trHeight w:val="297"/>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portfolio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1,450,439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1,109,543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562,225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1,030,369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33,350</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12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4,185,926</w:t>
            </w:r>
          </w:p>
        </w:tc>
        <w:tc>
          <w:tcPr>
            <w:tcW w:w="0" w:type="dxa"/>
            <w:vAlign w:val="bottom"/>
          </w:tcPr>
          <w:p>
            <w:pPr>
              <w:spacing w:after="0"/>
              <w:rPr>
                <w:sz w:val="1"/>
                <w:szCs w:val="1"/>
                <w:color w:val="auto"/>
              </w:rPr>
            </w:pPr>
          </w:p>
        </w:tc>
      </w:tr>
      <w:tr>
        <w:trPr>
          <w:trHeight w:val="25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639,588</w:t>
            </w:r>
          </w:p>
        </w:tc>
        <w:tc>
          <w:tcPr>
            <w:tcW w:w="0" w:type="dxa"/>
            <w:vAlign w:val="bottom"/>
          </w:tcPr>
          <w:p>
            <w:pPr>
              <w:spacing w:after="0"/>
              <w:rPr>
                <w:sz w:val="1"/>
                <w:szCs w:val="1"/>
                <w:color w:val="auto"/>
              </w:rPr>
            </w:pPr>
          </w:p>
        </w:tc>
      </w:tr>
      <w:tr>
        <w:trPr>
          <w:trHeight w:val="257"/>
        </w:trPr>
        <w:tc>
          <w:tcPr>
            <w:tcW w:w="374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4,825,514</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6445250</wp:posOffset>
            </wp:positionH>
            <wp:positionV relativeFrom="paragraph">
              <wp:posOffset>-98425</wp:posOffset>
            </wp:positionV>
            <wp:extent cx="8058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ind w:left="500" w:hanging="492"/>
        <w:spacing w:after="0" w:line="241"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included in the other reportable segments above.</w:t>
      </w:r>
    </w:p>
    <w:p>
      <w:pPr>
        <w:ind w:left="500" w:hanging="492"/>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General and administrative excludes stock-based compensation expense of $5.9 million and $4.6 million for the three months ended March 31, 2017 and 2016.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following is a reconciliation of segment profit to net income (loss) ($ in thousands):</w:t>
      </w:r>
    </w:p>
    <w:p>
      <w:pPr>
        <w:spacing w:after="0" w:line="147" w:lineRule="exact"/>
        <w:rPr>
          <w:sz w:val="20"/>
          <w:szCs w:val="20"/>
          <w:color w:val="auto"/>
        </w:rPr>
      </w:pPr>
    </w:p>
    <w:p>
      <w:pPr>
        <w:jc w:val="center"/>
        <w:ind w:left="700"/>
        <w:spacing w:after="0"/>
        <w:rPr>
          <w:sz w:val="20"/>
          <w:szCs w:val="20"/>
          <w:color w:val="auto"/>
        </w:rPr>
      </w:pPr>
      <w:r>
        <w:rPr>
          <w:rFonts w:ascii="Arial" w:cs="Arial" w:eastAsia="Arial" w:hAnsi="Arial"/>
          <w:sz w:val="14"/>
          <w:szCs w:val="14"/>
          <w:b w:val="1"/>
          <w:bCs w:val="1"/>
          <w:color w:val="auto"/>
        </w:rPr>
        <w:t>For the Three Months Ended March</w:t>
      </w:r>
    </w:p>
    <w:p>
      <w:pPr>
        <w:spacing w:after="0" w:line="4" w:lineRule="exact"/>
        <w:rPr>
          <w:sz w:val="20"/>
          <w:szCs w:val="20"/>
          <w:color w:val="auto"/>
        </w:rPr>
      </w:pPr>
    </w:p>
    <w:p>
      <w:pPr>
        <w:jc w:val="center"/>
        <w:ind w:left="70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13335</wp:posOffset>
            </wp:positionV>
            <wp:extent cx="15779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87"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r>
      <w:tr>
        <w:trPr>
          <w:trHeight w:val="256"/>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profit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3,878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11,203</w:t>
            </w:r>
          </w:p>
        </w:tc>
      </w:tr>
      <w:tr>
        <w:trPr>
          <w:trHeight w:val="264"/>
        </w:trPr>
        <w:tc>
          <w:tcPr>
            <w:tcW w:w="4300" w:type="dxa"/>
            <w:vAlign w:val="bottom"/>
          </w:tcPr>
          <w:p>
            <w:pPr>
              <w:ind w:left="20"/>
              <w:spacing w:after="0"/>
              <w:rPr>
                <w:sz w:val="20"/>
                <w:szCs w:val="20"/>
                <w:color w:val="auto"/>
              </w:rPr>
            </w:pPr>
            <w:r>
              <w:rPr>
                <w:rFonts w:ascii="Arial" w:cs="Arial" w:eastAsia="Arial" w:hAnsi="Arial"/>
                <w:sz w:val="14"/>
                <w:szCs w:val="14"/>
                <w:color w:val="auto"/>
              </w:rPr>
              <w:t>Less: Recovery of (provision for) loan losses</w:t>
            </w:r>
          </w:p>
        </w:tc>
        <w:tc>
          <w:tcPr>
            <w:tcW w:w="28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4,928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(1,506)</w:t>
            </w:r>
          </w:p>
        </w:tc>
      </w:tr>
      <w:tr>
        <w:trPr>
          <w:trHeight w:val="276"/>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Impairment of assets</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4300" w:type="dxa"/>
            <w:vAlign w:val="bottom"/>
          </w:tcPr>
          <w:p>
            <w:pPr>
              <w:ind w:left="20"/>
              <w:spacing w:after="0"/>
              <w:rPr>
                <w:sz w:val="20"/>
                <w:szCs w:val="20"/>
                <w:color w:val="auto"/>
              </w:rPr>
            </w:pPr>
            <w:r>
              <w:rPr>
                <w:rFonts w:ascii="Arial" w:cs="Arial" w:eastAsia="Arial" w:hAnsi="Arial"/>
                <w:sz w:val="14"/>
                <w:szCs w:val="14"/>
                <w:color w:val="auto"/>
              </w:rPr>
              <w:t>Less: Stock-based compensation expense</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(4,577)</w:t>
            </w:r>
          </w:p>
        </w:tc>
      </w:tr>
      <w:tr>
        <w:trPr>
          <w:trHeight w:val="276"/>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Depreciation and amortization</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(14,708)</w:t>
            </w:r>
          </w:p>
        </w:tc>
      </w:tr>
      <w:tr>
        <w:trPr>
          <w:trHeight w:val="264"/>
        </w:trPr>
        <w:tc>
          <w:tcPr>
            <w:tcW w:w="4300" w:type="dxa"/>
            <w:vAlign w:val="bottom"/>
          </w:tcPr>
          <w:p>
            <w:pPr>
              <w:ind w:left="20"/>
              <w:spacing w:after="0"/>
              <w:rPr>
                <w:sz w:val="20"/>
                <w:szCs w:val="20"/>
                <w:color w:val="auto"/>
              </w:rPr>
            </w:pPr>
            <w:r>
              <w:rPr>
                <w:rFonts w:ascii="Arial" w:cs="Arial" w:eastAsia="Arial" w:hAnsi="Arial"/>
                <w:sz w:val="14"/>
                <w:szCs w:val="14"/>
                <w:color w:val="auto"/>
              </w:rPr>
              <w:t>Less: Income tax (expense) benefit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414</w:t>
            </w:r>
          </w:p>
        </w:tc>
      </w:tr>
      <w:tr>
        <w:trPr>
          <w:trHeight w:val="27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 on early extinguishment of debt, net</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r>
      <w:tr>
        <w:trPr>
          <w:trHeight w:val="243"/>
        </w:trPr>
        <w:tc>
          <w:tcPr>
            <w:tcW w:w="43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(15,372)</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(9,299)</w:t>
            </w: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18—Subsequent Events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April 12, 2017, the Company repaid in full the $275.0 million principal amount of 9.00% senior unsecured notes due June 2017 at par. In connection with the repayment prior to maturity, the Company paid a $2.75 million make whole premium.</w:t>
      </w:r>
    </w:p>
    <w:p>
      <w:pPr>
        <w:spacing w:after="0" w:line="17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April 14, 2017, two institutional investors acquired, through a merger and related transactions, a 51% interest in the Company's ground net lease business, a component of the Company's net lease segment, consisting of 12 properties subject to long-term net leases including seven ground net leases and one master lease (covering five properties). The Company will deconsolidate the 12 properties and own a 49% noncontrolling interest in the new entity and account for its investment in the new entity as an equity method investment. The Company received total consideration of $340.0 million, including the venture's assumption of the $227.0 million 2017 Secured Financing. The Company had a carrying value of approximately $156.0 million in the 12 properties and will recognize an approximate gain of $178.0 million in connection with the sale. The new entity, named Safety, Income and Growth, Inc., has filed a registration statement on Form S-11 for a possible initial public offering ("IPO") and the Company has committed to pay up to $25.0 million in offering costs in connection with an IPO.</w:t>
      </w:r>
    </w:p>
    <w:p>
      <w:pPr>
        <w:spacing w:after="0" w:line="19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April 21, 2017, the Company and Lennar completed settlement of transfer of the land, pursuant to which we conveyed the land to Lennar and received net proceeds of $231.1 million after payment of $6.3 million in documentary transfer taxes, subject to certain holdbacks and subject also to final resolution of the amount of post-judgment interest owed by Lennar, consisting of $114.0 million of sales proceeds, $121.8 million of interest and $1.6 million of real estate tax reimbursements. The amount of attorneys’ fees and costs to be recovered by the Company will be determined through further proceedings before the District Court. A portion of the net proceeds received by the Company has been paid to the third party which holds a 4.3% participation interest in all proceeds received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iStar Inc.'s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1A—"Risk Factors" in our 2016 Annual Report, all of which could affect our future results of operations, financial condition and liquidity. For purposes of Management's Discussion and Analysis of Financial Condition and Results of Operations, the terms "we," "our" and "us" refer to iStar Inc. and its consolidated subsidiaries, unless the context indicates otherwise.</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discussion below should be read in conjunction with our consolidated financial statements and related notes in this quarterly report on Form 10-Q and our 2016 Annual Report. These historical financial statements may not be indicative of our future performance. We have reclassified certain items in our consolidated financial statements of prior periods to conform to our current financial statements presentation.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iStar Inc., doing business as "iStar," finances, invests in and develops real estate and real estate related projects as part of its fully-integrated investment platform. We have invested more than $35 billion over the past two decades and are structured as a real estate investment trust ("REIT") with a diversified portfolio focused on larger assets located in major metropolitan markets. Our primary business segments are real estate finance, net lease, operating properties and land and development.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continued to invest in what we believe to be attractive investment opportunities in our real estate finance and net lease businesses while making progress in stabilizing and/or monetizing our commercial and residential operating properties. Our land portfolio continues to make significant progress with almost all of our land projects being re-entitled and sales and leasing efforts gaining momentum. Our investment activity has focused on new originations within our core business segments of real estate finance and net lease. In addition, we continue to make significant investments within our operating property and land and development portfolios in order to better position assets for sale and maximize value for our shareholders.</w:t>
      </w:r>
    </w:p>
    <w:p>
      <w:pPr>
        <w:spacing w:after="0" w:line="13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have continued to strengthen our balance sheet through our financing activities. Access to the capital markets has allowed us to extend our debt maturity profile and remain primarily an unsecured borrower. In March 2017, we issued $375.0 million principal amount of 6.00% senior unsecured notes due April 2022. Proceeds from the offering were primarily used to repay in full the $99.7 million principal amount of 5.85% senior unsecured notes due March 2017 and, subsequent to March 31, 2017, repay in full the $275.0 million principal amount of 9.00% senior unsecured notes due June 2017. In addition, also in March 2017, we entered into a $227.0 million secured financing (the "2017 Secured Financing") that accrues interest at 3.795% and matures in April 2027. The 2017 Secured Financing is collateralized by 12 properties including seven ground net leases and one master lease covering the accounts of five related properties. As of March 31, 2017, we had $897.5 million of cash, which we expect to use primarily to repay debt and fund future investment activities. In addition, we have additional borrowing capacity of $236.0 million at March 31, 2017.</w:t>
      </w:r>
    </w:p>
    <w:p>
      <w:pPr>
        <w:spacing w:after="0" w:line="13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three months ended March 31, 2017, our real estate finance and net lease business segments contributed positively to our earnings. We continue to work on repositioning or redeveloping our transitional operating properties and progressing on the entitlement and development of our land and development assets in order to maximize their value. We intend to continue these efforts, with the objective of increasing the contribution of these assets to our earnings in the future. For the three months ended March 31, 2017, we recorded a net loss allocable to common shareholders of $27.1 million, compared to a net loss of $21.2 million during the same period in the prior year. Adjusted income (loss) allocable to common shareholders for the three months ended March 31, 2017 was $(11.8) million, compared to $(0.3) million during the same period in the prior year (see "Adjusted Income" for a reconciliation of adjusted income to net income).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2017, based on gross carrying values, our $4.5 billion investment portfolio has the following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152400</wp:posOffset>
            </wp:positionV>
            <wp:extent cx="3687445" cy="2590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87445"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color w:val="auto"/>
        </w:rPr>
        <w:t>As of March 31, 2017, based on gross carrying values, our total investment portfolio has the following property/collateral type and geographic characteristics ($ in thousands)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4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Property/Collateral Types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4"/>
                <w:szCs w:val="14"/>
                <w:color w:val="auto"/>
              </w:rPr>
            </w:pPr>
          </w:p>
        </w:tc>
        <w:tc>
          <w:tcPr>
            <w:tcW w:w="10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99"/>
              </w:rPr>
              <w:t>Net Lease</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Land &amp;</w:t>
            </w:r>
          </w:p>
        </w:tc>
        <w:tc>
          <w:tcPr>
            <w:tcW w:w="24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1280" w:type="dxa"/>
            <w:vAlign w:val="bottom"/>
          </w:tcPr>
          <w:p>
            <w:pPr>
              <w:ind w:left="4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0"/>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Development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 / Industrial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747,788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122,605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1,077,598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Land and Development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1,031,361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1,031,361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Hotel</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335,854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136,080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103,260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575,194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Entertainment / Leisure</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489,671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489,671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Mixed Use / Mixed Collateral</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297,636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173,906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471,542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Condominium</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314,608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71,304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385,912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Property Types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205,993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235,618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Retail</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38,331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57,348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131,848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227,527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Strategic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32,866</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1,399,627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1,460,506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602,929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1,031,361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4,527,289</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Geographic Region</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24"/>
                <w:szCs w:val="24"/>
                <w:color w:val="auto"/>
              </w:rPr>
            </w:pPr>
          </w:p>
        </w:tc>
        <w:tc>
          <w:tcPr>
            <w:tcW w:w="10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99"/>
              </w:rPr>
              <w:t>Net Lease</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Land &amp;</w:t>
            </w:r>
          </w:p>
        </w:tc>
        <w:tc>
          <w:tcPr>
            <w:tcW w:w="240" w:type="dxa"/>
            <w:vAlign w:val="bottom"/>
          </w:tcPr>
          <w:p>
            <w:pPr>
              <w:spacing w:after="0"/>
              <w:rPr>
                <w:sz w:val="24"/>
                <w:szCs w:val="2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24"/>
                <w:szCs w:val="24"/>
                <w:color w:val="auto"/>
              </w:rPr>
            </w:pPr>
          </w:p>
        </w:tc>
        <w:tc>
          <w:tcPr>
            <w:tcW w:w="1280" w:type="dxa"/>
            <w:vAlign w:val="bottom"/>
          </w:tcPr>
          <w:p>
            <w:pPr>
              <w:ind w:left="4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0"/>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Development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Northeast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662,477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399,362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246,473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1,355,096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89,901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357,538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37,957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367,426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852,822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Southeast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167,589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138,475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706,386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Mid-Atlantic</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174,046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154,296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49,561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221,859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599,762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Southwest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241,814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501,005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Central</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164,367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67,196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67,473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31,500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330,536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Various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90,020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48,655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10,141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148,816</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31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Strategic Investments</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32,866</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57"/>
        </w:trPr>
        <w:tc>
          <w:tcPr>
            <w:tcW w:w="3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1,399,627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1,460,506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602,929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1,031,361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4,527,289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-98425</wp:posOffset>
            </wp:positionV>
            <wp:extent cx="50171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spacing w:after="0" w:line="35" w:lineRule="exact"/>
        <w:rPr>
          <w:sz w:val="20"/>
          <w:szCs w:val="20"/>
          <w:color w:val="auto"/>
        </w:rPr>
      </w:pPr>
    </w:p>
    <w:p>
      <w:pPr>
        <w:ind w:left="820" w:hanging="650"/>
        <w:spacing w:after="0"/>
        <w:tabs>
          <w:tab w:leader="none" w:pos="8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on the carrying value of our total investment portfolio gross of accumulated depreciation and general loan loss reserves.</w:t>
      </w:r>
    </w:p>
    <w:p>
      <w:pPr>
        <w:spacing w:after="0" w:line="95" w:lineRule="exact"/>
        <w:rPr>
          <w:rFonts w:ascii="Arial" w:cs="Arial" w:eastAsia="Arial" w:hAnsi="Arial"/>
          <w:sz w:val="14"/>
          <w:szCs w:val="14"/>
          <w:color w:val="auto"/>
        </w:rPr>
      </w:pPr>
    </w:p>
    <w:p>
      <w:pPr>
        <w:ind w:left="820" w:hanging="650"/>
        <w:spacing w:after="0"/>
        <w:tabs>
          <w:tab w:leader="none" w:pos="8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Combined, strategic investments and the various category include $20.0 million of international assets.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Finance</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real estate finance business targets sophisticated and innovative owner/operators of real estate and real estate related projects by providing one-stop capabilities that encompass financing alternatives ranging from full envelope senior loans to mezzanine and preferred equity capital positions. As of March 31, 2017, our real estate finance portfolio, excluding securities, totaled $1.4 billion, gross of general loan loss reserves. The portfolio included $1.1 billion of performing loans with a weighted average maturity of 1.5 years.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tables below summarize our loans and the reserves for loan losses associated with our loans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3"/>
              </w:rPr>
              <w:t>March 31, 2017</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22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8"/>
        </w:trPr>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Reserve for Loan</w:t>
            </w:r>
          </w:p>
        </w:tc>
      </w:tr>
      <w:tr>
        <w:trPr>
          <w:trHeight w:val="216"/>
        </w:trPr>
        <w:tc>
          <w:tcPr>
            <w:tcW w:w="224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Gross Carrying</w:t>
            </w: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Reserve for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6"/>
              </w:rPr>
              <w:t>Losses as a % of</w:t>
            </w:r>
          </w:p>
        </w:tc>
      </w:tr>
      <w:tr>
        <w:trPr>
          <w:trHeight w:val="234"/>
        </w:trPr>
        <w:tc>
          <w:tcPr>
            <w:tcW w:w="224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Loans</w:t>
            </w:r>
          </w:p>
        </w:tc>
        <w:tc>
          <w:tcPr>
            <w:tcW w:w="30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Loan Losses</w:t>
            </w:r>
          </w:p>
        </w:tc>
        <w:tc>
          <w:tcPr>
            <w:tcW w:w="18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Total</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Gross Carrying Value</w:t>
            </w:r>
          </w:p>
        </w:tc>
      </w:tr>
      <w:tr>
        <w:trPr>
          <w:trHeight w:val="27"/>
        </w:trPr>
        <w:tc>
          <w:tcPr>
            <w:tcW w:w="2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Performing loans</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1,128,434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1,110,034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85.4%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1.6%</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Non-performing loans</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250,801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(60,989)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189,812</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14.6%</w:t>
            </w:r>
          </w:p>
        </w:tc>
        <w:tc>
          <w:tcPr>
            <w:tcW w:w="12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24.3%</w:t>
            </w:r>
          </w:p>
        </w:tc>
      </w:tr>
      <w:tr>
        <w:trPr>
          <w:trHeight w:val="27"/>
        </w:trPr>
        <w:tc>
          <w:tcPr>
            <w:tcW w:w="2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1,379,235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1,299,846</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5.8%</w:t>
            </w:r>
          </w:p>
        </w:tc>
      </w:tr>
      <w:tr>
        <w:trPr>
          <w:trHeight w:val="20"/>
        </w:trPr>
        <w:tc>
          <w:tcPr>
            <w:tcW w:w="2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500"/>
        </w:trPr>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December 31, 2016</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
        </w:trPr>
        <w:tc>
          <w:tcPr>
            <w:tcW w:w="22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8"/>
        </w:trPr>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Reserve for Loan</w:t>
            </w:r>
          </w:p>
        </w:tc>
      </w:tr>
      <w:tr>
        <w:trPr>
          <w:trHeight w:val="216"/>
        </w:trPr>
        <w:tc>
          <w:tcPr>
            <w:tcW w:w="224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Gross Carrying</w:t>
            </w: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Reserve for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6"/>
              </w:rPr>
              <w:t>Losses as a % of</w:t>
            </w:r>
          </w:p>
        </w:tc>
      </w:tr>
      <w:tr>
        <w:trPr>
          <w:trHeight w:val="234"/>
        </w:trPr>
        <w:tc>
          <w:tcPr>
            <w:tcW w:w="224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Loans</w:t>
            </w:r>
          </w:p>
        </w:tc>
        <w:tc>
          <w:tcPr>
            <w:tcW w:w="30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Loan Losses</w:t>
            </w:r>
          </w:p>
        </w:tc>
        <w:tc>
          <w:tcPr>
            <w:tcW w:w="18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Total</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Gross Carrying Value</w:t>
            </w:r>
          </w:p>
        </w:tc>
      </w:tr>
      <w:tr>
        <w:trPr>
          <w:trHeight w:val="27"/>
        </w:trPr>
        <w:tc>
          <w:tcPr>
            <w:tcW w:w="2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Performing loans</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1,202,127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1,178,827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86.0%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1.9%</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Non-performing loans</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253,941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(62,245)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191,696</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14.0%</w:t>
            </w:r>
          </w:p>
        </w:tc>
        <w:tc>
          <w:tcPr>
            <w:tcW w:w="12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24.5%</w:t>
            </w:r>
          </w:p>
        </w:tc>
      </w:tr>
      <w:tr>
        <w:trPr>
          <w:trHeight w:val="27"/>
        </w:trPr>
        <w:tc>
          <w:tcPr>
            <w:tcW w:w="2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1,456,068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1,370,523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5.9%</w:t>
            </w:r>
          </w:p>
        </w:tc>
      </w:tr>
      <w:tr>
        <w:trPr>
          <w:trHeight w:val="20"/>
        </w:trPr>
        <w:tc>
          <w:tcPr>
            <w:tcW w:w="2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Performing Loans</w:t>
      </w:r>
      <w:r>
        <w:rPr>
          <w:rFonts w:ascii="Arial" w:cs="Arial" w:eastAsia="Arial" w:hAnsi="Arial"/>
          <w:sz w:val="18"/>
          <w:szCs w:val="18"/>
          <w:color w:val="auto"/>
        </w:rPr>
        <w:t>—The table below summarizes our performing loans gross of reserves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2017</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2016</w:t>
            </w:r>
          </w:p>
        </w:tc>
      </w:tr>
      <w:tr>
        <w:trPr>
          <w:trHeight w:val="27"/>
        </w:trPr>
        <w:tc>
          <w:tcPr>
            <w:tcW w:w="2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752,341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854,805</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16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361,895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333,244</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14,198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14,078</w:t>
            </w:r>
          </w:p>
        </w:tc>
      </w:tr>
      <w:tr>
        <w:trPr>
          <w:trHeight w:val="297"/>
        </w:trPr>
        <w:tc>
          <w:tcPr>
            <w:tcW w:w="2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1,128,434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1,202,127</w:t>
            </w:r>
          </w:p>
        </w:tc>
      </w:tr>
      <w:tr>
        <w:trPr>
          <w:trHeight w:val="311"/>
        </w:trPr>
        <w:tc>
          <w:tcPr>
            <w:tcW w:w="2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Weighted average LTV</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Yield</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2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Non-Performing Loans</w:t>
      </w:r>
      <w:r>
        <w:rPr>
          <w:rFonts w:ascii="Arial" w:cs="Arial" w:eastAsia="Arial" w:hAnsi="Arial"/>
          <w:sz w:val="17"/>
          <w:szCs w:val="17"/>
          <w:color w:val="auto"/>
        </w:rPr>
        <w:t>—We designate loans as non-performing at such time as: (1) the loan becomes 90 days delinquent; (2) the loan has a maturity</w:t>
      </w:r>
      <w:r>
        <w:rPr>
          <w:rFonts w:ascii="Arial" w:cs="Arial" w:eastAsia="Arial" w:hAnsi="Arial"/>
          <w:sz w:val="17"/>
          <w:szCs w:val="17"/>
          <w:i w:val="1"/>
          <w:iCs w:val="1"/>
          <w:color w:val="auto"/>
        </w:rPr>
        <w:t xml:space="preserve"> </w:t>
      </w:r>
      <w:r>
        <w:rPr>
          <w:rFonts w:ascii="Arial" w:cs="Arial" w:eastAsia="Arial" w:hAnsi="Arial"/>
          <w:sz w:val="17"/>
          <w:szCs w:val="17"/>
          <w:color w:val="auto"/>
        </w:rPr>
        <w:t>default; or (3) management determines it is probable that we will be unable to collect all amounts due according to the contractual terms of the loan. All non-performing loans are placed on non-accrual status and income is only recognized in certain cases upon actual cash receipt. As of March 31, 2017, we had non-performing loans with an aggregate carrying value of $189.8 million compared to non-performing loans with an aggregate carrying value of $191.7 million as of December 31, 2016. We expect that our level of non-performing loans will fluctuate from period to period.</w:t>
      </w:r>
    </w:p>
    <w:p>
      <w:pPr>
        <w:spacing w:after="0" w:line="17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Reserve for Loan Losses</w:t>
      </w:r>
      <w:r>
        <w:rPr>
          <w:rFonts w:ascii="Arial" w:cs="Arial" w:eastAsia="Arial" w:hAnsi="Arial"/>
          <w:sz w:val="17"/>
          <w:szCs w:val="17"/>
          <w:color w:val="auto"/>
        </w:rPr>
        <w:t>—The reserve for loan losses was $79.4 million as of March 31, 2017, or 5.8% of total loans, compared to $85.5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5.9% as of December 31, 2016. For the three months ended March 31, 2017, the recovery of loan losses included a reduction in the general reserve of $4.9 million due to an overall improvement in the risk ratings of our loan portfolio. We expect that our level of reserve for loan losses will fluctuate from period to period. Due to the volatility of the commercial real estate market, the process of estimating collateral values and reserves requires the use of significant judgment. We currently believe there is adequate collateral and reserves to support the carrying values of the loans.</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reserve for loan losses includes an asset-specific component and a formula-based component. An asset-specific reserve is established for an impaired loan when the estimated fair value of the loan's collateral less costs to sell is lower than the carrying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value of the loan. As of March 31, 2017, asset-specific reserves decreased to $61.0 million compared to $62.2 million as of December 31, 2016.</w:t>
      </w:r>
    </w:p>
    <w:p>
      <w:pPr>
        <w:spacing w:after="0" w:line="23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formula-based general reserve is derived from estimated principal default probabilities and loss severities applied to groups of performing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and future expectations about their credit quality based on all known and relevant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6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general reserve decreased to $18.4 million or 1.6% of performing loans as of March 31, 2017, compared to $23.3 million or 1.9% of performing loans as of December 31, 2016. The decrease was primarily attributable to an overall improvement in the risk ratings of our loan portfolio.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Lease</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net lease business seeks to create stable cash flows through long-term net leases primarily to single tenants on our properties. We target mission-critical facilities leased on a long-term basis to tenants, offering structured solutions that combine our capabilities in underwriting, lease structuring, asset management and build-to-suit construction. We invest in new net lease investments primarily through our Net Lease Venture, in which we hold a 51.9% interest. The Net Lease Venture has a right of first offer on any new net lease investments that we source. In the three months ended March 31, 2017, the Net Lease Venture's investment period was extended through February 1, 2018. The term of the Net Lease Venture extends through February 13, 2022, subject to two, one-year extension options at the discretion of the Company and its partner.</w:t>
      </w:r>
    </w:p>
    <w:p>
      <w:pPr>
        <w:spacing w:after="0" w:line="17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2017, our net lease portfolio, including equity method investments, totaled $1.46 billion, gross of $370.2 million of accumulated depreciation. The table below provides certain statistics for our net lease portfolio.</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2740" w:type="dxa"/>
            <w:vAlign w:val="bottom"/>
            <w:gridSpan w:val="3"/>
          </w:tcPr>
          <w:p>
            <w:pPr>
              <w:ind w:left="140"/>
              <w:spacing w:after="0"/>
              <w:rPr>
                <w:sz w:val="20"/>
                <w:szCs w:val="20"/>
                <w:color w:val="auto"/>
              </w:rPr>
            </w:pPr>
            <w:r>
              <w:rPr>
                <w:rFonts w:ascii="Arial" w:cs="Arial" w:eastAsia="Arial" w:hAnsi="Arial"/>
                <w:sz w:val="18"/>
                <w:szCs w:val="18"/>
                <w:b w:val="1"/>
                <w:bCs w:val="1"/>
                <w:color w:val="auto"/>
              </w:rPr>
              <w:t>Net Lease Statistics</w:t>
            </w:r>
          </w:p>
        </w:tc>
        <w:tc>
          <w:tcPr>
            <w:tcW w:w="2000" w:type="dxa"/>
            <w:vAlign w:val="bottom"/>
          </w:tcPr>
          <w:p>
            <w:pPr>
              <w:spacing w:after="0"/>
              <w:rPr>
                <w:sz w:val="20"/>
                <w:szCs w:val="20"/>
                <w:color w:val="auto"/>
              </w:rPr>
            </w:pPr>
          </w:p>
        </w:tc>
      </w:tr>
      <w:tr>
        <w:trPr>
          <w:trHeight w:val="270"/>
        </w:trPr>
        <w:tc>
          <w:tcPr>
            <w:tcW w:w="2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160" w:type="dxa"/>
            <w:vAlign w:val="bottom"/>
            <w:gridSpan w:val="2"/>
          </w:tcPr>
          <w:p>
            <w:pPr>
              <w:ind w:left="420"/>
              <w:spacing w:after="0"/>
              <w:rPr>
                <w:sz w:val="20"/>
                <w:szCs w:val="20"/>
                <w:color w:val="auto"/>
              </w:rPr>
            </w:pPr>
            <w:r>
              <w:rPr>
                <w:rFonts w:ascii="Arial" w:cs="Arial" w:eastAsia="Arial" w:hAnsi="Arial"/>
                <w:sz w:val="18"/>
                <w:szCs w:val="18"/>
                <w:b w:val="1"/>
                <w:bCs w:val="1"/>
                <w:color w:val="auto"/>
              </w:rPr>
              <w:t>March 31, 2017</w:t>
            </w:r>
          </w:p>
        </w:tc>
        <w:tc>
          <w:tcPr>
            <w:tcW w:w="200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29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4"/>
        </w:trPr>
        <w:tc>
          <w:tcPr>
            <w:tcW w:w="29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Square feet (mm)</w:t>
            </w:r>
            <w:r>
              <w:rPr>
                <w:rFonts w:ascii="Arial" w:cs="Arial" w:eastAsia="Arial" w:hAnsi="Arial"/>
                <w:sz w:val="25"/>
                <w:szCs w:val="25"/>
                <w:color w:val="auto"/>
                <w:vertAlign w:val="superscript"/>
              </w:rPr>
              <w:t>(1)</w:t>
            </w:r>
          </w:p>
        </w:tc>
        <w:tc>
          <w:tcPr>
            <w:tcW w:w="2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17,078</w:t>
            </w:r>
          </w:p>
        </w:tc>
        <w:tc>
          <w:tcPr>
            <w:tcW w:w="120" w:type="dxa"/>
            <w:vAlign w:val="bottom"/>
            <w:shd w:val="clear" w:color="auto" w:fill="CCEEFF"/>
          </w:tcPr>
          <w:p>
            <w:pPr>
              <w:spacing w:after="0"/>
              <w:rPr>
                <w:sz w:val="22"/>
                <w:szCs w:val="22"/>
                <w:color w:val="auto"/>
              </w:rPr>
            </w:pPr>
          </w:p>
        </w:tc>
        <w:tc>
          <w:tcPr>
            <w:tcW w:w="2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17,214</w:t>
            </w:r>
          </w:p>
        </w:tc>
      </w:tr>
      <w:tr>
        <w:trPr>
          <w:trHeight w:val="270"/>
        </w:trPr>
        <w:tc>
          <w:tcPr>
            <w:tcW w:w="2960" w:type="dxa"/>
            <w:vAlign w:val="bottom"/>
          </w:tcPr>
          <w:p>
            <w:pPr>
              <w:ind w:left="40"/>
              <w:spacing w:after="0" w:line="270" w:lineRule="exact"/>
              <w:rPr>
                <w:sz w:val="20"/>
                <w:szCs w:val="20"/>
                <w:color w:val="auto"/>
              </w:rPr>
            </w:pPr>
            <w:r>
              <w:rPr>
                <w:rFonts w:ascii="Arial" w:cs="Arial" w:eastAsia="Arial" w:hAnsi="Arial"/>
                <w:sz w:val="18"/>
                <w:szCs w:val="18"/>
                <w:color w:val="auto"/>
              </w:rPr>
              <w:t>Leased %</w:t>
            </w:r>
            <w:r>
              <w:rPr>
                <w:rFonts w:ascii="Arial" w:cs="Arial" w:eastAsia="Arial" w:hAnsi="Arial"/>
                <w:sz w:val="25"/>
                <w:szCs w:val="25"/>
                <w:color w:val="auto"/>
                <w:vertAlign w:val="superscript"/>
              </w:rPr>
              <w:t>(2)</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0"/>
        </w:trPr>
        <w:tc>
          <w:tcPr>
            <w:tcW w:w="2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1"/>
              </w:rPr>
              <w:t>Weighted average lease term (years)</w:t>
            </w:r>
            <w:r>
              <w:rPr>
                <w:rFonts w:ascii="Arial" w:cs="Arial" w:eastAsia="Arial" w:hAnsi="Arial"/>
                <w:sz w:val="25"/>
                <w:szCs w:val="25"/>
                <w:color w:val="auto"/>
                <w:w w:val="91"/>
                <w:vertAlign w:val="superscript"/>
              </w:rPr>
              <w:t>(3)</w:t>
            </w:r>
          </w:p>
        </w:tc>
        <w:tc>
          <w:tcPr>
            <w:tcW w:w="2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14.7</w:t>
            </w:r>
          </w:p>
        </w:tc>
      </w:tr>
      <w:tr>
        <w:trPr>
          <w:trHeight w:val="263"/>
        </w:trPr>
        <w:tc>
          <w:tcPr>
            <w:tcW w:w="2960" w:type="dxa"/>
            <w:vAlign w:val="bottom"/>
          </w:tcPr>
          <w:p>
            <w:pPr>
              <w:ind w:left="40"/>
              <w:spacing w:after="0" w:line="263" w:lineRule="exact"/>
              <w:rPr>
                <w:sz w:val="20"/>
                <w:szCs w:val="20"/>
                <w:color w:val="auto"/>
              </w:rPr>
            </w:pPr>
            <w:r>
              <w:rPr>
                <w:rFonts w:ascii="Arial" w:cs="Arial" w:eastAsia="Arial" w:hAnsi="Arial"/>
                <w:sz w:val="18"/>
                <w:szCs w:val="18"/>
                <w:color w:val="auto"/>
              </w:rPr>
              <w:t>Yield</w:t>
            </w:r>
            <w:r>
              <w:rPr>
                <w:rFonts w:ascii="Arial" w:cs="Arial" w:eastAsia="Arial" w:hAnsi="Arial"/>
                <w:sz w:val="25"/>
                <w:szCs w:val="25"/>
                <w:color w:val="auto"/>
                <w:vertAlign w:val="superscript"/>
              </w:rPr>
              <w:t>(4)</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1"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 of March 31, 2017 and December 31, 2016, includes 3,081 square feet at one of our equity method investments of which we own 51.9%.</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Excluding equity method investments, our net lease portfolio was 98% leased as of March 31, 2017 and December 31, 2016.</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Excluding equity method investments, our weighted average lease term was and 14.8 years as of March 31, 2017 and December 31, 2016.</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Excludes equity method investments.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Properties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2017, our operating property portfolio, including equity method investments, totaled $602.9 million, gross of $49.5 million of accumulated depreciation, and was comprised of $531.0 million of commercial and $71.9 million of residential real estate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Commercial Operating Properties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commercial operating properties represent a diverse pool of assets across a broad range of geographies and collateral types including office, retail and hotel properties. We generally seek to reposition our transitional properties with the objective of maximizing their values through the infusion of capital and/or intensive asset management efforts resulting in value realization upon sale.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provides certain statistics for our commercial operating property portfolio.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5"/>
          </w:tcPr>
          <w:p>
            <w:pPr>
              <w:ind w:left="860"/>
              <w:spacing w:after="0"/>
              <w:rPr>
                <w:sz w:val="20"/>
                <w:szCs w:val="20"/>
                <w:color w:val="auto"/>
              </w:rPr>
            </w:pPr>
            <w:r>
              <w:rPr>
                <w:rFonts w:ascii="Arial" w:cs="Arial" w:eastAsia="Arial" w:hAnsi="Arial"/>
                <w:sz w:val="16"/>
                <w:szCs w:val="16"/>
                <w:b w:val="1"/>
                <w:bCs w:val="1"/>
                <w:color w:val="auto"/>
                <w:w w:val="93"/>
              </w:rPr>
              <w:t>Commercial Operating Property Statistics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7"/>
        </w:trPr>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 in millions)</w:t>
            </w: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330"/>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4"/>
          </w:tcPr>
          <w:p>
            <w:pPr>
              <w:ind w:left="620"/>
              <w:spacing w:after="0"/>
              <w:rPr>
                <w:sz w:val="20"/>
                <w:szCs w:val="20"/>
                <w:color w:val="auto"/>
              </w:rPr>
            </w:pPr>
            <w:r>
              <w:rPr>
                <w:rFonts w:ascii="Arial" w:cs="Arial" w:eastAsia="Arial" w:hAnsi="Arial"/>
                <w:sz w:val="16"/>
                <w:szCs w:val="16"/>
                <w:b w:val="1"/>
                <w:bCs w:val="1"/>
                <w:color w:val="auto"/>
              </w:rPr>
              <w:t>Stabilized Operating</w:t>
            </w:r>
            <w:r>
              <w:rPr>
                <w:rFonts w:ascii="Arial" w:cs="Arial" w:eastAsia="Arial" w:hAnsi="Arial"/>
                <w:sz w:val="21"/>
                <w:szCs w:val="21"/>
                <w:b w:val="1"/>
                <w:bCs w:val="1"/>
                <w:color w:val="auto"/>
                <w:vertAlign w:val="superscript"/>
              </w:rPr>
              <w:t>(1)</w:t>
            </w:r>
          </w:p>
        </w:tc>
        <w:tc>
          <w:tcPr>
            <w:tcW w:w="120" w:type="dxa"/>
            <w:vAlign w:val="bottom"/>
          </w:tcPr>
          <w:p>
            <w:pPr>
              <w:spacing w:after="0"/>
              <w:rPr>
                <w:sz w:val="24"/>
                <w:szCs w:val="24"/>
                <w:color w:val="auto"/>
              </w:rPr>
            </w:pPr>
          </w:p>
        </w:tc>
        <w:tc>
          <w:tcPr>
            <w:tcW w:w="2200" w:type="dxa"/>
            <w:vAlign w:val="bottom"/>
            <w:gridSpan w:val="2"/>
          </w:tcPr>
          <w:p>
            <w:pPr>
              <w:jc w:val="center"/>
              <w:ind w:left="279"/>
              <w:spacing w:after="0"/>
              <w:rPr>
                <w:sz w:val="20"/>
                <w:szCs w:val="20"/>
                <w:color w:val="auto"/>
              </w:rPr>
            </w:pPr>
            <w:r>
              <w:rPr>
                <w:rFonts w:ascii="Arial" w:cs="Arial" w:eastAsia="Arial" w:hAnsi="Arial"/>
                <w:sz w:val="16"/>
                <w:szCs w:val="16"/>
                <w:b w:val="1"/>
                <w:bCs w:val="1"/>
                <w:color w:val="auto"/>
                <w:w w:val="91"/>
              </w:rPr>
              <w:t>Transitional Operating</w:t>
            </w:r>
            <w:r>
              <w:rPr>
                <w:rFonts w:ascii="Arial" w:cs="Arial" w:eastAsia="Arial" w:hAnsi="Arial"/>
                <w:sz w:val="21"/>
                <w:szCs w:val="21"/>
                <w:b w:val="1"/>
                <w:bCs w:val="1"/>
                <w:color w:val="auto"/>
                <w:w w:val="91"/>
                <w:vertAlign w:val="superscript"/>
              </w:rPr>
              <w:t>(1)</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84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March 31, 2017</w:t>
            </w:r>
          </w:p>
        </w:tc>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6"/>
                <w:szCs w:val="16"/>
                <w:b w:val="1"/>
                <w:bCs w:val="1"/>
                <w:color w:val="auto"/>
              </w:rPr>
              <w:t>December 31, 2016</w:t>
            </w:r>
          </w:p>
        </w:tc>
        <w:tc>
          <w:tcPr>
            <w:tcW w:w="120" w:type="dxa"/>
            <w:vAlign w:val="bottom"/>
          </w:tcPr>
          <w:p>
            <w:pPr>
              <w:spacing w:after="0"/>
              <w:rPr>
                <w:sz w:val="18"/>
                <w:szCs w:val="18"/>
                <w:color w:val="auto"/>
              </w:rPr>
            </w:pPr>
          </w:p>
        </w:tc>
        <w:tc>
          <w:tcPr>
            <w:tcW w:w="288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5"/>
              </w:rPr>
              <w:t>March 31, 2017   December 31, 2016</w:t>
            </w:r>
          </w:p>
        </w:tc>
        <w:tc>
          <w:tcPr>
            <w:tcW w:w="14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March 31, 2017</w:t>
            </w:r>
          </w:p>
        </w:tc>
        <w:tc>
          <w:tcPr>
            <w:tcW w:w="14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4"/>
              </w:rPr>
              <w:t>December 31, 2016</w:t>
            </w:r>
          </w:p>
        </w:tc>
      </w:tr>
      <w:tr>
        <w:trPr>
          <w:trHeight w:val="33"/>
        </w:trPr>
        <w:tc>
          <w:tcPr>
            <w:tcW w:w="1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Gross book value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9"/>
        </w:trPr>
        <w:tc>
          <w:tcPr>
            <w:tcW w:w="128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($mm)</w:t>
            </w:r>
            <w:r>
              <w:rPr>
                <w:rFonts w:ascii="Arial" w:cs="Arial" w:eastAsia="Arial" w:hAnsi="Arial"/>
                <w:sz w:val="21"/>
                <w:szCs w:val="21"/>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192</w:t>
            </w:r>
          </w:p>
        </w:tc>
        <w:tc>
          <w:tcPr>
            <w:tcW w:w="980" w:type="dxa"/>
            <w:vAlign w:val="bottom"/>
            <w:shd w:val="clear" w:color="auto" w:fill="CCEEFF"/>
          </w:tcPr>
          <w:p>
            <w:pPr>
              <w:jc w:val="center"/>
              <w:ind w:right="7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189</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531</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526</w:t>
            </w:r>
          </w:p>
        </w:tc>
      </w:tr>
      <w:tr>
        <w:trPr>
          <w:trHeight w:val="301"/>
        </w:trPr>
        <w:tc>
          <w:tcPr>
            <w:tcW w:w="1280" w:type="dxa"/>
            <w:vAlign w:val="bottom"/>
          </w:tcPr>
          <w:p>
            <w:pPr>
              <w:ind w:left="40"/>
              <w:spacing w:after="0"/>
              <w:rPr>
                <w:sz w:val="20"/>
                <w:szCs w:val="20"/>
                <w:color w:val="auto"/>
              </w:rPr>
            </w:pPr>
            <w:r>
              <w:rPr>
                <w:rFonts w:ascii="Arial" w:cs="Arial" w:eastAsia="Arial" w:hAnsi="Arial"/>
                <w:sz w:val="16"/>
                <w:szCs w:val="16"/>
                <w:color w:val="auto"/>
              </w:rPr>
              <w:t>Occupancy</w:t>
            </w:r>
            <w:r>
              <w:rPr>
                <w:rFonts w:ascii="Arial" w:cs="Arial" w:eastAsia="Arial" w:hAnsi="Arial"/>
                <w:sz w:val="21"/>
                <w:szCs w:val="21"/>
                <w:color w:val="auto"/>
                <w:vertAlign w:val="superscript"/>
              </w:rPr>
              <w:t>(3)</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w:t>
            </w:r>
          </w:p>
        </w:tc>
        <w:tc>
          <w:tcPr>
            <w:tcW w:w="9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w:t>
            </w:r>
          </w:p>
        </w:tc>
        <w:tc>
          <w:tcPr>
            <w:tcW w:w="6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06"/>
        </w:trPr>
        <w:tc>
          <w:tcPr>
            <w:tcW w:w="1280" w:type="dxa"/>
            <w:vAlign w:val="bottom"/>
          </w:tcPr>
          <w:p>
            <w:pPr>
              <w:ind w:left="40"/>
              <w:spacing w:after="0"/>
              <w:rPr>
                <w:sz w:val="20"/>
                <w:szCs w:val="20"/>
                <w:color w:val="auto"/>
              </w:rPr>
            </w:pPr>
            <w:r>
              <w:rPr>
                <w:rFonts w:ascii="Arial" w:cs="Arial" w:eastAsia="Arial" w:hAnsi="Arial"/>
                <w:sz w:val="16"/>
                <w:szCs w:val="16"/>
                <w:color w:val="auto"/>
              </w:rPr>
              <w:t>Yield</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w:t>
            </w:r>
          </w:p>
        </w:tc>
        <w:tc>
          <w:tcPr>
            <w:tcW w:w="6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651764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1764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13" w:lineRule="exact"/>
        <w:rPr>
          <w:sz w:val="20"/>
          <w:szCs w:val="20"/>
          <w:color w:val="auto"/>
        </w:rPr>
      </w:pPr>
    </w:p>
    <w:p>
      <w:pPr>
        <w:ind w:left="500" w:hanging="492"/>
        <w:spacing w:after="0" w:line="241"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Stabilized commercial properties generally have occupancy levels above 80% and/or generate yields resulting in a sufficient return based upon the properties’ risk profiles. Transitional commercial properties are generally those properties that do not meet these criteria.</w:t>
      </w:r>
    </w:p>
    <w:p>
      <w:pPr>
        <w:ind w:left="500" w:hanging="492"/>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Gross carrying value represents carrying value gross of accumulated depreciation.</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Occupancy is as of March 31, 2017 and December 31, 2016.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Residential Operating Properties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March 31, 2017, our residential operating portfolio was comprised of 41 condominium units generally located within luxury projects in major U.S. cities. The table below provides certain statistics for our residential operating property portfolio (excluding fractional units).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6"/>
          </w:tcPr>
          <w:p>
            <w:pPr>
              <w:jc w:val="center"/>
              <w:ind w:left="1450"/>
              <w:spacing w:after="0"/>
              <w:rPr>
                <w:sz w:val="20"/>
                <w:szCs w:val="20"/>
                <w:color w:val="auto"/>
              </w:rPr>
            </w:pPr>
            <w:r>
              <w:rPr>
                <w:rFonts w:ascii="Arial" w:cs="Arial" w:eastAsia="Arial" w:hAnsi="Arial"/>
                <w:sz w:val="18"/>
                <w:szCs w:val="18"/>
                <w:b w:val="1"/>
                <w:bCs w:val="1"/>
                <w:color w:val="auto"/>
                <w:w w:val="90"/>
              </w:rPr>
              <w:t>Residential Operating Property Statistics</w:t>
            </w:r>
          </w:p>
        </w:tc>
        <w:tc>
          <w:tcPr>
            <w:tcW w:w="1540" w:type="dxa"/>
            <w:vAlign w:val="bottom"/>
          </w:tcPr>
          <w:p>
            <w:pPr>
              <w:spacing w:after="0"/>
              <w:rPr>
                <w:sz w:val="20"/>
                <w:szCs w:val="20"/>
                <w:color w:val="auto"/>
              </w:rPr>
            </w:pPr>
          </w:p>
        </w:tc>
      </w:tr>
      <w:tr>
        <w:trPr>
          <w:trHeight w:val="270"/>
        </w:trPr>
        <w:tc>
          <w:tcPr>
            <w:tcW w:w="2560" w:type="dxa"/>
            <w:vAlign w:val="bottom"/>
          </w:tcPr>
          <w:p>
            <w:pPr>
              <w:spacing w:after="0"/>
              <w:rPr>
                <w:sz w:val="23"/>
                <w:szCs w:val="23"/>
                <w:color w:val="auto"/>
              </w:rPr>
            </w:pPr>
          </w:p>
        </w:tc>
        <w:tc>
          <w:tcPr>
            <w:tcW w:w="2260" w:type="dxa"/>
            <w:vAlign w:val="bottom"/>
            <w:gridSpan w:val="4"/>
          </w:tcPr>
          <w:p>
            <w:pPr>
              <w:jc w:val="center"/>
              <w:ind w:right="800"/>
              <w:spacing w:after="0"/>
              <w:rPr>
                <w:sz w:val="20"/>
                <w:szCs w:val="20"/>
                <w:color w:val="auto"/>
              </w:rPr>
            </w:pPr>
            <w:r>
              <w:rPr>
                <w:rFonts w:ascii="Arial" w:cs="Arial" w:eastAsia="Arial" w:hAnsi="Arial"/>
                <w:sz w:val="18"/>
                <w:szCs w:val="18"/>
                <w:i w:val="1"/>
                <w:iCs w:val="1"/>
                <w:color w:val="auto"/>
                <w:w w:val="96"/>
              </w:rPr>
              <w:t>($ in millions)</w:t>
            </w: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2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36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2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2017</w:t>
            </w:r>
          </w:p>
        </w:tc>
        <w:tc>
          <w:tcPr>
            <w:tcW w:w="200" w:type="dxa"/>
            <w:vAlign w:val="bottom"/>
          </w:tcPr>
          <w:p>
            <w:pPr>
              <w:spacing w:after="0"/>
              <w:rPr>
                <w:sz w:val="23"/>
                <w:szCs w:val="23"/>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March 31, 2016</w:t>
            </w:r>
          </w:p>
        </w:tc>
      </w:tr>
      <w:tr>
        <w:trPr>
          <w:trHeight w:val="27"/>
        </w:trPr>
        <w:tc>
          <w:tcPr>
            <w:tcW w:w="25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Condominium units sold</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Proceeds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
        </w:trPr>
        <w:tc>
          <w:tcPr>
            <w:tcW w:w="2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Income from sales of real estate</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459"/>
        </w:trPr>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ind w:right="67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and Development</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At the end of the quarter, our land and development portfolio, including equity method investments, totaled $1.02 billion, with seven projects in production, nine in development and 14 in the pre-development phase. These projects are collectively entitled for approximately 15,000 lots and units. The following tables presents certain statistics for our land and development portfolio.</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36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Land and Development Portfolio Rollforward</w:t>
            </w:r>
          </w:p>
        </w:tc>
        <w:tc>
          <w:tcPr>
            <w:tcW w:w="1620" w:type="dxa"/>
            <w:vAlign w:val="bottom"/>
          </w:tcPr>
          <w:p>
            <w:pPr>
              <w:spacing w:after="0"/>
              <w:rPr>
                <w:sz w:val="20"/>
                <w:szCs w:val="20"/>
                <w:color w:val="auto"/>
              </w:rPr>
            </w:pPr>
          </w:p>
        </w:tc>
      </w:tr>
      <w:tr>
        <w:trPr>
          <w:trHeight w:val="270"/>
        </w:trPr>
        <w:tc>
          <w:tcPr>
            <w:tcW w:w="1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gridSpan w:val="2"/>
          </w:tcPr>
          <w:p>
            <w:pPr>
              <w:jc w:val="center"/>
              <w:ind w:right="880"/>
              <w:spacing w:after="0"/>
              <w:rPr>
                <w:sz w:val="20"/>
                <w:szCs w:val="20"/>
                <w:color w:val="auto"/>
              </w:rPr>
            </w:pPr>
            <w:r>
              <w:rPr>
                <w:rFonts w:ascii="Arial" w:cs="Arial" w:eastAsia="Arial" w:hAnsi="Arial"/>
                <w:sz w:val="18"/>
                <w:szCs w:val="18"/>
                <w:i w:val="1"/>
                <w:iCs w:val="1"/>
                <w:color w:val="auto"/>
                <w:w w:val="96"/>
              </w:rPr>
              <w:t>(in millions)</w:t>
            </w:r>
          </w:p>
        </w:tc>
        <w:tc>
          <w:tcPr>
            <w:tcW w:w="4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1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94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1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2017</w:t>
            </w:r>
          </w:p>
        </w:tc>
        <w:tc>
          <w:tcPr>
            <w:tcW w:w="400" w:type="dxa"/>
            <w:vAlign w:val="bottom"/>
          </w:tcPr>
          <w:p>
            <w:pPr>
              <w:spacing w:after="0"/>
              <w:rPr>
                <w:sz w:val="23"/>
                <w:szCs w:val="23"/>
                <w:color w:val="auto"/>
              </w:rPr>
            </w:pPr>
          </w:p>
        </w:tc>
        <w:tc>
          <w:tcPr>
            <w:tcW w:w="1620" w:type="dxa"/>
            <w:vAlign w:val="bottom"/>
          </w:tcPr>
          <w:p>
            <w:pPr>
              <w:jc w:val="right"/>
              <w:ind w:right="310"/>
              <w:spacing w:after="0"/>
              <w:rPr>
                <w:sz w:val="20"/>
                <w:szCs w:val="20"/>
                <w:color w:val="auto"/>
              </w:rPr>
            </w:pPr>
            <w:r>
              <w:rPr>
                <w:rFonts w:ascii="Arial" w:cs="Arial" w:eastAsia="Arial" w:hAnsi="Arial"/>
                <w:sz w:val="18"/>
                <w:szCs w:val="18"/>
                <w:b w:val="1"/>
                <w:bCs w:val="1"/>
                <w:color w:val="auto"/>
                <w:w w:val="93"/>
              </w:rPr>
              <w:t>March 31, 2016</w:t>
            </w:r>
          </w:p>
        </w:tc>
      </w:tr>
      <w:tr>
        <w:trPr>
          <w:trHeight w:val="27"/>
        </w:trPr>
        <w:tc>
          <w:tcPr>
            <w:tcW w:w="1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16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w w:val="91"/>
              </w:rPr>
              <w:t>Beginning balance</w:t>
            </w:r>
            <w:r>
              <w:rPr>
                <w:rFonts w:ascii="Arial" w:cs="Arial" w:eastAsia="Arial" w:hAnsi="Arial"/>
                <w:sz w:val="25"/>
                <w:szCs w:val="25"/>
                <w:color w:val="auto"/>
                <w:w w:val="91"/>
                <w:vertAlign w:val="superscript"/>
              </w:rPr>
              <w:t>(1)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945.5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1,002.0</w:t>
            </w:r>
          </w:p>
        </w:tc>
      </w:tr>
      <w:tr>
        <w:trPr>
          <w:trHeight w:val="270"/>
        </w:trPr>
        <w:tc>
          <w:tcPr>
            <w:tcW w:w="1600" w:type="dxa"/>
            <w:vAlign w:val="bottom"/>
          </w:tcPr>
          <w:p>
            <w:pPr>
              <w:ind w:left="40"/>
              <w:spacing w:after="0" w:line="270" w:lineRule="exact"/>
              <w:rPr>
                <w:sz w:val="20"/>
                <w:szCs w:val="20"/>
                <w:color w:val="auto"/>
              </w:rPr>
            </w:pPr>
            <w:r>
              <w:rPr>
                <w:rFonts w:ascii="Arial" w:cs="Arial" w:eastAsia="Arial" w:hAnsi="Arial"/>
                <w:sz w:val="18"/>
                <w:szCs w:val="18"/>
                <w:color w:val="auto"/>
              </w:rPr>
              <w:t>Asset sales</w:t>
            </w:r>
            <w:r>
              <w:rPr>
                <w:rFonts w:ascii="Arial" w:cs="Arial" w:eastAsia="Arial" w:hAnsi="Arial"/>
                <w:sz w:val="25"/>
                <w:szCs w:val="25"/>
                <w:color w:val="auto"/>
                <w:vertAlign w:val="superscript"/>
              </w:rPr>
              <w:t>(2)</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Capital expenditures</w:t>
            </w: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1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16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Ending balance</w:t>
            </w:r>
            <w:r>
              <w:rPr>
                <w:rFonts w:ascii="Arial" w:cs="Arial" w:eastAsia="Arial" w:hAnsi="Arial"/>
                <w:sz w:val="25"/>
                <w:szCs w:val="25"/>
                <w:color w:val="auto"/>
                <w:vertAlign w:val="superscript"/>
              </w:rPr>
              <w:t>(1)</w:t>
            </w: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955.2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1,024.4</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-98425</wp:posOffset>
            </wp:positionV>
            <wp:extent cx="26244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5" w:lineRule="exact"/>
        <w:rPr>
          <w:sz w:val="20"/>
          <w:szCs w:val="20"/>
          <w:color w:val="auto"/>
        </w:rPr>
      </w:pPr>
    </w:p>
    <w:p>
      <w:pPr>
        <w:ind w:left="820" w:hanging="812"/>
        <w:spacing w:after="0"/>
        <w:tabs>
          <w:tab w:leader="none" w:pos="8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of March 31, 2017 and December 31, 2016, excludes $69.5 million and $84.8 million, respectively, of equity method investments.</w:t>
      </w:r>
    </w:p>
    <w:p>
      <w:pPr>
        <w:spacing w:after="0" w:line="95" w:lineRule="exact"/>
        <w:rPr>
          <w:rFonts w:ascii="Arial" w:cs="Arial" w:eastAsia="Arial" w:hAnsi="Arial"/>
          <w:sz w:val="14"/>
          <w:szCs w:val="14"/>
          <w:color w:val="auto"/>
        </w:rPr>
      </w:pPr>
    </w:p>
    <w:p>
      <w:pPr>
        <w:ind w:left="820" w:hanging="812"/>
        <w:spacing w:after="0"/>
        <w:tabs>
          <w:tab w:leader="none" w:pos="8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gross book value of the assets sold, rather than proceeds received.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31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7"/>
              </w:rPr>
              <w:t>Land and Development Statistics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70"/>
        </w:trPr>
        <w:tc>
          <w:tcPr>
            <w:tcW w:w="2540" w:type="dxa"/>
            <w:vAlign w:val="bottom"/>
          </w:tcPr>
          <w:p>
            <w:pPr>
              <w:spacing w:after="0"/>
              <w:rPr>
                <w:sz w:val="23"/>
                <w:szCs w:val="23"/>
                <w:color w:val="auto"/>
              </w:rPr>
            </w:pPr>
          </w:p>
        </w:tc>
        <w:tc>
          <w:tcPr>
            <w:tcW w:w="3100" w:type="dxa"/>
            <w:vAlign w:val="bottom"/>
            <w:gridSpan w:val="2"/>
          </w:tcPr>
          <w:p>
            <w:pPr>
              <w:jc w:val="right"/>
              <w:ind w:right="1050"/>
              <w:spacing w:after="0"/>
              <w:rPr>
                <w:sz w:val="20"/>
                <w:szCs w:val="20"/>
                <w:color w:val="auto"/>
              </w:rPr>
            </w:pPr>
            <w:r>
              <w:rPr>
                <w:rFonts w:ascii="Arial" w:cs="Arial" w:eastAsia="Arial" w:hAnsi="Arial"/>
                <w:sz w:val="18"/>
                <w:szCs w:val="18"/>
                <w:i w:val="1"/>
                <w:iCs w:val="1"/>
                <w:color w:val="auto"/>
              </w:rPr>
              <w:t>(in millions)</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2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7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3"/>
                <w:szCs w:val="23"/>
                <w:color w:val="auto"/>
              </w:rPr>
            </w:pPr>
          </w:p>
        </w:tc>
      </w:tr>
      <w:tr>
        <w:trPr>
          <w:trHeight w:val="270"/>
        </w:trPr>
        <w:tc>
          <w:tcPr>
            <w:tcW w:w="2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March 31, 2017</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March 31, 2016</w:t>
            </w:r>
          </w:p>
        </w:tc>
        <w:tc>
          <w:tcPr>
            <w:tcW w:w="380" w:type="dxa"/>
            <w:vAlign w:val="bottom"/>
          </w:tcPr>
          <w:p>
            <w:pPr>
              <w:spacing w:after="0"/>
              <w:rPr>
                <w:sz w:val="23"/>
                <w:szCs w:val="23"/>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development revenue</w:t>
            </w:r>
          </w:p>
        </w:tc>
        <w:tc>
          <w:tcPr>
            <w:tcW w:w="3100" w:type="dxa"/>
            <w:vAlign w:val="bottom"/>
            <w:tcBorders>
              <w:bottom w:val="single" w:sz="8" w:color="CCEEFF"/>
            </w:tcBorders>
            <w:gridSpan w:val="2"/>
            <w:shd w:val="clear" w:color="auto" w:fill="CCEEFF"/>
          </w:tcPr>
          <w:p>
            <w:pPr>
              <w:jc w:val="right"/>
              <w:ind w:right="14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14.9</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w w:val="97"/>
              </w:rPr>
              <w:t>Land development cost of sales</w:t>
            </w:r>
          </w:p>
        </w:tc>
        <w:tc>
          <w:tcPr>
            <w:tcW w:w="14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15.9</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11.6</w:t>
            </w:r>
          </w:p>
        </w:tc>
      </w:tr>
      <w:tr>
        <w:trPr>
          <w:trHeight w:val="27"/>
        </w:trPr>
        <w:tc>
          <w:tcPr>
            <w:tcW w:w="25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100" w:type="dxa"/>
            <w:vAlign w:val="bottom"/>
            <w:tcBorders>
              <w:bottom w:val="single" w:sz="8" w:color="CCEEFF"/>
            </w:tcBorders>
            <w:gridSpan w:val="2"/>
            <w:shd w:val="clear" w:color="auto" w:fill="CCEEFF"/>
          </w:tcPr>
          <w:p>
            <w:pPr>
              <w:jc w:val="right"/>
              <w:ind w:right="14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5640" w:type="dxa"/>
            <w:vAlign w:val="bottom"/>
            <w:gridSpan w:val="3"/>
          </w:tcPr>
          <w:p>
            <w:pPr>
              <w:ind w:left="40"/>
              <w:spacing w:after="0"/>
              <w:rPr>
                <w:sz w:val="20"/>
                <w:szCs w:val="20"/>
                <w:color w:val="auto"/>
              </w:rPr>
            </w:pPr>
            <w:r>
              <w:rPr>
                <w:rFonts w:ascii="Arial" w:cs="Arial" w:eastAsia="Arial" w:hAnsi="Arial"/>
                <w:sz w:val="18"/>
                <w:szCs w:val="18"/>
                <w:color w:val="auto"/>
              </w:rPr>
              <w:t>Earnings from land development equity method</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25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25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57"/>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100" w:type="dxa"/>
            <w:vAlign w:val="bottom"/>
            <w:gridSpan w:val="2"/>
            <w:shd w:val="clear" w:color="auto" w:fill="CCEEFF"/>
          </w:tcPr>
          <w:p>
            <w:pPr>
              <w:jc w:val="right"/>
              <w:ind w:right="14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10.0</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2017 compared to the Three Months Ended March 31, 2016</w:t>
      </w: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 March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4"/>
        </w:trPr>
        <w:tc>
          <w:tcPr>
            <w:tcW w:w="47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54,937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29,058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33,219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(4,161)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Land development revenue</w:t>
            </w:r>
          </w:p>
        </w:tc>
        <w:tc>
          <w:tcPr>
            <w:tcW w:w="2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20,050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14,947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5,103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34 %</w:t>
            </w:r>
          </w:p>
        </w:tc>
      </w:tr>
      <w:tr>
        <w:trPr>
          <w:trHeight w:val="27"/>
        </w:trPr>
        <w:tc>
          <w:tcPr>
            <w:tcW w:w="4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4"/>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113,563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114,644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51,193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57,021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expense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Land development cost of sales</w:t>
            </w:r>
          </w:p>
        </w:tc>
        <w:tc>
          <w:tcPr>
            <w:tcW w:w="2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15,910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11,575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4,335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37 %</w:t>
            </w:r>
          </w:p>
        </w:tc>
      </w:tr>
      <w:tr>
        <w:trPr>
          <w:trHeight w:val="27"/>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25,173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23,102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2,071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(Recovery of) provision for loan losses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(6,434)</w:t>
            </w:r>
          </w:p>
        </w:tc>
        <w:tc>
          <w:tcPr>
            <w:tcW w:w="16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&gt;(100%)</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Impairment of assets</w:t>
            </w:r>
          </w:p>
        </w:tc>
        <w:tc>
          <w:tcPr>
            <w:tcW w:w="2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4,413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4,413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1,129</w:t>
            </w:r>
          </w:p>
        </w:tc>
        <w:tc>
          <w:tcPr>
            <w:tcW w:w="16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&gt;100%</w:t>
            </w:r>
          </w:p>
        </w:tc>
      </w:tr>
      <w:tr>
        <w:trPr>
          <w:trHeight w:val="237"/>
        </w:trPr>
        <w:tc>
          <w:tcPr>
            <w:tcW w:w="476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142,438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142,957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 net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Earnings from equity method investments</w:t>
            </w:r>
          </w:p>
        </w:tc>
        <w:tc>
          <w:tcPr>
            <w:tcW w:w="2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5,702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8,267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6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&gt;100%</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Income from sales of real estate</w:t>
            </w:r>
          </w:p>
        </w:tc>
        <w:tc>
          <w:tcPr>
            <w:tcW w:w="2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8,618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10,458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0"/>
        </w:trPr>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primarily includes income from net lease assets and commercial operating properties, decreased to $52.6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March 31, 2017 from $54.9 million for the same period in 2016.</w:t>
      </w:r>
    </w:p>
    <w:p>
      <w:pPr>
        <w:spacing w:after="0" w:line="17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Operating lease income from net lease assets increased to $36.5 million during the three months ended March 31, 2017 from $35.8 million for the same period in 2016. The increase was primarily due to the execution of new leases, partially offset by the sale of net lease assets since April 1, 2016. Operating lease income from same store net lease assets, defined as net lease assets we owned on or prior to January 1, 2016 and were in service through March 31, 2017, increased to $35.4 million during the three months ended March 31, 2017 from $34.3 million for the same period in 2016, an increase of 3.2%. This increase was primarily due to an increase in rent per occupied square foot to $10.48 for the three months ended March 31, 2017 from $10.07 for the same period in 2016, partially offset by a decrease in the occupancy rate, which was 98.2% as of March 31, 2017 and 99.0% as of March 31, 2016.</w:t>
      </w:r>
    </w:p>
    <w:p>
      <w:pPr>
        <w:spacing w:after="0" w:line="16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Operating lease income from operating properties decreased to $16.0 million during the three months ended March 31, 2017 from $19.1 million for the same period in 2016. The decrease was primarily due to commercial operating property sales since April 1, 2016, partially offset by the execution of new leases. Operating lease income from same store commercial operating properties, defined as commercial operating properties, excluding hotels and marinas, which we owned on or prior to January 1, 2016 and were in service through March 31, 2017, remained flat at $11.8 million during the three months ended March 31, 2017 as compared to the same period in 2016. Rent per occupied square foot for same store commercial operating properties was $25.14 for the three months ended March 31, 2017 and $25.19 for the same period in 2016. Occupancy rates for same store commercial operating properties were 73.9% as of March 31, 2017 and 74.1% as of March 31, 2016. Ancillary operating lease income for land and development assets was $0.1 million during the three months ended March 31, 2017 and 2016.</w:t>
      </w:r>
    </w:p>
    <w:p>
      <w:pPr>
        <w:spacing w:after="0" w:line="17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Interest income decreased to $29.1 million during the three months ended March 31, 2017 from $33.2 million for the same period in 2016. The decrease was due primarily to a decrease in the average balance of our performing loans, which decreased to $1.28 billion in 2017 from $1.57 billion in 2016. The weighted average yield on our performing loans increased to 9.2% for the three months ended March 31, 2017 from 8.5% for the same period in 2016.</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Other income increased to $11.9 million during the three months ended March 31, 2017 from $11.5 million for the same period in 2016. Other income during the three months ended March 31, 2017 primarily consisted of income from our hotel properties and other ancillary income from our operating properties. Other income during the three months ended March 31, 2016 consisted of income from our hotel properties, loan prepayment fees and property tax refunds.</w:t>
      </w:r>
    </w:p>
    <w:p>
      <w:pPr>
        <w:spacing w:after="0" w:line="1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Land development revenue and cost of sales</w:t>
      </w:r>
      <w:r>
        <w:rPr>
          <w:rFonts w:ascii="Arial" w:cs="Arial" w:eastAsia="Arial" w:hAnsi="Arial"/>
          <w:sz w:val="18"/>
          <w:szCs w:val="18"/>
          <w:color w:val="auto"/>
        </w:rPr>
        <w:t>—During the three months ended March 31, 2017, we sold residential lots and units and recognized land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revenue of $20.1 million which had associated cost of sales of $15.9 million. During the three months ended March 31, 2016, we sold residential lots and units and recognized land development revenue of $14.9 million which had associated cost of sales of $11.6 million. The increase in 2017 from 2016 was primarily due to the progression of our land and development business.</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Costs and expenses</w:t>
      </w:r>
      <w:r>
        <w:rPr>
          <w:rFonts w:ascii="Arial" w:cs="Arial" w:eastAsia="Arial" w:hAnsi="Arial"/>
          <w:sz w:val="18"/>
          <w:szCs w:val="18"/>
          <w:color w:val="auto"/>
        </w:rPr>
        <w:t>—Interest expense decreased to $51.2 million during the three months ended March 31, 2017 from $57.0 million for the same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2016 due to a decrease in the balance of our average outstanding debt, which decreased to $3.63 billion for the three months ended March 31, 2017 from $4.21 billion for the same period in 2016. Our weighted average cost of debt for the three months ended March 31, 2017 and 2016 was 5.9% and 5.5%, respectively.</w:t>
      </w:r>
    </w:p>
    <w:p>
      <w:pPr>
        <w:spacing w:after="0" w:line="14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Real estate expenses increased to $35.7 million during the three months ended March 31, 2017 from $34.3 million for the same period in 2016. The increase was due to an increase in carry costs and other expenses on our land assets, which increased to $9.5 million during the three months ended March 31, 2017 from $8.7 million for the same period in 2016, primarily due to an increase in marketing costs on certain of our land assets. In addition, expenses for commercial operating properties increased to $19.7 million during the three months ended March 31, 2017 from $18.6 million for the same period in 2016. This increase was primarily due to an increase in expenses at certain of our hotel properties, partially offset by by property sales since April 1, 2016. Expenses from same store commercial operating properties, excluding hotels and marinas, decreased slightly to $7.3 million from $7.4 million for the same period in 2016. Expenses associated with residential operating properties decreased to $1.8 million during the three months ended March 31, 2017 from $2.6 million for the same period in 2016 due to the sale of residential units since March 31, 2016. Expenses for net lease assets increased to $4.7 million during the three months ended March 31, 2017 from $4.5 million for the same period in 2016. Expenses from same store net lease assets was $4.5 million and $3.8 million, respectively, for the three months ended March 31, 2017 and 2016.</w:t>
      </w:r>
    </w:p>
    <w:p>
      <w:pPr>
        <w:spacing w:after="0" w:line="1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and amortization decreased to $13.1 million during the three months ended March 31, 2017 from $14.7 million for the same period in 2016, primarily due to the sale of net lease and commercial operating properties in since April 1, 2016.</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General and administrative expenses increased to $25.2 million during the three months ended March 31, 2017 from $23.1 million for the same period in 2016, primarily due to a an increase in compensation expense related to performance incentive plans.</w:t>
      </w:r>
    </w:p>
    <w:p>
      <w:pPr>
        <w:spacing w:after="0" w:line="13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net recovery of loan losses was $4.9 million during the three months ended March 31, 2017 as compared to a net provision for loan losses of $1.5 million for the same period in 2016. The recovery of loan losses included a $4.9 million reduction in the general reserve due to an overall improvement in the risk ratings of our loan portfolio. Included in the net provision for the three months ended March 31, 2016 were provisions for specific reserves of $0.9 million due to one non-performing loan and $0.6 million in the general reserve due primarily to new investment originations.</w:t>
      </w:r>
    </w:p>
    <w:p>
      <w:pPr>
        <w:spacing w:after="0" w:line="13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Impairment of assets was $4.4 million during the three months ended March 31, 2017 and resulted from shifting demand in the local condominium market along with a change in our exit strategy on a real estate asset held for sale.</w:t>
      </w:r>
    </w:p>
    <w:p>
      <w:pPr>
        <w:spacing w:after="0" w:line="13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Other expense increased to $1.9 million during the three months ended March 31, 2017 from $0.7 million for the same period in 2016. The increase was primarily the result of costs associated with the repricing our 2016 Senior Secured Credit Facility recorded during the three months ended March 31, 2017.</w:t>
      </w:r>
    </w:p>
    <w:p>
      <w:pPr>
        <w:spacing w:after="0" w:line="8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b w:val="1"/>
          <w:bCs w:val="1"/>
          <w:i w:val="1"/>
          <w:iCs w:val="1"/>
          <w:color w:val="auto"/>
        </w:rPr>
        <w:t>Loss on early extinguishment of debt, net—</w:t>
      </w:r>
      <w:r>
        <w:rPr>
          <w:rFonts w:ascii="Arial" w:cs="Arial" w:eastAsia="Arial" w:hAnsi="Arial"/>
          <w:sz w:val="17"/>
          <w:szCs w:val="17"/>
          <w:color w:val="auto"/>
        </w:rPr>
        <w:t>During the three months ended March 31, 2017, we incurred losses on early extinguishment of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resulting from the repricing of our 2016 Senior Secured Credit Facility. During the three months ended March 31, 2016, we incurred losses on the early extinguishment of debt related to accelerated amortization of discounts and fees in connection with amortization payments on our credit facilities.</w:t>
      </w:r>
    </w:p>
    <w:p>
      <w:pPr>
        <w:spacing w:after="0" w:line="1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Earnings from equity method investments</w:t>
      </w:r>
      <w:r>
        <w:rPr>
          <w:rFonts w:ascii="Arial" w:cs="Arial" w:eastAsia="Arial" w:hAnsi="Arial"/>
          <w:sz w:val="18"/>
          <w:szCs w:val="18"/>
          <w:color w:val="auto"/>
        </w:rPr>
        <w:t>—Earnings from equity method investments decreased to $5.7 million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2017 from $8.3 million for the same period in 2016. During the three months ended March 31, 2017, we recognized $3.1 million related to sales activity on a land development venture, $1.0 million related to operations at our Net Lease Venture and $1.6 million was aggregate income from our remaining equity method investments. During the three months ended March 31, 2016, we recognized $8.2 million related to sales activity on a land development venture, $0.9 million related to leasing operations at our Net Lease Venture and aggregate losses of $0.8 million from our remaining equity method investments.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b w:val="1"/>
          <w:bCs w:val="1"/>
          <w:i w:val="1"/>
          <w:iCs w:val="1"/>
          <w:color w:val="auto"/>
        </w:rPr>
        <w:t>Income tax (expense) benefit</w:t>
      </w:r>
      <w:r>
        <w:rPr>
          <w:rFonts w:ascii="Arial" w:cs="Arial" w:eastAsia="Arial" w:hAnsi="Arial"/>
          <w:sz w:val="17"/>
          <w:szCs w:val="17"/>
          <w:color w:val="auto"/>
        </w:rPr>
        <w:t>—Income taxes are primarily generated by assets held by our taxable REIT subsidiaries ("TRSs"). An income tax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$0.6 million was recorded during the three months ended March 31, 2017 as compared to an income tax benefit of $0.4 million for the same period in 2016. The income tax expense for the three months ended March 31, 2017 primarily related to state margins taxes and other minimum state franchise taxes. The income tax benefit for the three months ended March 31, 2016 primarily related to taxable losses generated by sales of certain TRS properties. In each period, different TRS properties were sold, each with a unique tax basis and sales value.</w:t>
      </w:r>
    </w:p>
    <w:p>
      <w:pPr>
        <w:spacing w:after="0" w:line="17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b w:val="1"/>
          <w:bCs w:val="1"/>
          <w:i w:val="1"/>
          <w:iCs w:val="1"/>
          <w:color w:val="auto"/>
        </w:rPr>
        <w:t>Income from sales of real estate</w:t>
      </w:r>
      <w:r>
        <w:rPr>
          <w:rFonts w:ascii="Arial" w:cs="Arial" w:eastAsia="Arial" w:hAnsi="Arial"/>
          <w:sz w:val="16"/>
          <w:szCs w:val="16"/>
          <w:color w:val="auto"/>
        </w:rPr>
        <w:t>—During the three months ended March 31, 2017, we sold properties and recognized $8.6 million in income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of real estate. During the three months ended March 31, 2017,we sold net lease assets that resulted in gains of $6.7 million and we sold residential condominiums that resulted in gains of $1.9 million. During the three months ended March 31, 2016, we sold properties and recognized $10.5 million in income from sales of real estate. During the three months ended March 31, 2016, we sold residential condominiums that resulted in income of $4.9 million, we sold net lease assets resulting in income of $4.9 million and we sold a commercial operating property resulting in income of $0.7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w:t>
      </w:r>
    </w:p>
    <w:p>
      <w:pPr>
        <w:spacing w:after="0" w:line="2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addition to net income (loss) prepared in conformity with generally accepted accounting principles in the United States of America ("GAAP"), we use adjusted income, a non-GAAP financial measure, to measure our operating performance. Adjusted income is used internally as a supplemental performance measure adjusting for certain non-cash GAAP measures to give management a view of income more directly derived from current period activity. Until the second quarter 2016, adjusted income was calculated as net income (loss) allocable to common shareholders, prior to the effect of depreciation and amortization, provision for (recovery of) loan losses, impairment of assets, stock-based compensation expense, and the non-cash portion of gain (loss) on early extinguishment of debt. Effective in the second quarter 2016, we modified our presentation of adjusted income to reflect the effect of gains or losses on charge-offs and dispositions on carrying value gross of loan loss reserves and impairments ("Adjusted Income").</w:t>
      </w:r>
    </w:p>
    <w:p>
      <w:pPr>
        <w:spacing w:after="0" w:line="17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Adjusted Income should be examined in conjunction with net income (loss) as shown in our consolidated statements of operations. Adjusted Income should not be considered as an alternative to net income (loss) (determined in accordance with GAAP), or to cash flows from operating activities (determined in accordance with GAAP), as a measure of our liquidity, nor is Adjusted Income indicative of funds available to fund our cash needs or available for distribution to shareholders. Rather, Adjusted Income is an additional measure we use to analyze our business performance because it excludes the effects of certain non-cash charges that we believe are not necessarily indicative of our operating performance while including the effect of gains or losses on investments when realized. It should be noted that our manner of calculating Adjusted Income may differ from the calculations of similarly-titled measures by other companies.</w:t>
      </w:r>
    </w:p>
    <w:p>
      <w:pPr>
        <w:spacing w:after="0" w:line="136" w:lineRule="exact"/>
        <w:rPr>
          <w:sz w:val="20"/>
          <w:szCs w:val="20"/>
          <w:color w:val="auto"/>
        </w:rPr>
      </w:pPr>
    </w:p>
    <w:p>
      <w:pPr>
        <w:jc w:val="center"/>
        <w:ind w:left="5340"/>
        <w:spacing w:after="0"/>
        <w:rPr>
          <w:sz w:val="20"/>
          <w:szCs w:val="20"/>
          <w:color w:val="auto"/>
        </w:rPr>
      </w:pPr>
      <w:r>
        <w:rPr>
          <w:rFonts w:ascii="Arial" w:cs="Arial" w:eastAsia="Arial" w:hAnsi="Arial"/>
          <w:sz w:val="16"/>
          <w:szCs w:val="16"/>
          <w:b w:val="1"/>
          <w:bCs w:val="1"/>
          <w:color w:val="auto"/>
        </w:rPr>
        <w:t>For the Three Months Ended March</w:t>
      </w:r>
    </w:p>
    <w:p>
      <w:pPr>
        <w:spacing w:after="0" w:line="26" w:lineRule="exact"/>
        <w:rPr>
          <w:sz w:val="20"/>
          <w:szCs w:val="20"/>
          <w:color w:val="auto"/>
        </w:rPr>
      </w:pPr>
    </w:p>
    <w:p>
      <w:pPr>
        <w:jc w:val="center"/>
        <w:ind w:left="534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33020</wp:posOffset>
            </wp:positionV>
            <wp:extent cx="16808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391"/>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33"/>
        </w:trPr>
        <w:tc>
          <w:tcPr>
            <w:tcW w:w="7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200"/>
              <w:spacing w:after="0"/>
              <w:rPr>
                <w:sz w:val="20"/>
                <w:szCs w:val="20"/>
                <w:color w:val="auto"/>
              </w:rPr>
            </w:pPr>
            <w:r>
              <w:rPr>
                <w:rFonts w:ascii="Arial" w:cs="Arial" w:eastAsia="Arial" w:hAnsi="Arial"/>
                <w:sz w:val="18"/>
                <w:szCs w:val="18"/>
                <w:color w:val="auto"/>
              </w:rPr>
              <w:t>Net income (loss) allocable to 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(27,102)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(21,187)</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Add: Depreciation and amortization</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15,052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17,172</w:t>
            </w:r>
          </w:p>
        </w:tc>
        <w:tc>
          <w:tcPr>
            <w:tcW w:w="0" w:type="dxa"/>
            <w:vAlign w:val="bottom"/>
          </w:tcPr>
          <w:p>
            <w:pPr>
              <w:spacing w:after="0"/>
              <w:rPr>
                <w:sz w:val="1"/>
                <w:szCs w:val="1"/>
                <w:color w:val="auto"/>
              </w:rPr>
            </w:pPr>
          </w:p>
        </w:tc>
      </w:tr>
      <w:tr>
        <w:trPr>
          <w:trHeight w:val="243"/>
        </w:trPr>
        <w:tc>
          <w:tcPr>
            <w:tcW w:w="7040" w:type="dxa"/>
            <w:vAlign w:val="bottom"/>
          </w:tcPr>
          <w:p>
            <w:pPr>
              <w:ind w:left="200"/>
              <w:spacing w:after="0"/>
              <w:rPr>
                <w:sz w:val="20"/>
                <w:szCs w:val="20"/>
                <w:color w:val="auto"/>
              </w:rPr>
            </w:pPr>
            <w:r>
              <w:rPr>
                <w:rFonts w:ascii="Arial" w:cs="Arial" w:eastAsia="Arial" w:hAnsi="Arial"/>
                <w:sz w:val="18"/>
                <w:szCs w:val="18"/>
                <w:color w:val="auto"/>
              </w:rPr>
              <w:t>Add: (Recovery of) provision for loan losses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Add: Impairment of assets</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4,413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43"/>
        </w:trPr>
        <w:tc>
          <w:tcPr>
            <w:tcW w:w="7040" w:type="dxa"/>
            <w:vAlign w:val="bottom"/>
          </w:tcPr>
          <w:p>
            <w:pPr>
              <w:ind w:left="200"/>
              <w:spacing w:after="0"/>
              <w:rPr>
                <w:sz w:val="20"/>
                <w:szCs w:val="20"/>
                <w:color w:val="auto"/>
              </w:rPr>
            </w:pPr>
            <w:r>
              <w:rPr>
                <w:rFonts w:ascii="Arial" w:cs="Arial" w:eastAsia="Arial" w:hAnsi="Arial"/>
                <w:sz w:val="18"/>
                <w:szCs w:val="18"/>
                <w:color w:val="auto"/>
              </w:rPr>
              <w:t>Add: Stock-based compensation expense</w:t>
            </w: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5,881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Loss on early extinguishment of debt,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0"/>
        </w:trPr>
        <w:tc>
          <w:tcPr>
            <w:tcW w:w="704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Less: Losses on charge-offs and dispositions</w:t>
            </w:r>
            <w:r>
              <w:rPr>
                <w:rFonts w:ascii="Arial" w:cs="Arial" w:eastAsia="Arial" w:hAnsi="Arial"/>
                <w:sz w:val="25"/>
                <w:szCs w:val="25"/>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64"/>
        </w:trPr>
        <w:tc>
          <w:tcPr>
            <w:tcW w:w="704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Adjusted income (loss) allocable to common shareholders</w:t>
            </w:r>
            <w:r>
              <w:rPr>
                <w:rFonts w:ascii="Arial" w:cs="Arial" w:eastAsia="Arial" w:hAnsi="Arial"/>
                <w:sz w:val="25"/>
                <w:szCs w:val="25"/>
                <w:color w:val="auto"/>
                <w:vertAlign w:val="superscript"/>
              </w:rPr>
              <w:t>(4)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0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500" w:hanging="492"/>
        <w:spacing w:after="0" w:line="241"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Depreciation and amortization also includes our proportionate share of depreciation and amortization expense for equity method investments and excludes the portion of depreciation and amortization expense allocable to noncontrolling interests.</w:t>
      </w:r>
    </w:p>
    <w:p>
      <w:pPr>
        <w:ind w:left="500" w:hanging="492"/>
        <w:spacing w:after="0" w:line="241"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the three months ended March 31, 2016, impairment of assets includes impairments on cost and equity method investments recorded in "Other income" and "Earnings from equity method investments," respectively, in our consolidated statements of operations.</w:t>
      </w:r>
    </w:p>
    <w:p>
      <w:pPr>
        <w:ind w:left="500" w:hanging="492"/>
        <w:spacing w:after="0" w:line="241"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impact of charge-offs and dispositions realized during the period. These charge-offs and dispositions were on assets that were previously impaired for GAAP and reflected in net income but not Adjusted Income.</w:t>
      </w:r>
    </w:p>
    <w:p>
      <w:pPr>
        <w:ind w:left="500" w:hanging="492"/>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the three months ended March 31, 2016, Adjusted Income under the previous presentation was $3.1 million.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of March 31, 2017, we had unrestricted cash of $897.5 million. During the three months ended March 31, 2017, we invested $111.3 million associated with new investments, prior financing commitments as well as ongoing development during the quarter. Total investments included $73.1 million in lending and other investments, $29.4 million to develop our land and development assets and $8.8 million of capital to reposition or redevelop our operating properties and invest in net lease assets. Also during the three months ended March 31, 2017, we generated $246.3 million of proceeds from loan repayments and asset sales within our portfolio, comprised of $171.1 million from real estate finance, $11.7 million from operating properties, $20.8 million from net lease assets, $42.2 million from land and development assets and $0.5 million from other investments. These amounts are inclusive of fundings and proceeds from both consolidated investments and our pro rata share from equity method investments.</w:t>
      </w:r>
    </w:p>
    <w:p>
      <w:pPr>
        <w:spacing w:after="0" w:line="1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outlines our capital expenditures on real estate and land and development assets as reflected in our consolidated statements of cash flows, by segment ($ in thousands):</w:t>
      </w:r>
    </w:p>
    <w:p>
      <w:pPr>
        <w:spacing w:after="0" w:line="284"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580" w:type="dxa"/>
            <w:vAlign w:val="bottom"/>
            <w:tcBorders>
              <w:bottom w:val="single" w:sz="8" w:color="auto"/>
            </w:tcBorders>
          </w:tcPr>
          <w:p>
            <w:pPr>
              <w:spacing w:after="0"/>
              <w:rPr>
                <w:sz w:val="16"/>
                <w:szCs w:val="16"/>
                <w:color w:val="auto"/>
              </w:rPr>
            </w:pPr>
          </w:p>
        </w:tc>
      </w:tr>
      <w:tr>
        <w:trPr>
          <w:trHeight w:val="264"/>
        </w:trPr>
        <w:tc>
          <w:tcPr>
            <w:tcW w:w="56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Properties</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16,757</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Net Lease</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978</w:t>
            </w:r>
          </w:p>
        </w:tc>
      </w:tr>
      <w:tr>
        <w:trPr>
          <w:trHeight w:val="27"/>
        </w:trPr>
        <w:tc>
          <w:tcPr>
            <w:tcW w:w="5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capital expenditures on real estate assets</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7,781</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9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17,735</w:t>
            </w:r>
          </w:p>
        </w:tc>
      </w:tr>
      <w:tr>
        <w:trPr>
          <w:trHeight w:val="20"/>
        </w:trPr>
        <w:tc>
          <w:tcPr>
            <w:tcW w:w="5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311"/>
        </w:trPr>
        <w:tc>
          <w:tcPr>
            <w:tcW w:w="5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Development</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27,604</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29,375</w:t>
            </w:r>
          </w:p>
        </w:tc>
      </w:tr>
      <w:tr>
        <w:trPr>
          <w:trHeight w:val="257"/>
        </w:trPr>
        <w:tc>
          <w:tcPr>
            <w:tcW w:w="5600" w:type="dxa"/>
            <w:vAlign w:val="bottom"/>
          </w:tcPr>
          <w:p>
            <w:pPr>
              <w:ind w:left="160"/>
              <w:spacing w:after="0"/>
              <w:rPr>
                <w:sz w:val="20"/>
                <w:szCs w:val="20"/>
                <w:color w:val="auto"/>
              </w:rPr>
            </w:pPr>
            <w:r>
              <w:rPr>
                <w:rFonts w:ascii="Arial" w:cs="Arial" w:eastAsia="Arial" w:hAnsi="Arial"/>
                <w:sz w:val="18"/>
                <w:szCs w:val="18"/>
                <w:color w:val="auto"/>
              </w:rPr>
              <w:t>Total capital expenditures on land and development assets</w:t>
            </w: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27,604</w:t>
            </w: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94"/>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29,375</w:t>
            </w:r>
          </w:p>
        </w:tc>
      </w:tr>
      <w:tr>
        <w:trPr>
          <w:trHeight w:val="20"/>
        </w:trPr>
        <w:tc>
          <w:tcPr>
            <w:tcW w:w="5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primary cash uses over the next 12 months are expected to be repayments of debt, funding of investments, capital expenditures and funding ongoing business operations. Over the next 12 months, we currently expect to fund in the range of approximately $175 million to $225 million of capital expenditures within our portfolio. The majority of these amounts relate to our land and development and operating properties business segments and include multifamily and residential development activities which are expected to include approximately $80 million in vertical construction. The amount spent will depend on the pace of our development activities as well as the extent to which we strategically partner with others to complete these projects. As of March 31, 2017, we also had approximately $385 million of maximum unfunded commitments associated with our investments of which we expect to fund the majority of over the next two years, assuming borrowers and tenants meet all milestones and performance hurdles and all other conditions to fundings are met (see "Unfunded Commitments" below). Our capital sources to meet cash uses through the next 12 months and beyond will primarily be expected to include capital raised through debt and/or equity capital raising transactions, cash on hand, income from our portfolio, loan repayments from borrowers, proceeds from asset sales and sales of interests in business lines.</w:t>
      </w:r>
    </w:p>
    <w:p>
      <w:pPr>
        <w:spacing w:after="0" w:line="13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cannot predict with certainty the specific transactions we will undertake to generate sufficient liquidity to meet our obligations as they come due. We will adjust our plans as appropriate in response to changes in our expectations and changes in market conditions. While economic trends have stabilized, it is not possible for us to predict whether these trends will continue or to quantify the impact of these or other trends on our financial results.</w:t>
      </w:r>
    </w:p>
    <w:p>
      <w:pPr>
        <w:spacing w:after="0" w:line="1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March 31, 2017, we repaid in full the $99.7 million principal amount of 5.85% senior unsecured notes due March 2017 and, subsequent to March 31, 2017, we repaid the $275.0 million principal amount of 9.00% senior unsecured notes due June 2017. We have other unsecured debt maturities of $1,125.0 million due before March 31, 2018.</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color w:val="auto"/>
        </w:rPr>
        <w:t>—The following table outlines the contractual obligations related to our long-term debt obligations, loan participations payable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operating lease obligations as of March 31, 2017 (refer to Note 10 to the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Amounts Due By Period</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Less Than 1</w:t>
            </w:r>
          </w:p>
        </w:tc>
        <w:tc>
          <w:tcPr>
            <w:tcW w:w="220" w:type="dxa"/>
            <w:vAlign w:val="bottom"/>
          </w:tcPr>
          <w:p>
            <w:pPr>
              <w:spacing w:after="0"/>
              <w:rPr>
                <w:sz w:val="13"/>
                <w:szCs w:val="13"/>
                <w:color w:val="auto"/>
              </w:rPr>
            </w:pPr>
          </w:p>
        </w:tc>
        <w:tc>
          <w:tcPr>
            <w:tcW w:w="920" w:type="dxa"/>
            <w:vAlign w:val="bottom"/>
          </w:tcPr>
          <w:p>
            <w:pPr>
              <w:jc w:val="right"/>
              <w:ind w:right="356"/>
              <w:spacing w:after="0" w:line="153" w:lineRule="exact"/>
              <w:rPr>
                <w:sz w:val="20"/>
                <w:szCs w:val="20"/>
                <w:color w:val="auto"/>
              </w:rPr>
            </w:pPr>
            <w:r>
              <w:rPr>
                <w:rFonts w:ascii="Arial" w:cs="Arial" w:eastAsia="Arial" w:hAnsi="Arial"/>
                <w:sz w:val="14"/>
                <w:szCs w:val="14"/>
                <w:b w:val="1"/>
                <w:bCs w:val="1"/>
                <w:color w:val="auto"/>
              </w:rPr>
              <w:t>1 - 3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ind w:right="473"/>
              <w:spacing w:after="0" w:line="153" w:lineRule="exact"/>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5 - 10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After 10</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Obligations</w:t>
            </w: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Unsecured notes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2,845,000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1,125,000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w w:val="99"/>
              </w:rPr>
              <w:t>1,070,000</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credit facilities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727,000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227,000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Mortgages</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247,535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19,017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41,367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117,219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58,613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11,319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Trust preferred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8"/>
                <w:szCs w:val="18"/>
                <w:color w:val="auto"/>
              </w:rPr>
              <w:t>Total principal maturities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3,919,535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1,149,017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1,121,367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877,219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433,613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338,319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Interest Payable</w:t>
            </w:r>
            <w:r>
              <w:rPr>
                <w:rFonts w:ascii="Arial" w:cs="Arial" w:eastAsia="Arial" w:hAnsi="Arial"/>
                <w:sz w:val="25"/>
                <w:szCs w:val="25"/>
                <w:b w:val="1"/>
                <w:bCs w:val="1"/>
                <w:color w:val="auto"/>
                <w:vertAlign w:val="superscript"/>
              </w:rPr>
              <w:t>(1)</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645,581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194,616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238,074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126,253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61,893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24,745</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Loan Participations Payable</w:t>
            </w:r>
            <w:r>
              <w:rPr>
                <w:rFonts w:ascii="Arial" w:cs="Arial" w:eastAsia="Arial" w:hAnsi="Arial"/>
                <w:sz w:val="25"/>
                <w:szCs w:val="25"/>
                <w:b w:val="1"/>
                <w:bCs w:val="1"/>
                <w:color w:val="auto"/>
                <w:vertAlign w:val="superscript"/>
              </w:rPr>
              <w:t>(2)</w:t>
            </w:r>
          </w:p>
        </w:tc>
        <w:tc>
          <w:tcPr>
            <w:tcW w:w="3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160,251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157,424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19,912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7,793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4,745,279</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1,347,606</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1,524,658</w:t>
            </w:r>
          </w:p>
        </w:tc>
        <w:tc>
          <w:tcPr>
            <w:tcW w:w="120" w:type="dxa"/>
            <w:vAlign w:val="bottom"/>
          </w:tcPr>
          <w:p>
            <w:pPr>
              <w:spacing w:after="0"/>
              <w:rPr>
                <w:sz w:val="21"/>
                <w:szCs w:val="21"/>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9"/>
              </w:rPr>
              <w:t>1,010,802</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499,149</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363,064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8890</wp:posOffset>
            </wp:positionV>
            <wp:extent cx="49999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-98425</wp:posOffset>
            </wp:positionV>
            <wp:extent cx="49999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ind w:left="500" w:hanging="49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Variable-rate debt assumes 1-month LIBOR of 0.98% and 3-month LIBOR of 1.15% that were in effect as of March 31, 2017.</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Refer to Note 9 to the consolidated financial statements.</w:t>
      </w:r>
    </w:p>
    <w:p>
      <w:pPr>
        <w:spacing w:after="0" w:line="152"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2017 Secured Financing</w:t>
      </w:r>
      <w:r>
        <w:rPr>
          <w:rFonts w:ascii="Arial" w:cs="Arial" w:eastAsia="Arial" w:hAnsi="Arial"/>
          <w:sz w:val="18"/>
          <w:szCs w:val="18"/>
          <w:color w:val="auto"/>
        </w:rPr>
        <w:t>—In March 2017, we entered into a $227.0 million secured financing transaction (the "2017 Secured Financing") that bears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at 3.795% and matures in April 2027. Subsequent to March 31, 2017, the 2017 Secured Financing was assumed by an entity in which we have a 49% noncontrolling interest.The 2017 Secured Financing is collateralized by 12 properties including seven ground net leases and one master lease covering the accounts of five related properties.</w:t>
      </w:r>
    </w:p>
    <w:p>
      <w:pPr>
        <w:spacing w:after="0" w:line="14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2016 Secured Term Loan</w:t>
      </w:r>
      <w:r>
        <w:rPr>
          <w:rFonts w:ascii="Arial" w:cs="Arial" w:eastAsia="Arial" w:hAnsi="Arial"/>
          <w:sz w:val="18"/>
          <w:szCs w:val="18"/>
          <w:color w:val="auto"/>
        </w:rPr>
        <w:t>—In December 2016, we arranged a $170.0 million delayed draw secured term loan (the "2016 Secured Term Loan").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 months ended March 31, 2017, we allowed the 2016 Secured Term Loan to expire and replaced the 2016 Secured Term Loan with the 2017 Secured Financing. The 2016 Secured Term Loan was collateralized by the 12 properties that now serve as collateral for the 2017 Secured Financing which were sold subsequent to March 31, 2017.</w:t>
      </w:r>
    </w:p>
    <w:p>
      <w:pPr>
        <w:spacing w:after="0" w:line="14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b w:val="1"/>
          <w:bCs w:val="1"/>
          <w:color w:val="auto"/>
        </w:rPr>
        <w:t>2016 Senior Secured Credit Facility</w:t>
      </w:r>
      <w:r>
        <w:rPr>
          <w:rFonts w:ascii="Arial" w:cs="Arial" w:eastAsia="Arial" w:hAnsi="Arial"/>
          <w:sz w:val="16"/>
          <w:szCs w:val="16"/>
          <w:color w:val="auto"/>
        </w:rPr>
        <w:t>—In June 2016, we entered into a senior secured credit facility of $450.0 million (the "2016 Senior Secured Credit</w:t>
      </w:r>
      <w:r>
        <w:rPr>
          <w:rFonts w:ascii="Arial" w:cs="Arial" w:eastAsia="Arial" w:hAnsi="Arial"/>
          <w:sz w:val="16"/>
          <w:szCs w:val="16"/>
          <w:b w:val="1"/>
          <w:bCs w:val="1"/>
          <w:color w:val="auto"/>
        </w:rPr>
        <w:t xml:space="preserve"> </w:t>
      </w:r>
      <w:r>
        <w:rPr>
          <w:rFonts w:ascii="Arial" w:cs="Arial" w:eastAsia="Arial" w:hAnsi="Arial"/>
          <w:sz w:val="16"/>
          <w:szCs w:val="16"/>
          <w:color w:val="auto"/>
        </w:rPr>
        <w:t>Facility"). In August 2016, we upsized the facility to $500.0 million. The initial $450.0 million of the 2016 Senior Secured Credit Facility was issued at 99% of par and the upsize was issued at par. The 2016 Senior Secured Credit Facility initially accrued interest at a floating rate of LIBOR plus 4.50% with a 1.00% LIBOR floor. In January 2017, we repriced the 2016 Senior Secured Credit Facility to LIBOR plus 3.75% with a 1.00% LIBOR floor. The 2016 Senior Secured Credit Facility is collateralized 1.25x by a first lien on a fixed pool of assets. Proceeds from principal repayments and sales of collateral are applied to amortize the 2016 Senior Secured Credit Facility. Proceeds received for interest, rent, lease payments and fee income are retained by us. We may also make optional prepayments, subject to prepayment fees, and are required to repay 0.25% of the principal amount on the first business day of each quarter beginning on October 3, 2016. Proceeds from the 2016 Senior Secured Credit Facility, together with cash on hand, were primarily used to repay other secured debt.</w:t>
      </w:r>
    </w:p>
    <w:p>
      <w:pPr>
        <w:spacing w:after="0" w:line="12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color w:val="auto"/>
        </w:rPr>
        <w:t>2015 Secured Revolving Credit Facility</w:t>
      </w:r>
      <w:r>
        <w:rPr>
          <w:rFonts w:ascii="Arial" w:cs="Arial" w:eastAsia="Arial" w:hAnsi="Arial"/>
          <w:sz w:val="17"/>
          <w:szCs w:val="17"/>
          <w:color w:val="auto"/>
        </w:rPr>
        <w:t>—In March 2015, we entered into a secured revolving credit facility with a maximum capacity of $250.0</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(the "2015 Secured Revolving Credit Facility"). Borrowings under this credit facility bear interest at a floating rate indexed to one of several base rates plus a margin which adjusts upward or downward based upon our corporate credit rating. An undrawn credit facility commitment fee ranges from 0.375% to 0.50%, based on average utilization each quarter. During the three months ended March 31, 2017, the weighted average cost of the credit facility was 3.46%. Commitments under the revolving facility mature in March 2018. At maturity, we may convert outstanding borrowings to a one-year term loan which matures in quarterly installments through March 2019. As of March 31, 2017, based on our borrowing base of assets, we had $236.0 million of borrowing capacity available under the 2015 Secured Revolving Credit Facility.</w:t>
      </w:r>
    </w:p>
    <w:p>
      <w:pPr>
        <w:spacing w:after="0" w:line="13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b w:val="1"/>
          <w:bCs w:val="1"/>
          <w:color w:val="auto"/>
        </w:rPr>
        <w:t>Unsecured Notes</w:t>
      </w:r>
      <w:r>
        <w:rPr>
          <w:rFonts w:ascii="Arial" w:cs="Arial" w:eastAsia="Arial" w:hAnsi="Arial"/>
          <w:sz w:val="16"/>
          <w:szCs w:val="16"/>
          <w:color w:val="auto"/>
        </w:rPr>
        <w:t>—In March 2017, we issued $375.0 million principal amount of 6.00% senior unsecured notes due April 2022. Proceeds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 were primarily used to repay in full the $99.7 million principal amount of 5.85% senior unsecured notes due March 2017 and, subsequent to March 31, 2017, repay in full the $275.0 million principal amount of 9.00% senior unsecured notes due June 2017. In March 2016, we repaid our $261.4 million principal amount of 5.875% senior unsecured notes at maturity using available cash. In addition, we issued $275.0 million principal amount of 6.50% senior unsecured notes due July 2021. Proceeds from the offering were primarily used to repay $5.0 million of the 2015 Secured Revolving Credit Facility, pay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related financing costs, and subsequent to March 31, 2016, repay in full the $265.0 million principal amount of senior unsecured notes due July 2016.</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Encumbered/Unencumbered Assets</w:t>
      </w:r>
      <w:r>
        <w:rPr>
          <w:rFonts w:ascii="Arial" w:cs="Arial" w:eastAsia="Arial" w:hAnsi="Arial"/>
          <w:sz w:val="16"/>
          <w:szCs w:val="16"/>
          <w:color w:val="auto"/>
        </w:rPr>
        <w:t>—The carrying value of our encumbered and unencumbered assets by asset type are as follows ($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w w:val="79"/>
              </w:rPr>
              <w:t>As of</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1,005,826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470,765</w:t>
            </w:r>
          </w:p>
        </w:tc>
        <w:tc>
          <w:tcPr>
            <w:tcW w:w="54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881,212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610,540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71,934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83,764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 net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919,985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910,400</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Loans receivable and other lending investments, net</w:t>
            </w:r>
            <w:r>
              <w:rPr>
                <w:rFonts w:ascii="Arial" w:cs="Arial" w:eastAsia="Arial" w:hAnsi="Arial"/>
                <w:sz w:val="25"/>
                <w:szCs w:val="25"/>
                <w:color w:val="auto"/>
                <w:vertAlign w:val="superscript"/>
              </w:rPr>
              <w:t>(1)(2)</w:t>
            </w: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137,293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1,080,448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172,581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1,142,050</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214,406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and other assets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1,212,055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639,588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1,178,284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3,952,746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1,088,958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3,600,748</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-98425</wp:posOffset>
            </wp:positionV>
            <wp:extent cx="36874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500" w:hanging="49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 of March 31, 2017 and December 31, 2016, the amounts presented exclude general reserves for loan losses of $18.4 million and $23.3 million,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 of March 31, 2017 and December 31, 2016, the amounts presented exclude loan participations of $181.9 million and $159.1 million, respectively.</w:t>
      </w:r>
    </w:p>
    <w:p>
      <w:pPr>
        <w:spacing w:after="0" w:line="1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color w:val="auto"/>
        </w:rPr>
        <w:t>Debt Covenants</w:t>
      </w:r>
      <w:r>
        <w:rPr>
          <w:rFonts w:ascii="Arial" w:cs="Arial" w:eastAsia="Arial" w:hAnsi="Arial"/>
          <w:sz w:val="18"/>
          <w:szCs w:val="18"/>
          <w:color w:val="auto"/>
        </w:rPr>
        <w:t>—Our outstanding unsecured debt securities contain corporate level covenants that include a covenant to maintain a ratio of</w:t>
      </w:r>
      <w:r>
        <w:rPr>
          <w:rFonts w:ascii="Arial" w:cs="Arial" w:eastAsia="Arial" w:hAnsi="Arial"/>
          <w:sz w:val="18"/>
          <w:szCs w:val="18"/>
          <w:b w:val="1"/>
          <w:bCs w:val="1"/>
          <w:color w:val="auto"/>
        </w:rPr>
        <w:t xml:space="preserve"> </w:t>
      </w:r>
      <w:r>
        <w:rPr>
          <w:rFonts w:ascii="Arial" w:cs="Arial" w:eastAsia="Arial" w:hAnsi="Arial"/>
          <w:sz w:val="18"/>
          <w:szCs w:val="18"/>
          <w:color w:val="auto"/>
        </w:rPr>
        <w:t>unencumbered assets to unsecured indebtedness of at least 1.2x and a covenant not to incur additional indebtedness (except for incurrences of permitted debt), if on a pro forma basis, our consolidated fixed charge coverage ratio, determined in accordance with the indentures governing our debt securities, is 1.5x or lower. If any of our covenants are breached and not cured within applicable cure periods, the breach could result in acceleration of our debt securities unless a waiver or modification is agreed upon with the requisite percentage of the bondholders. If our ability to incur additional indebtedness under the fixed charge coverage ratio is limited, we are permitted to incur indebtedness for the purpose of refinancing existing indebtedness and for other permitted purposes under the indentures.</w:t>
      </w:r>
    </w:p>
    <w:p>
      <w:pPr>
        <w:spacing w:after="0" w:line="15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2016 Senior Secured Credit Facility and the 2015 Secured Revolving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2016 Senior Secured Credit Facility requires us to maintain collateral coverage of at least 1.25x outstanding borrowings on the facility. The 2015 Secured Revolving Credit Facility is secured by a borrowing base of assets and requires us to maintain both collateral coverage of at least 1.5x outstanding borrowings on the facility and a consolidated ratio of cash flow to fixed charges of at least 1.5x. The 2015 Secured Revolving Credit Facility does not require that proceeds from the borrowing base be used to pay down outstanding borrowings provided the collateral coverage remains at least 1.5x outstanding borrowings on the facility. To satisfy this covenant, we have the option to pay down outstanding borrowings or substitute assets in the borrowing base. In addition, for so long as we maintain our qualification as a REIT, the 2016 Senior Secured Credit Facility and the 2015 Secured Revolving Credit Facility permit us to distribute 100% of our REIT taxable income on an annual basis (prior to deducting certain cumulative NOL carryforwards).</w:t>
      </w:r>
    </w:p>
    <w:p>
      <w:pPr>
        <w:spacing w:after="0" w:line="191"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—Our use of derivative financial instruments is primarily limited to the utilization of interest rate swaps, interest rate caps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to manage interest rate risk exposure and foreign exchange contracts to manage our risk to changes in foreign currencies. Refer to Note 12 to the consolidated financial statements.</w:t>
      </w:r>
    </w:p>
    <w:p>
      <w:pPr>
        <w:spacing w:after="0" w:line="176"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6"/>
          <w:szCs w:val="16"/>
          <w:b w:val="1"/>
          <w:bCs w:val="1"/>
          <w:color w:val="auto"/>
        </w:rPr>
        <w:t>Off-Balance Sheet Arrangements</w:t>
      </w:r>
      <w:r>
        <w:rPr>
          <w:rFonts w:ascii="Arial" w:cs="Arial" w:eastAsia="Arial" w:hAnsi="Arial"/>
          <w:sz w:val="16"/>
          <w:szCs w:val="16"/>
          <w:color w:val="auto"/>
        </w:rPr>
        <w:t>—We are not dependent on the use of any off-balance sheet financing arrangements for liquidity. We have made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in various unconsolidated ventures. Refer to Note 7 to the consolidated financial statements for further details of our unconsolidated investments. Our maximum exposure to loss from these investments is limited to the carrying value of our investments and any unfunded commitments (see below).</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color w:val="auto"/>
        </w:rPr>
        <w:t>Unfunded Commitments</w:t>
      </w:r>
      <w:r>
        <w:rPr>
          <w:rFonts w:ascii="Arial" w:cs="Arial" w:eastAsia="Arial" w:hAnsi="Arial"/>
          <w:sz w:val="17"/>
          <w:szCs w:val="17"/>
          <w:color w:val="auto"/>
        </w:rPr>
        <w:t>—We generally fund construction and development loans and build-outs of space in net lease assets over a period of time if</w:t>
      </w:r>
      <w:r>
        <w:rPr>
          <w:rFonts w:ascii="Arial" w:cs="Arial" w:eastAsia="Arial" w:hAnsi="Arial"/>
          <w:sz w:val="17"/>
          <w:szCs w:val="17"/>
          <w:b w:val="1"/>
          <w:bCs w:val="1"/>
          <w:color w:val="auto"/>
        </w:rPr>
        <w:t xml:space="preserve"> </w:t>
      </w:r>
      <w:r>
        <w:rPr>
          <w:rFonts w:ascii="Arial" w:cs="Arial" w:eastAsia="Arial" w:hAnsi="Arial"/>
          <w:sz w:val="17"/>
          <w:szCs w:val="17"/>
          <w:color w:val="auto"/>
        </w:rPr>
        <w:t>and when the borrowers and tenants meet established milestones and other performance criteria. We refer to these arrangements as Performance-Based Commitments. In addition, we sometimes establish a maximum amount of additional funding which we will make available to a borrower or tenant for an expansion or addition to a project if we approve of the expansion or addition in our sole discretion. We refer to these arrangements as Discretionary Fundings. Finally, we have committed to invest capital in several real estate funds and other ventures. These arrangements are referred to as Strategic Investments. As of March 31, 2017, the maximum amounts of the fundings we may make under each category, assuming all performance hurdles and milestones are met under the Performance-Based Commitments, that we approve all Discretionary Fundings and that 100% of our capital committed to Strategic Investments is drawn down, are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Loans and Other Lending</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Real Estate</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Other</w:t>
            </w:r>
          </w:p>
        </w:tc>
        <w:tc>
          <w:tcPr>
            <w:tcW w:w="460" w:type="dxa"/>
            <w:vAlign w:val="bottom"/>
          </w:tcPr>
          <w:p>
            <w:pPr>
              <w:spacing w:after="0"/>
              <w:rPr>
                <w:sz w:val="14"/>
                <w:szCs w:val="14"/>
                <w:color w:val="auto"/>
              </w:rPr>
            </w:pPr>
          </w:p>
        </w:tc>
        <w:tc>
          <w:tcPr>
            <w:tcW w:w="1460" w:type="dxa"/>
            <w:vAlign w:val="bottom"/>
            <w:vMerge w:val="restart"/>
          </w:tcPr>
          <w:p>
            <w:pPr>
              <w:jc w:val="right"/>
              <w:ind w:right="7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Investments</w:t>
            </w:r>
            <w:r>
              <w:rPr>
                <w:rFonts w:ascii="Arial" w:cs="Arial" w:eastAsia="Arial" w:hAnsi="Arial"/>
                <w:sz w:val="8"/>
                <w:szCs w:val="8"/>
                <w:b w:val="1"/>
                <w:bCs w:val="1"/>
                <w:color w:val="auto"/>
                <w:w w:val="91"/>
              </w:rPr>
              <w:t>(1)</w:t>
            </w:r>
          </w:p>
        </w:tc>
        <w:tc>
          <w:tcPr>
            <w:tcW w:w="13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Investments</w:t>
            </w:r>
          </w:p>
        </w:tc>
        <w:tc>
          <w:tcPr>
            <w:tcW w:w="4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305,862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9,814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24,059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339,735</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Strategic Investments</w:t>
            </w:r>
          </w:p>
        </w:tc>
        <w:tc>
          <w:tcPr>
            <w:tcW w:w="14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45,564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45,564</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shd w:val="clear" w:color="auto" w:fill="CCEEFF"/>
          </w:tcPr>
          <w:p>
            <w:pPr>
              <w:ind w:left="18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305,862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9,814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69,623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385,299</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-98425</wp:posOffset>
            </wp:positionV>
            <wp:extent cx="51200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20005" cy="8890"/>
                    </a:xfrm>
                    <a:prstGeom prst="rect">
                      <a:avLst/>
                    </a:prstGeom>
                    <a:noFill/>
                  </pic:spPr>
                </pic:pic>
              </a:graphicData>
            </a:graphic>
          </wp:anchor>
        </w:drawing>
      </w:r>
    </w:p>
    <w:p>
      <w:pPr>
        <w:ind w:left="500" w:hanging="492"/>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Excludes $155.3 million of commitments on loan participations sold that are not our obligation.</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did not have any Discretionary Fundings as of March 31, 2017.</w:t>
      </w:r>
    </w:p>
    <w:p>
      <w:pPr>
        <w:spacing w:after="0" w:line="20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b w:val="1"/>
          <w:bCs w:val="1"/>
          <w:color w:val="auto"/>
        </w:rPr>
        <w:t>Stock Repurchase Program</w:t>
      </w:r>
      <w:r>
        <w:rPr>
          <w:rFonts w:ascii="Arial" w:cs="Arial" w:eastAsia="Arial" w:hAnsi="Arial"/>
          <w:sz w:val="17"/>
          <w:szCs w:val="17"/>
          <w:color w:val="auto"/>
        </w:rPr>
        <w:t>—In February 2016, after having substantially utilized the remaining availability previously authorized, our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authorized a new $50.0 million stock repurchase program. After having substantially utilized the availability authorized in February 2016, our Board of Directors authorized an increase to the stock repurchase program to $50.0 million, effective August 4, 2016. The program authorizes the repurchase of common stock from time to time in open market and privately negotiated purchases, including pursuant to one or more trading plans. We did not repurchase any shares of common stock during the three months ended March 31, 2017. During the three months ended March 31, 2016, we repurchased 5.8 million shares of our common stock for $58.1 million, at an average cost of $9.94 per share. As of March 31, 2017, we had remaining authorization to repurchase up to $50.0 million of common stock under our stock repurchase program.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7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On January 1, 2017, we adopted Accounting Standards Update ("ASU") 2016-09, </w:t>
      </w:r>
      <w:r>
        <w:rPr>
          <w:rFonts w:ascii="Arial" w:cs="Arial" w:eastAsia="Arial" w:hAnsi="Arial"/>
          <w:sz w:val="18"/>
          <w:szCs w:val="18"/>
          <w:i w:val="1"/>
          <w:iCs w:val="1"/>
          <w:color w:val="auto"/>
        </w:rPr>
        <w:t>Compensation - Stock Compensation, 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Payment Accounting, </w:t>
      </w:r>
      <w:r>
        <w:rPr>
          <w:rFonts w:ascii="Arial" w:cs="Arial" w:eastAsia="Arial" w:hAnsi="Arial"/>
          <w:sz w:val="18"/>
          <w:szCs w:val="18"/>
          <w:color w:val="auto"/>
        </w:rPr>
        <w:t>which simplified several aspects of the accounting for share-based payment transactions, including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of awards as either equity or liabilities and classification on the statement of cash flows. The adoption did not have a material impact on our consolidated financial statements.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March 31, 2017, the remainder of our significant accounting policies, which are detailed in our 2016 Annual Report, have not changed materially.</w:t>
      </w:r>
    </w:p>
    <w:p>
      <w:pPr>
        <w:spacing w:after="0" w:line="20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New Accounting Pronouncements</w:t>
      </w:r>
      <w:r>
        <w:rPr>
          <w:rFonts w:ascii="Arial" w:cs="Arial" w:eastAsia="Arial" w:hAnsi="Arial"/>
          <w:sz w:val="18"/>
          <w:szCs w:val="18"/>
          <w:color w:val="auto"/>
        </w:rPr>
        <w:t>—For a discussion of the impact of new accounting pronouncements on our financial condition or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refer to Note 3 to the consolidated financial statements.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28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Market risk is the exposure to loss resulting from changes in interest rates, foreign currency exchange rates, commodity prices and equity prices. In pursuing our business plan, the primary market risk to which we are exposed is interest rate risk. Our operating results will depend in part on the difference between the interest and related income earned on our assets and the interest expense incurred in connection with our interest-bearing liabilities. Changes in the general level of interest rates prevailing in the financial markets will affect the spread between our floating rate assets and liabilities subject to the net amount of floating rate assets/liabilities and the impact of interest rate floors and caps. Any significant compression of the spreads between interest-earning assets and interest-bearing liabilities could have a material adverse effect on us.</w:t>
      </w:r>
    </w:p>
    <w:p>
      <w:pPr>
        <w:spacing w:after="0" w:line="23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the event of a significant rising interest rate environment or economic downturn, defaults could increase and cause us to incur additional credit losses which would adversely affect our liquidity and operating results. Such delinquencies or defaults would likely have a material adverse effect on the spreads between interest-earning assets and interest-bearing liabilities. In addition, an increase in interest rates could, among other things, reduce the value of our fixed-rate interest-bearing assets and our ability to realize gains from the sale of such assets.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Interest rates are highly sensitive to many factors, including governmental monetary and tax policies, domestic and international economic and political conditions, and other factors beyond our control. We monitor the spreads between our interest-earning assets and interest-bearing liabilities and may implement hedging strategies to limit the effects of changes in interest rates on our operations, including engaging in interest rate swaps, interest rate caps and other interest rate-related derivative contracts. Such strategies are designed to reduce our exposure, on specific transactions or on a portfolio basis, to changes in cash flows as a result of interest rate movements in the market. We do not enter into derivative contracts for speculative purposes or as a hedge against changes in our credit risk or the credit risk of our borrowers.</w:t>
      </w:r>
    </w:p>
    <w:p>
      <w:pPr>
        <w:spacing w:after="0" w:line="24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While a REIT may utilize derivative instruments to hedge interest rate risk on its liabilities incurred to acquire or carry real estate assets without generating non-qualifying income, use of derivatives for other purposes will generate non-qualified income for REIT income test purposes. This includes hedging asset related risks such as credit, foreign exchange and interest rate exposure on our loan assets. As a result our ability to hedge these types of risks is limited. There can be no assurance that our profitability will not be materially adversely affected during any period as a result of changing interest rates.</w:t>
      </w:r>
    </w:p>
    <w:p>
      <w:pPr>
        <w:spacing w:after="0" w:line="2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quantifies the potential changes in annual net income, assuming no change in our interest earning assets or interest bearing liabilities, should interest rates increase by 10, 50 or 100 basis points or decrease by 10 basis points, assuming no change in the shape of the yield curve (i.e., relative interest rates). The base interest rate scenario assumes the one-month LIBOR rate of 0.98% as of March 31, 2017. Actual results could differ significantly from those estimated in the table.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Change In Net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Change in Interest Rates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Net Income</w:t>
            </w:r>
            <w:r>
              <w:rPr>
                <w:rFonts w:ascii="Arial" w:cs="Arial" w:eastAsia="Arial" w:hAnsi="Arial"/>
                <w:sz w:val="8"/>
                <w:szCs w:val="8"/>
                <w:b w:val="1"/>
                <w:bCs w:val="1"/>
                <w:color w:val="auto"/>
              </w:rPr>
              <w:t>(1)</w:t>
            </w: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 Basis Points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Base Interest Rate</w:t>
            </w:r>
          </w:p>
        </w:tc>
        <w:tc>
          <w:tcPr>
            <w:tcW w:w="38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 Basis Points</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1,583</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+50 Basis Points</w:t>
            </w:r>
          </w:p>
        </w:tc>
        <w:tc>
          <w:tcPr>
            <w:tcW w:w="38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7,915</w:t>
            </w:r>
          </w:p>
        </w:tc>
      </w:tr>
      <w:tr>
        <w:trPr>
          <w:trHeight w:val="270"/>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+100 Basis Points</w:t>
            </w:r>
          </w:p>
        </w:tc>
        <w:tc>
          <w:tcPr>
            <w:tcW w:w="380" w:type="dxa"/>
            <w:vAlign w:val="bottom"/>
          </w:tcPr>
          <w:p>
            <w:pPr>
              <w:spacing w:after="0"/>
              <w:rPr>
                <w:sz w:val="23"/>
                <w:szCs w:val="23"/>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15,830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353314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3314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13" w:lineRule="exact"/>
        <w:rPr>
          <w:sz w:val="20"/>
          <w:szCs w:val="20"/>
          <w:color w:val="auto"/>
        </w:rPr>
      </w:pPr>
    </w:p>
    <w:p>
      <w:pPr>
        <w:jc w:val="both"/>
        <w:ind w:left="420" w:hanging="412"/>
        <w:spacing w:after="0" w:line="248" w:lineRule="auto"/>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have an overall net variable-rate asset position, which results in an increase in net income when rates increase and a decrease in net income when rates decrease. As of March 31, 2017, $603.0 million of our floating rate loans have a cumulative weighted average interest rate floor of 0.3% and $682.9 million of our floating rate debt has a cumulative weighted average interest rate floor of 0.8%.</w:t>
      </w:r>
    </w:p>
    <w:p>
      <w:pPr>
        <w:spacing w:after="0" w:line="3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w:t>
      </w:r>
    </w:p>
    <w:p>
      <w:pPr>
        <w:sectPr>
          <w:pgSz w:w="11900" w:h="16838" w:orient="portrait"/>
          <w:cols w:equalWidth="0" w:num="1">
            <w:col w:w="11420"/>
          </w:cols>
          <w:pgMar w:left="240" w:top="122" w:right="2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2" w:right="2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13a-15(b) or Rule 15d-15. Based upon that evaluation, the Chief Executive Officer and Chief Financial Officer concluded that the Company's disclosure controls and procedures are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3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January 2017, the Company implemented a new accounting information system and, accordingly, has updated its internal controls over financial reporting for the new system. The Company has taken steps for establishing and maintaining effective internal control over financial reporting as of March 31, 2017.</w:t>
      </w:r>
    </w:p>
    <w:p>
      <w:pPr>
        <w:spacing w:after="0" w:line="1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than as noted above, 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3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and/or one or more of its subsidiaries is party to various pending litigation matters that are considered ordinary routine litigation incidental to its real estate and real estate related business activities, including loan foreclosure and foreclosure-related proceedings. In addition to such matters, the Company is a party to the following legal proceedings: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Action</w:t>
      </w:r>
    </w:p>
    <w:p>
      <w:pPr>
        <w:spacing w:after="0" w:line="18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previously reported, a shareholder action was filed in 2014 in Maryland state court purporting to assert derivative, class and individual claims against the Company, a number of our current and former senior executives (including our chief executive officer) and current and former directors as defendants. The complaint alleged breach of fiduciary duty, breach of contract and other causes of action arising out of compensation awards granted by the Company to our senior executives in December 2008 and modified in July 2011. On October 30, 2014, the Maryland Circuit Court dismissed all of plaintiffs' claims in the action. Plaintiffs appealed and, on January 28, 2016, the Maryland Court of Special Appeals affirmed the order of the Circuit Court. Plaintiffs appealed that decision and, on January 20, 2017, the Maryland Court of Appeals (Maryland’s highest court) issued its opinion affirming the dismissal of all of plaintiffs’ claims against the Company and the other defendants. This matter is concluded.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Home Corporation ("Lennar") v. Settlers Crossing, LLC, et al. (Civil Action No. DKC 08-1863)</w:t>
      </w:r>
    </w:p>
    <w:p>
      <w:pPr>
        <w:spacing w:after="0" w:line="1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This litigation involves a dispute over the purchase and sale of approximately 1,250 acres of land in Prince George’s County, Maryland. On January 22, 2015, the United States District Court for the District of Maryland (the District Court) entered a judgment in favor of the Company, as seller, and against Lennar, as purchaser. The District Court found that the Company is entitled to specific performance and awarded damages to the Company in the aggregate amount of: (i) the remaining purchase price to be paid by Lennar of $114.0 million; plus (ii) simple interest on the unpaid amount at a rate of 12% annually, calculated from May 27, 2008, until Lennar proceeds to settlement on the land; plus (iii) real estate taxes paid by the Company; plus (iv) actual and reasonable attorneys' fees and costs incurred by the Company in connection with the litigation. Lennar appealed the District Court's judgment and posted an appeal bond.</w:t>
      </w:r>
    </w:p>
    <w:p>
      <w:pPr>
        <w:spacing w:after="0" w:line="14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12, 2017, the United States Court of Appeals for the Fourth Circuit (the Court of Appeals) affirmed the judgment of the District Court in its entirety. Lennar has filed a petition with the Court of Appeals for rehearing en banc, only with respect to the calculation of interest owed by Lennar on the unpaid purchase price following the date of the judgment of the District Court, which petition is pending. Lennar’s time period to seek review of the Court of Appeals’ decision by the United States Supreme Court has not expired.</w:t>
      </w:r>
    </w:p>
    <w:p>
      <w:pPr>
        <w:spacing w:after="0" w:line="14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On April 21, 2017, we and Lennar completed settlement of transfer of the land, pursuant to which we conveyed the land to Lennar and received net proceeds of $231.1 million after payment of $6.3 million in documentary transfer taxes, subject to certain holdbacks and subject also to final resolution of the amount of post-judgment interest owed by Lennar, consisting of $114.0 million of sales proceeds, $121.8 million of interest and $1.6 million of real estate tax reimbursements. The amount of attorneys’ fees and costs to be recovered by us will be determined through further proceedings before the District Court. A portion of the net proceeds received by us has been paid to the third party which holds a 4.3% participation interest in all proceeds received by us.</w:t>
      </w:r>
    </w:p>
    <w:p>
      <w:pPr>
        <w:spacing w:after="0" w:line="15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changes from the risk factors previously disclosed in the Company's 2015 Annual Report.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the information with respect to purchases made by or on behalf of the Company of its common stock during the three months ended March 31, 2017.</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6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Arial" w:cs="Arial" w:eastAsia="Arial" w:hAnsi="Arial"/>
                <w:sz w:val="18"/>
                <w:szCs w:val="18"/>
                <w:color w:val="auto"/>
                <w:w w:val="94"/>
              </w:rPr>
              <w:t>Maximum Dollar Value of</w:t>
            </w:r>
          </w:p>
        </w:tc>
      </w:tr>
      <w:tr>
        <w:trPr>
          <w:trHeight w:val="216"/>
        </w:trPr>
        <w:tc>
          <w:tcPr>
            <w:tcW w:w="34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Total Number of</w:t>
            </w:r>
          </w:p>
        </w:tc>
        <w:tc>
          <w:tcPr>
            <w:tcW w:w="1540" w:type="dxa"/>
            <w:vAlign w:val="bottom"/>
            <w:gridSpan w:val="2"/>
          </w:tcPr>
          <w:p>
            <w:pPr>
              <w:ind w:left="60"/>
              <w:spacing w:after="0"/>
              <w:rPr>
                <w:sz w:val="20"/>
                <w:szCs w:val="20"/>
                <w:color w:val="auto"/>
              </w:rPr>
            </w:pPr>
            <w:r>
              <w:rPr>
                <w:rFonts w:ascii="Arial" w:cs="Arial" w:eastAsia="Arial" w:hAnsi="Arial"/>
                <w:sz w:val="18"/>
                <w:szCs w:val="18"/>
                <w:color w:val="auto"/>
                <w:w w:val="94"/>
              </w:rPr>
              <w:t>Average Price Paid</w:t>
            </w:r>
          </w:p>
        </w:tc>
        <w:tc>
          <w:tcPr>
            <w:tcW w:w="2080" w:type="dxa"/>
            <w:vAlign w:val="bottom"/>
          </w:tcPr>
          <w:p>
            <w:pPr>
              <w:jc w:val="center"/>
              <w:spacing w:after="0"/>
              <w:rPr>
                <w:sz w:val="20"/>
                <w:szCs w:val="20"/>
                <w:color w:val="auto"/>
              </w:rPr>
            </w:pPr>
            <w:r>
              <w:rPr>
                <w:rFonts w:ascii="Arial" w:cs="Arial" w:eastAsia="Arial" w:hAnsi="Arial"/>
                <w:sz w:val="18"/>
                <w:szCs w:val="18"/>
                <w:color w:val="auto"/>
                <w:w w:val="87"/>
              </w:rPr>
              <w:t>Purchased as Part of a</w:t>
            </w:r>
          </w:p>
        </w:tc>
        <w:tc>
          <w:tcPr>
            <w:tcW w:w="16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Arial" w:cs="Arial" w:eastAsia="Arial" w:hAnsi="Arial"/>
                <w:sz w:val="18"/>
                <w:szCs w:val="18"/>
                <w:color w:val="auto"/>
                <w:w w:val="88"/>
              </w:rPr>
              <w:t>Shares that May Yet be</w:t>
            </w:r>
          </w:p>
        </w:tc>
      </w:tr>
      <w:tr>
        <w:trPr>
          <w:trHeight w:val="257"/>
        </w:trPr>
        <w:tc>
          <w:tcPr>
            <w:tcW w:w="342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Shares Purchased</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per Share</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Publicly Announced Plan</w:t>
            </w:r>
          </w:p>
        </w:tc>
        <w:tc>
          <w:tcPr>
            <w:tcW w:w="2240" w:type="dxa"/>
            <w:vAlign w:val="bottom"/>
            <w:tcBorders>
              <w:bottom w:val="single" w:sz="8" w:color="auto"/>
            </w:tcBorders>
            <w:gridSpan w:val="2"/>
          </w:tcPr>
          <w:p>
            <w:pPr>
              <w:jc w:val="center"/>
              <w:spacing w:after="0" w:line="257" w:lineRule="exact"/>
              <w:rPr>
                <w:sz w:val="20"/>
                <w:szCs w:val="20"/>
                <w:color w:val="auto"/>
              </w:rPr>
            </w:pPr>
            <w:r>
              <w:rPr>
                <w:rFonts w:ascii="Arial" w:cs="Arial" w:eastAsia="Arial" w:hAnsi="Arial"/>
                <w:sz w:val="18"/>
                <w:szCs w:val="18"/>
                <w:color w:val="auto"/>
                <w:w w:val="86"/>
              </w:rPr>
              <w:t>Purchased Under the Plans</w:t>
            </w:r>
            <w:r>
              <w:rPr>
                <w:rFonts w:ascii="Arial" w:cs="Arial" w:eastAsia="Arial" w:hAnsi="Arial"/>
                <w:sz w:val="25"/>
                <w:szCs w:val="25"/>
                <w:color w:val="auto"/>
                <w:w w:val="86"/>
                <w:vertAlign w:val="superscript"/>
              </w:rPr>
              <w:t>(1)</w:t>
            </w: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to January 31</w:t>
            </w:r>
          </w:p>
        </w:tc>
        <w:tc>
          <w:tcPr>
            <w:tcW w:w="174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50,000,000</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February 1 to February 28</w:t>
            </w: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260" w:type="dxa"/>
            <w:vAlign w:val="bottom"/>
          </w:tcPr>
          <w:p>
            <w:pPr>
              <w:ind w:left="900"/>
              <w:spacing w:after="0"/>
              <w:rPr>
                <w:sz w:val="20"/>
                <w:szCs w:val="20"/>
                <w:color w:val="auto"/>
              </w:rPr>
            </w:pPr>
            <w:r>
              <w:rPr>
                <w:rFonts w:ascii="Arial" w:cs="Arial" w:eastAsia="Arial" w:hAnsi="Arial"/>
                <w:sz w:val="18"/>
                <w:szCs w:val="18"/>
                <w:color w:val="auto"/>
              </w:rPr>
              <w:t>—</w:t>
            </w:r>
          </w:p>
        </w:tc>
        <w:tc>
          <w:tcPr>
            <w:tcW w:w="2080" w:type="dxa"/>
            <w:vAlign w:val="bottom"/>
          </w:tcPr>
          <w:p>
            <w:pPr>
              <w:ind w:left="18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50,000,000</w:t>
            </w:r>
          </w:p>
        </w:tc>
      </w:tr>
      <w:tr>
        <w:trPr>
          <w:trHeight w:val="270"/>
        </w:trPr>
        <w:tc>
          <w:tcPr>
            <w:tcW w:w="3420" w:type="dxa"/>
            <w:vAlign w:val="bottom"/>
          </w:tcPr>
          <w:p>
            <w:pPr>
              <w:ind w:left="40"/>
              <w:spacing w:after="0"/>
              <w:rPr>
                <w:sz w:val="20"/>
                <w:szCs w:val="20"/>
                <w:color w:val="auto"/>
              </w:rPr>
            </w:pPr>
            <w:r>
              <w:rPr>
                <w:rFonts w:ascii="Arial" w:cs="Arial" w:eastAsia="Arial" w:hAnsi="Arial"/>
                <w:sz w:val="18"/>
                <w:szCs w:val="18"/>
                <w:color w:val="auto"/>
              </w:rPr>
              <w:t>March 1 to March 31</w:t>
            </w: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260" w:type="dxa"/>
            <w:vAlign w:val="bottom"/>
          </w:tcPr>
          <w:p>
            <w:pPr>
              <w:ind w:left="900"/>
              <w:spacing w:after="0"/>
              <w:rPr>
                <w:sz w:val="20"/>
                <w:szCs w:val="20"/>
                <w:color w:val="auto"/>
              </w:rPr>
            </w:pPr>
            <w:r>
              <w:rPr>
                <w:rFonts w:ascii="Arial" w:cs="Arial" w:eastAsia="Arial" w:hAnsi="Arial"/>
                <w:sz w:val="18"/>
                <w:szCs w:val="18"/>
                <w:color w:val="auto"/>
              </w:rPr>
              <w:t>—</w:t>
            </w:r>
          </w:p>
        </w:tc>
        <w:tc>
          <w:tcPr>
            <w:tcW w:w="2080" w:type="dxa"/>
            <w:vAlign w:val="bottom"/>
          </w:tcPr>
          <w:p>
            <w:pPr>
              <w:ind w:left="18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50,000,000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98944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500" w:hanging="492"/>
        <w:spacing w:after="0" w:line="293" w:lineRule="auto"/>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 August 2016, the Company's Board of Directors authorized an increase to $50.0 million in the stock repurchase program. The program authorizes the repurchase of common stock from time to time in open market and privately negotiated purchases, including pursuant to one or more trading plans. There is no fixed expiration date to this stock repurchase program.</w:t>
      </w:r>
    </w:p>
    <w:p>
      <w:pPr>
        <w:spacing w:after="0" w:line="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700" w:type="dxa"/>
            <w:vAlign w:val="bottom"/>
          </w:tcPr>
          <w:p>
            <w:pPr>
              <w:ind w:left="3660"/>
              <w:spacing w:after="0"/>
              <w:rPr>
                <w:sz w:val="20"/>
                <w:szCs w:val="20"/>
                <w:color w:val="auto"/>
              </w:rPr>
            </w:pPr>
            <w:r>
              <w:rPr>
                <w:rFonts w:ascii="Arial" w:cs="Arial" w:eastAsia="Arial" w:hAnsi="Arial"/>
                <w:sz w:val="18"/>
                <w:szCs w:val="18"/>
                <w:b w:val="1"/>
                <w:bCs w:val="1"/>
                <w:color w:val="auto"/>
              </w:rPr>
              <w:t>INDEX TO EXHIBITS</w:t>
            </w:r>
          </w:p>
        </w:tc>
      </w:tr>
      <w:tr>
        <w:trPr>
          <w:trHeight w:val="576"/>
        </w:trPr>
        <w:tc>
          <w:tcPr>
            <w:tcW w:w="116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Exhibit</w:t>
            </w:r>
          </w:p>
        </w:tc>
        <w:tc>
          <w:tcPr>
            <w:tcW w:w="9700" w:type="dxa"/>
            <w:vAlign w:val="bottom"/>
          </w:tcPr>
          <w:p>
            <w:pPr>
              <w:spacing w:after="0"/>
              <w:rPr>
                <w:sz w:val="24"/>
                <w:szCs w:val="24"/>
                <w:color w:val="auto"/>
              </w:rPr>
            </w:pPr>
          </w:p>
        </w:tc>
      </w:tr>
      <w:tr>
        <w:trPr>
          <w:trHeight w:val="234"/>
        </w:trPr>
        <w:tc>
          <w:tcPr>
            <w:tcW w:w="116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Number</w:t>
            </w:r>
          </w:p>
        </w:tc>
        <w:tc>
          <w:tcPr>
            <w:tcW w:w="9700" w:type="dxa"/>
            <w:vAlign w:val="bottom"/>
          </w:tcPr>
          <w:p>
            <w:pPr>
              <w:ind w:left="4060"/>
              <w:spacing w:after="0"/>
              <w:rPr>
                <w:sz w:val="20"/>
                <w:szCs w:val="20"/>
                <w:color w:val="auto"/>
              </w:rPr>
            </w:pPr>
            <w:r>
              <w:rPr>
                <w:rFonts w:ascii="Arial" w:cs="Arial" w:eastAsia="Arial" w:hAnsi="Arial"/>
                <w:sz w:val="18"/>
                <w:szCs w:val="18"/>
                <w:b w:val="1"/>
                <w:bCs w:val="1"/>
                <w:color w:val="auto"/>
              </w:rPr>
              <w:t>Document Description</w:t>
            </w:r>
          </w:p>
        </w:tc>
      </w:tr>
      <w:tr>
        <w:trPr>
          <w:trHeight w:val="27"/>
        </w:trPr>
        <w:tc>
          <w:tcPr>
            <w:tcW w:w="1160" w:type="dxa"/>
            <w:vAlign w:val="bottom"/>
          </w:tcPr>
          <w:p>
            <w:pPr>
              <w:spacing w:after="0"/>
              <w:rPr>
                <w:sz w:val="2"/>
                <w:szCs w:val="2"/>
                <w:color w:val="auto"/>
              </w:rPr>
            </w:pPr>
          </w:p>
        </w:tc>
        <w:tc>
          <w:tcPr>
            <w:tcW w:w="9700" w:type="dxa"/>
            <w:vAlign w:val="bottom"/>
          </w:tcPr>
          <w:p>
            <w:pPr>
              <w:spacing w:after="0"/>
              <w:rPr>
                <w:sz w:val="2"/>
                <w:szCs w:val="2"/>
                <w:color w:val="auto"/>
              </w:rPr>
            </w:pPr>
          </w:p>
        </w:tc>
      </w:tr>
      <w:tr>
        <w:trPr>
          <w:trHeight w:val="243"/>
        </w:trPr>
        <w:tc>
          <w:tcPr>
            <w:tcW w:w="11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10.12</w:t>
            </w:r>
          </w:p>
        </w:tc>
        <w:tc>
          <w:tcPr>
            <w:tcW w:w="9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iStar Inc. Amended and Restated Non-Employee's Directors' Deferral Plan</w:t>
            </w:r>
          </w:p>
        </w:tc>
      </w:tr>
      <w:tr>
        <w:trPr>
          <w:trHeight w:val="243"/>
        </w:trPr>
        <w:tc>
          <w:tcPr>
            <w:tcW w:w="1160" w:type="dxa"/>
            <w:vAlign w:val="bottom"/>
            <w:shd w:val="clear" w:color="auto" w:fill="CCEEFF"/>
          </w:tcPr>
          <w:p>
            <w:pPr>
              <w:spacing w:after="0"/>
              <w:rPr>
                <w:sz w:val="21"/>
                <w:szCs w:val="21"/>
                <w:color w:val="auto"/>
              </w:rPr>
            </w:pPr>
          </w:p>
        </w:tc>
        <w:tc>
          <w:tcPr>
            <w:tcW w:w="9700" w:type="dxa"/>
            <w:vAlign w:val="bottom"/>
            <w:shd w:val="clear" w:color="auto" w:fill="CCEEFF"/>
          </w:tcPr>
          <w:p>
            <w:pPr>
              <w:spacing w:after="0"/>
              <w:rPr>
                <w:sz w:val="21"/>
                <w:szCs w:val="21"/>
                <w:color w:val="auto"/>
              </w:rPr>
            </w:pPr>
          </w:p>
        </w:tc>
      </w:tr>
      <w:tr>
        <w:trPr>
          <w:trHeight w:val="243"/>
        </w:trPr>
        <w:tc>
          <w:tcPr>
            <w:tcW w:w="1160" w:type="dxa"/>
            <w:vAlign w:val="bottom"/>
          </w:tcPr>
          <w:p>
            <w:pPr>
              <w:jc w:val="center"/>
              <w:ind w:left="70"/>
              <w:spacing w:after="0"/>
              <w:rPr>
                <w:sz w:val="20"/>
                <w:szCs w:val="20"/>
                <w:color w:val="auto"/>
              </w:rPr>
            </w:pPr>
            <w:r>
              <w:rPr>
                <w:rFonts w:ascii="Arial" w:cs="Arial" w:eastAsia="Arial" w:hAnsi="Arial"/>
                <w:sz w:val="18"/>
                <w:szCs w:val="18"/>
                <w:color w:val="auto"/>
                <w:w w:val="91"/>
              </w:rPr>
              <w:t>31.0</w:t>
            </w:r>
          </w:p>
        </w:tc>
        <w:tc>
          <w:tcPr>
            <w:tcW w:w="9700" w:type="dxa"/>
            <w:vAlign w:val="bottom"/>
          </w:tcPr>
          <w:p>
            <w:pPr>
              <w:ind w:left="180"/>
              <w:spacing w:after="0"/>
              <w:rPr>
                <w:sz w:val="20"/>
                <w:szCs w:val="20"/>
                <w:color w:val="auto"/>
              </w:rPr>
            </w:pPr>
            <w:r>
              <w:rPr>
                <w:rFonts w:ascii="Arial" w:cs="Arial" w:eastAsia="Arial" w:hAnsi="Arial"/>
                <w:sz w:val="18"/>
                <w:szCs w:val="18"/>
                <w:color w:val="auto"/>
              </w:rPr>
              <w:t>Certifications pursuant to Section 302 of the Sarbanes-Oxley Act.</w:t>
            </w:r>
          </w:p>
        </w:tc>
      </w:tr>
      <w:tr>
        <w:trPr>
          <w:trHeight w:val="27"/>
        </w:trPr>
        <w:tc>
          <w:tcPr>
            <w:tcW w:w="1160" w:type="dxa"/>
            <w:vAlign w:val="bottom"/>
          </w:tcPr>
          <w:p>
            <w:pPr>
              <w:spacing w:after="0"/>
              <w:rPr>
                <w:sz w:val="2"/>
                <w:szCs w:val="2"/>
                <w:color w:val="auto"/>
              </w:rPr>
            </w:pPr>
          </w:p>
        </w:tc>
        <w:tc>
          <w:tcPr>
            <w:tcW w:w="97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1"/>
              </w:rPr>
              <w:t>32.0</w:t>
            </w:r>
          </w:p>
        </w:tc>
        <w:tc>
          <w:tcPr>
            <w:tcW w:w="9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Certifications pursuant to Section 906 of the Sarbanes-Oxley Act.</w:t>
            </w:r>
          </w:p>
        </w:tc>
      </w:tr>
      <w:tr>
        <w:trPr>
          <w:trHeight w:val="229"/>
        </w:trPr>
        <w:tc>
          <w:tcPr>
            <w:tcW w:w="1160" w:type="dxa"/>
            <w:vAlign w:val="bottom"/>
          </w:tcPr>
          <w:p>
            <w:pPr>
              <w:jc w:val="center"/>
              <w:ind w:left="70"/>
              <w:spacing w:after="0"/>
              <w:rPr>
                <w:sz w:val="20"/>
                <w:szCs w:val="20"/>
                <w:color w:val="auto"/>
              </w:rPr>
            </w:pPr>
            <w:r>
              <w:rPr>
                <w:rFonts w:ascii="Arial" w:cs="Arial" w:eastAsia="Arial" w:hAnsi="Arial"/>
                <w:sz w:val="18"/>
                <w:szCs w:val="18"/>
                <w:color w:val="auto"/>
                <w:w w:val="97"/>
              </w:rPr>
              <w:t>101*</w:t>
            </w:r>
          </w:p>
        </w:tc>
        <w:tc>
          <w:tcPr>
            <w:tcW w:w="9700" w:type="dxa"/>
            <w:vAlign w:val="bottom"/>
          </w:tcPr>
          <w:p>
            <w:pPr>
              <w:ind w:left="180"/>
              <w:spacing w:after="0"/>
              <w:rPr>
                <w:sz w:val="20"/>
                <w:szCs w:val="20"/>
                <w:color w:val="auto"/>
              </w:rPr>
            </w:pPr>
            <w:r>
              <w:rPr>
                <w:rFonts w:ascii="Arial" w:cs="Arial" w:eastAsia="Arial" w:hAnsi="Arial"/>
                <w:sz w:val="18"/>
                <w:szCs w:val="18"/>
                <w:color w:val="auto"/>
                <w:w w:val="94"/>
              </w:rPr>
              <w:t>The following financial information from the Company's Quarterly Report on Form 10-Q for the period ended March 31, 2017 is</w:t>
            </w:r>
          </w:p>
        </w:tc>
      </w:tr>
      <w:tr>
        <w:trPr>
          <w:trHeight w:val="230"/>
        </w:trPr>
        <w:tc>
          <w:tcPr>
            <w:tcW w:w="116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w w:val="97"/>
              </w:rPr>
              <w:t>formatted in XBRL ("eXtensible Business Reporting Language"): (i) the Consolidated Balance Sheets as of March 31, 2017</w:t>
            </w:r>
          </w:p>
        </w:tc>
      </w:tr>
    </w:tbl>
    <w:p>
      <w:pPr>
        <w:ind w:left="1340" w:right="640"/>
        <w:spacing w:after="0" w:line="271" w:lineRule="auto"/>
        <w:rPr>
          <w:sz w:val="20"/>
          <w:szCs w:val="20"/>
          <w:color w:val="auto"/>
        </w:rPr>
      </w:pPr>
      <w:r>
        <w:rPr>
          <w:rFonts w:ascii="Arial" w:cs="Arial" w:eastAsia="Arial" w:hAnsi="Arial"/>
          <w:sz w:val="17"/>
          <w:szCs w:val="17"/>
          <w:color w:val="auto"/>
        </w:rPr>
        <w:t>(unaudited) and December 31, 2016, (ii) the Consolidated Statements of Operations (unaudited) for the three months ended March 31, 2017 and 2016, (iii) the Consolidated Statements of Comprehensive Income (Loss) (unaudited) for the three months ended March 31, 2017 and 2016, (iv) the Consolidated Statement of Changes in Equity (unaudited) for the three months ended March 31, 2017 and 2016, (v) the Consolidated Statements of Cash Flows (unaudited) for the three months ended March 31, 2017 and 2016 and (vi) the Notes to the Consolidated Financial Statements (unaudited).</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8" w:lineRule="exact"/>
        <w:rPr>
          <w:sz w:val="20"/>
          <w:szCs w:val="20"/>
          <w:color w:val="auto"/>
        </w:rPr>
      </w:pPr>
    </w:p>
    <w:p>
      <w:pPr>
        <w:ind w:left="660" w:hanging="652"/>
        <w:spacing w:after="0" w:line="312" w:lineRule="auto"/>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8"/>
          <w:szCs w:val="18"/>
          <w:color w:val="auto"/>
        </w:rPr>
        <w:t>Date: May 4, 2017</w:t>
      </w:r>
      <w:r>
        <w:rPr>
          <w:sz w:val="20"/>
          <w:szCs w:val="20"/>
          <w:color w:val="auto"/>
        </w:rPr>
        <w:tab/>
      </w:r>
      <w:r>
        <w:rPr>
          <w:rFonts w:ascii="Arial" w:cs="Arial" w:eastAsia="Arial" w:hAnsi="Arial"/>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Jay Sugarman</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200" w:lineRule="exact"/>
        <w:rPr>
          <w:sz w:val="20"/>
          <w:szCs w:val="20"/>
          <w:color w:val="auto"/>
        </w:rPr>
      </w:pPr>
    </w:p>
    <w:p>
      <w:pPr>
        <w:spacing w:after="0" w:line="34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680" w:val="left"/>
        </w:tabs>
        <w:rPr>
          <w:sz w:val="20"/>
          <w:szCs w:val="20"/>
          <w:color w:val="auto"/>
        </w:rPr>
      </w:pPr>
      <w:r>
        <w:rPr>
          <w:rFonts w:ascii="Arial" w:cs="Arial" w:eastAsia="Arial" w:hAnsi="Arial"/>
          <w:sz w:val="18"/>
          <w:szCs w:val="18"/>
          <w:color w:val="auto"/>
        </w:rPr>
        <w:t>Date: May 4, 2017</w:t>
      </w:r>
      <w:r>
        <w:rPr>
          <w:sz w:val="20"/>
          <w:szCs w:val="20"/>
          <w:color w:val="auto"/>
        </w:rPr>
        <w:tab/>
      </w:r>
      <w:r>
        <w:rPr>
          <w:rFonts w:ascii="Arial" w:cs="Arial" w:eastAsia="Arial" w:hAnsi="Arial"/>
          <w:sz w:val="16"/>
          <w:szCs w:val="16"/>
          <w:color w:val="auto"/>
        </w:rPr>
        <w:t>/s/ GEOFFREY G. JERVIS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Geoffrey G. Jervis</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7"/>
          <w:szCs w:val="17"/>
          <w:i w:val="1"/>
          <w:iCs w:val="1"/>
          <w:color w:val="auto"/>
        </w:rPr>
        <w:t>Chief Operating Officer and Chief Financial Officer (principal financial</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and accounting officer)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2" w:right="259" w:bottom="1440" w:gutter="0" w:footer="0" w:header="0"/>
        </w:sectPr>
      </w:pPr>
    </w:p>
    <w:bookmarkStart w:id="56" w:name="page57"/>
    <w:bookmarkEnd w:id="56"/>
    <w:p>
      <w:pPr>
        <w:jc w:val="center"/>
        <w:ind w:right="-59"/>
        <w:spacing w:after="0"/>
        <w:rPr>
          <w:sz w:val="20"/>
          <w:szCs w:val="20"/>
          <w:color w:val="auto"/>
        </w:rPr>
      </w:pPr>
      <w:r>
        <w:rPr>
          <w:rFonts w:ascii="Arial" w:cs="Arial" w:eastAsia="Arial" w:hAnsi="Arial"/>
          <w:sz w:val="22"/>
          <w:szCs w:val="22"/>
          <w:b w:val="1"/>
          <w:bCs w:val="1"/>
          <w:color w:val="auto"/>
        </w:rPr>
        <w:t>ISTAR INC.</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AMENDED AND RESTATED</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NON-EMPLOYEE DIRECTORS’ DEFERRAL PLAN</w:t>
      </w:r>
    </w:p>
    <w:p>
      <w:pPr>
        <w:spacing w:after="0" w:line="266"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iStar Inc., a corporation organized under the laws of the State of Maryland, wishes to further align the interests of Non-Employee Directors and stockholders and generally increase the effectiveness of its Non-Employee Director compensation structure, by implementing the Plan. In furtherance thereof, the Plan provides for the grant of Common Stock Equivalents to eligible Non-Employee Directors and permits eligible Non-Employee Directors to elect, as permitted by the Board, to defer certain fees in accordance with the terms hereof.</w:t>
      </w:r>
    </w:p>
    <w:p>
      <w:pPr>
        <w:spacing w:after="0" w:line="186"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ind w:right="860" w:firstLine="648"/>
        <w:spacing w:after="0" w:line="263" w:lineRule="auto"/>
        <w:rPr>
          <w:sz w:val="20"/>
          <w:szCs w:val="20"/>
          <w:color w:val="auto"/>
        </w:rPr>
      </w:pPr>
      <w:r>
        <w:rPr>
          <w:rFonts w:ascii="Arial" w:cs="Arial" w:eastAsia="Arial" w:hAnsi="Arial"/>
          <w:sz w:val="22"/>
          <w:szCs w:val="22"/>
          <w:color w:val="auto"/>
        </w:rPr>
        <w:t>Whenever used herein, the following terms shall have the meanings set forth below except as the context requires otherwise: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(a)“Account” means a deferred compensation account established for a Participant in accordance with Section 4.2(d).</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(b)“Board” means the Board of Directors of the Company.</w:t>
      </w:r>
    </w:p>
    <w:p>
      <w:pPr>
        <w:spacing w:after="0" w:line="220" w:lineRule="exact"/>
        <w:rPr>
          <w:sz w:val="20"/>
          <w:szCs w:val="20"/>
          <w:color w:val="auto"/>
        </w:rPr>
      </w:pPr>
    </w:p>
    <w:p>
      <w:pPr>
        <w:ind w:left="1540" w:right="60" w:hanging="890"/>
        <w:spacing w:after="0" w:line="271" w:lineRule="auto"/>
        <w:rPr>
          <w:sz w:val="20"/>
          <w:szCs w:val="20"/>
          <w:color w:val="auto"/>
        </w:rPr>
      </w:pPr>
      <w:r>
        <w:rPr>
          <w:rFonts w:ascii="Arial" w:cs="Arial" w:eastAsia="Arial" w:hAnsi="Arial"/>
          <w:sz w:val="21"/>
          <w:szCs w:val="21"/>
          <w:color w:val="auto"/>
        </w:rPr>
        <w:t>(c)“Change in Control” has the meaning ascribed thereto by the LTIP, but only if such transaction is also a change in the ownership or effective control of a corporation or a change in the ownership of a substantial portion of the assets of a corporation within the meaning of U.S. Treas. Regs. Section 1.409A-3(i)(5).</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(d)“Code” means the Internal Revenue Code of 1986, as amended.</w:t>
      </w:r>
    </w:p>
    <w:p>
      <w:pPr>
        <w:spacing w:after="0" w:line="220" w:lineRule="exact"/>
        <w:rPr>
          <w:sz w:val="20"/>
          <w:szCs w:val="20"/>
          <w:color w:val="auto"/>
        </w:rPr>
      </w:pPr>
    </w:p>
    <w:p>
      <w:pPr>
        <w:ind w:left="1540" w:right="840" w:hanging="890"/>
        <w:spacing w:after="0" w:line="263" w:lineRule="auto"/>
        <w:rPr>
          <w:sz w:val="20"/>
          <w:szCs w:val="20"/>
          <w:color w:val="auto"/>
        </w:rPr>
      </w:pPr>
      <w:r>
        <w:rPr>
          <w:rFonts w:ascii="Arial" w:cs="Arial" w:eastAsia="Arial" w:hAnsi="Arial"/>
          <w:sz w:val="22"/>
          <w:szCs w:val="22"/>
          <w:color w:val="auto"/>
        </w:rPr>
        <w:t>(e)“Common Stock” means the Company’s Common Stock, par value $.001 per share, either currently existing or authorized hereafter.</w:t>
      </w:r>
    </w:p>
    <w:p>
      <w:pPr>
        <w:spacing w:after="0" w:line="175" w:lineRule="exact"/>
        <w:rPr>
          <w:sz w:val="20"/>
          <w:szCs w:val="20"/>
          <w:color w:val="auto"/>
        </w:rPr>
      </w:pPr>
    </w:p>
    <w:p>
      <w:pPr>
        <w:ind w:left="1520" w:right="340" w:hanging="863"/>
        <w:spacing w:after="0" w:line="263" w:lineRule="auto"/>
        <w:rPr>
          <w:sz w:val="20"/>
          <w:szCs w:val="20"/>
          <w:color w:val="auto"/>
        </w:rPr>
      </w:pPr>
      <w:r>
        <w:rPr>
          <w:rFonts w:ascii="Arial" w:cs="Arial" w:eastAsia="Arial" w:hAnsi="Arial"/>
          <w:sz w:val="22"/>
          <w:szCs w:val="22"/>
          <w:color w:val="auto"/>
        </w:rPr>
        <w:t>(f)“Common Stock Equivalent” means a right, granted pursuant to the Plan, of a Participant to payment of a Share, or if applicable, the Fair Market Value of a Share.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(g)“Company” means iStar Inc., a Maryland company.</w:t>
      </w:r>
    </w:p>
    <w:p>
      <w:pPr>
        <w:spacing w:after="0" w:line="220" w:lineRule="exact"/>
        <w:rPr>
          <w:sz w:val="20"/>
          <w:szCs w:val="20"/>
          <w:color w:val="auto"/>
        </w:rPr>
      </w:pPr>
    </w:p>
    <w:p>
      <w:pPr>
        <w:ind w:left="1560" w:right="120" w:hanging="904"/>
        <w:spacing w:after="0" w:line="263" w:lineRule="auto"/>
        <w:rPr>
          <w:sz w:val="20"/>
          <w:szCs w:val="20"/>
          <w:color w:val="auto"/>
        </w:rPr>
      </w:pPr>
      <w:r>
        <w:rPr>
          <w:rFonts w:ascii="Arial" w:cs="Arial" w:eastAsia="Arial" w:hAnsi="Arial"/>
          <w:sz w:val="22"/>
          <w:szCs w:val="22"/>
          <w:color w:val="auto"/>
        </w:rPr>
        <w:t>(h)“CSE Agreement” means a written agreement in a form approved by the Board, to be entered into by the Company and the Participant as provided in Section 5.</w:t>
      </w:r>
    </w:p>
    <w:p>
      <w:pPr>
        <w:spacing w:after="0" w:line="175" w:lineRule="exact"/>
        <w:rPr>
          <w:sz w:val="20"/>
          <w:szCs w:val="20"/>
          <w:color w:val="auto"/>
        </w:rPr>
      </w:pPr>
    </w:p>
    <w:p>
      <w:pPr>
        <w:ind w:left="1520" w:right="180" w:hanging="863"/>
        <w:spacing w:after="0" w:line="263" w:lineRule="auto"/>
        <w:rPr>
          <w:sz w:val="20"/>
          <w:szCs w:val="20"/>
          <w:color w:val="auto"/>
        </w:rPr>
      </w:pPr>
      <w:r>
        <w:rPr>
          <w:rFonts w:ascii="Arial" w:cs="Arial" w:eastAsia="Arial" w:hAnsi="Arial"/>
          <w:sz w:val="22"/>
          <w:szCs w:val="22"/>
          <w:color w:val="auto"/>
        </w:rPr>
        <w:t>(i)“CSE Value,” per Common Stock Equivalent as of a particular date, means the Fair Market Value of a Share as of such date.</w:t>
      </w: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340"/>
          </w:cols>
          <w:pgMar w:left="240" w:top="369" w:right="31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t>(j)“Disability” has the meaning ascribed thereto by the LTIP.</w:t>
      </w:r>
    </w:p>
    <w:p>
      <w:pPr>
        <w:spacing w:after="0" w:line="220" w:lineRule="exact"/>
        <w:rPr>
          <w:sz w:val="20"/>
          <w:szCs w:val="20"/>
          <w:color w:val="auto"/>
        </w:rPr>
      </w:pPr>
    </w:p>
    <w:p>
      <w:pPr>
        <w:ind w:left="900" w:hanging="904"/>
        <w:spacing w:after="0" w:line="287" w:lineRule="auto"/>
        <w:rPr>
          <w:sz w:val="20"/>
          <w:szCs w:val="20"/>
          <w:color w:val="auto"/>
        </w:rPr>
      </w:pPr>
      <w:r>
        <w:rPr>
          <w:rFonts w:ascii="Arial" w:cs="Arial" w:eastAsia="Arial" w:hAnsi="Arial"/>
          <w:sz w:val="19"/>
          <w:szCs w:val="19"/>
          <w:color w:val="auto"/>
        </w:rPr>
        <w:t>(k)“Fair Market Value” per Common Stock Equivalent, or if applicable, per Share, as of a particular date means (i) if Shares are then listed on a national stock exchange, the average of the per Share closing price on such exchange for the 20 trading days ending on and including the last trading day preceding the date as of which the Fair Market Value is being determined, as determined by the Board; (ii) if Shares are not then listed on a national stock exchange but are then traded on an over-the-counter market, the average of the closing bid and asked prices for the Shares on such over-the-counter market for the 20 trading days ending as of and including the last trading day preceding the date on which the Fair Market Value is being determined, as determined by the Board; or (iii) if Shares are not then listed on a national stock exchange or traded on an over-the-counter market, such value as the Board in its discretion may in good faith determine; provided that where the Shares are so listed or traded, the Board may make discretionary determinations where the Shares have not been traded for 20 trading days. For purposes of this definition, the term “trading day” means a day on which the New York Stock Exchange is open for equities trading through at least 12:00 p.m., New York City time.</w:t>
      </w:r>
    </w:p>
    <w:p>
      <w:pPr>
        <w:spacing w:after="0" w:line="160" w:lineRule="exact"/>
        <w:rPr>
          <w:sz w:val="20"/>
          <w:szCs w:val="20"/>
          <w:color w:val="auto"/>
        </w:rPr>
      </w:pPr>
    </w:p>
    <w:p>
      <w:pPr>
        <w:ind w:left="860" w:right="340" w:hanging="863"/>
        <w:spacing w:after="0" w:line="343" w:lineRule="auto"/>
        <w:rPr>
          <w:sz w:val="20"/>
          <w:szCs w:val="20"/>
          <w:color w:val="auto"/>
        </w:rPr>
      </w:pPr>
      <w:r>
        <w:rPr>
          <w:rFonts w:ascii="Arial" w:cs="Arial" w:eastAsia="Arial" w:hAnsi="Arial"/>
          <w:sz w:val="19"/>
          <w:szCs w:val="19"/>
          <w:color w:val="auto"/>
        </w:rPr>
        <w:t>(l)“LTIP” means the iStar Inc.2009 Long Term Incentive Plan, as amended from time to time or any successor long term incentive plan (for the avoidance of doubt, the Company’s 2013 Performance Incentive Plan is not an LTIP).</w:t>
      </w:r>
    </w:p>
    <w:p>
      <w:pPr>
        <w:spacing w:after="0" w:line="105" w:lineRule="exact"/>
        <w:rPr>
          <w:sz w:val="20"/>
          <w:szCs w:val="20"/>
          <w:color w:val="auto"/>
        </w:rPr>
      </w:pPr>
    </w:p>
    <w:p>
      <w:pPr>
        <w:ind w:left="960" w:right="220" w:hanging="971"/>
        <w:spacing w:after="0" w:line="263" w:lineRule="auto"/>
        <w:rPr>
          <w:sz w:val="20"/>
          <w:szCs w:val="20"/>
          <w:color w:val="auto"/>
        </w:rPr>
      </w:pPr>
      <w:r>
        <w:rPr>
          <w:rFonts w:ascii="Arial" w:cs="Arial" w:eastAsia="Arial" w:hAnsi="Arial"/>
          <w:sz w:val="22"/>
          <w:szCs w:val="22"/>
          <w:color w:val="auto"/>
        </w:rPr>
        <w:t>(m)“Non-Employee Director” means a director of the Company who is not an officer or employee of the Company or any of its subsidiaries.</w:t>
      </w:r>
    </w:p>
    <w:p>
      <w:pPr>
        <w:spacing w:after="0" w:line="175" w:lineRule="exact"/>
        <w:rPr>
          <w:sz w:val="20"/>
          <w:szCs w:val="20"/>
          <w:color w:val="auto"/>
        </w:rPr>
      </w:pPr>
    </w:p>
    <w:p>
      <w:pPr>
        <w:ind w:left="900" w:right="720" w:hanging="904"/>
        <w:spacing w:after="0" w:line="287" w:lineRule="auto"/>
        <w:rPr>
          <w:sz w:val="20"/>
          <w:szCs w:val="20"/>
          <w:color w:val="auto"/>
        </w:rPr>
      </w:pPr>
      <w:r>
        <w:rPr>
          <w:rFonts w:ascii="Arial" w:cs="Arial" w:eastAsia="Arial" w:hAnsi="Arial"/>
          <w:sz w:val="21"/>
          <w:szCs w:val="21"/>
          <w:color w:val="auto"/>
        </w:rPr>
        <w:t>(n)“Participant” means a Non-Employee Director of the Company who is credited with one or more Common Stock Equivalents or who has deferred receipt of fees hereunder as permitted by the Board.</w:t>
      </w:r>
    </w:p>
    <w:p>
      <w:pPr>
        <w:spacing w:after="0" w:line="152" w:lineRule="exact"/>
        <w:rPr>
          <w:sz w:val="20"/>
          <w:szCs w:val="20"/>
          <w:color w:val="auto"/>
        </w:rPr>
      </w:pPr>
    </w:p>
    <w:p>
      <w:pPr>
        <w:ind w:left="900" w:right="40" w:hanging="904"/>
        <w:spacing w:after="0" w:line="263" w:lineRule="auto"/>
        <w:rPr>
          <w:sz w:val="20"/>
          <w:szCs w:val="20"/>
          <w:color w:val="auto"/>
        </w:rPr>
      </w:pPr>
      <w:r>
        <w:rPr>
          <w:rFonts w:ascii="Arial" w:cs="Arial" w:eastAsia="Arial" w:hAnsi="Arial"/>
          <w:sz w:val="22"/>
          <w:szCs w:val="22"/>
          <w:color w:val="auto"/>
        </w:rPr>
        <w:t>(o)“Plan” means the Company’s Non-Employee Directors’ Deferral Plan, as set forth herein and as the same may from time to time be amended.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(p)“Regular Distribution Date” means the date determined under Section 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(q)“Securities Act” means the Securities Act of 1933, as amended.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(r)“Shares” means shares of Common Stock.</w:t>
      </w:r>
    </w:p>
    <w:p>
      <w:pPr>
        <w:spacing w:after="0" w:line="220" w:lineRule="exact"/>
        <w:rPr>
          <w:sz w:val="20"/>
          <w:szCs w:val="20"/>
          <w:color w:val="auto"/>
        </w:rPr>
      </w:pPr>
    </w:p>
    <w:p>
      <w:pPr>
        <w:ind w:left="880" w:right="80" w:hanging="877"/>
        <w:spacing w:after="0" w:line="253" w:lineRule="auto"/>
        <w:rPr>
          <w:sz w:val="20"/>
          <w:szCs w:val="20"/>
          <w:color w:val="auto"/>
        </w:rPr>
      </w:pPr>
      <w:r>
        <w:rPr>
          <w:rFonts w:ascii="Arial" w:cs="Arial" w:eastAsia="Arial" w:hAnsi="Arial"/>
          <w:sz w:val="22"/>
          <w:szCs w:val="22"/>
          <w:color w:val="auto"/>
        </w:rPr>
        <w:t>(s)“Subsidiary” means any corporation (other than the Company) that is a “subsidiary corporation” with respect to the Company under Section 424(f) of the Code. In the event the Company becomes a subsidiary of another company, the provisions hereof applicable to subsidiaries shall,</w:t>
      </w:r>
    </w:p>
    <w:p>
      <w:pPr>
        <w:spacing w:after="0" w:line="200" w:lineRule="exact"/>
        <w:rPr>
          <w:sz w:val="20"/>
          <w:szCs w:val="20"/>
          <w:color w:val="auto"/>
        </w:rPr>
      </w:pPr>
    </w:p>
    <w:p>
      <w:pPr>
        <w:spacing w:after="0" w:line="223"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760"/>
          </w:cols>
          <w:pgMar w:left="900" w:top="375" w:right="239" w:bottom="1440" w:gutter="0" w:footer="0" w:header="0"/>
        </w:sectPr>
      </w:pPr>
    </w:p>
    <w:bookmarkStart w:id="58" w:name="page59"/>
    <w:bookmarkEnd w:id="58"/>
    <w:p>
      <w:pPr>
        <w:ind w:left="1300" w:right="340"/>
        <w:spacing w:after="0" w:line="263" w:lineRule="auto"/>
        <w:rPr>
          <w:sz w:val="20"/>
          <w:szCs w:val="20"/>
          <w:color w:val="auto"/>
        </w:rPr>
      </w:pPr>
      <w:r>
        <w:rPr>
          <w:rFonts w:ascii="Arial" w:cs="Arial" w:eastAsia="Arial" w:hAnsi="Arial"/>
          <w:sz w:val="22"/>
          <w:szCs w:val="22"/>
          <w:color w:val="auto"/>
        </w:rPr>
        <w:t>unless otherwise determined by the Board, also be applicable to any Company that is a “parent corporation” with respect to the Company under Section 424(e) of the Code.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(t)“Valuation Date” means the last day of each calendar quarter and such additional dates as the Board may designate.</w:t>
      </w:r>
    </w:p>
    <w:p>
      <w:pPr>
        <w:spacing w:after="0" w:line="248" w:lineRule="exact"/>
        <w:rPr>
          <w:sz w:val="20"/>
          <w:szCs w:val="20"/>
          <w:color w:val="auto"/>
        </w:rPr>
      </w:pPr>
    </w:p>
    <w:p>
      <w:pPr>
        <w:ind w:left="660" w:right="4720" w:hanging="652"/>
        <w:spacing w:after="0" w:line="522" w:lineRule="auto"/>
        <w:tabs>
          <w:tab w:leader="none" w:pos="660"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Effective Date of Plan; Termination of the Plan; Source of Shares. </w:t>
      </w:r>
      <w:r>
        <w:rPr>
          <w:rFonts w:ascii="Arial" w:cs="Arial" w:eastAsia="Arial" w:hAnsi="Arial"/>
          <w:sz w:val="19"/>
          <w:szCs w:val="19"/>
          <w:color w:val="auto"/>
        </w:rPr>
        <w:t>(a)The effective date of the Plan, as amended, is May 17, 2016.</w:t>
      </w:r>
    </w:p>
    <w:p>
      <w:pPr>
        <w:ind w:left="1560" w:right="60" w:hanging="905"/>
        <w:spacing w:after="0" w:line="263" w:lineRule="auto"/>
        <w:rPr>
          <w:rFonts w:ascii="Arial" w:cs="Arial" w:eastAsia="Arial" w:hAnsi="Arial"/>
          <w:sz w:val="19"/>
          <w:szCs w:val="19"/>
          <w:b w:val="1"/>
          <w:bCs w:val="1"/>
          <w:color w:val="auto"/>
        </w:rPr>
      </w:pPr>
      <w:r>
        <w:rPr>
          <w:rFonts w:ascii="Arial" w:cs="Arial" w:eastAsia="Arial" w:hAnsi="Arial"/>
          <w:sz w:val="22"/>
          <w:szCs w:val="22"/>
          <w:color w:val="auto"/>
        </w:rPr>
        <w:t>(b)The Plan shall terminate on, and no Common Stock Equivalents shall be granted or other deferrals made hereunder on or after, December 31, 2025.</w:t>
      </w:r>
    </w:p>
    <w:p>
      <w:pPr>
        <w:spacing w:after="0" w:line="174" w:lineRule="exact"/>
        <w:rPr>
          <w:rFonts w:ascii="Arial" w:cs="Arial" w:eastAsia="Arial" w:hAnsi="Arial"/>
          <w:sz w:val="19"/>
          <w:szCs w:val="19"/>
          <w:b w:val="1"/>
          <w:bCs w:val="1"/>
          <w:color w:val="auto"/>
        </w:rPr>
      </w:pPr>
    </w:p>
    <w:p>
      <w:pPr>
        <w:jc w:val="both"/>
        <w:ind w:left="1540" w:right="80" w:hanging="891"/>
        <w:spacing w:after="0" w:line="250" w:lineRule="auto"/>
        <w:rPr>
          <w:rFonts w:ascii="Arial" w:cs="Arial" w:eastAsia="Arial" w:hAnsi="Arial"/>
          <w:sz w:val="19"/>
          <w:szCs w:val="19"/>
          <w:b w:val="1"/>
          <w:bCs w:val="1"/>
          <w:color w:val="auto"/>
        </w:rPr>
      </w:pPr>
      <w:r>
        <w:rPr>
          <w:rFonts w:ascii="Arial" w:cs="Arial" w:eastAsia="Arial" w:hAnsi="Arial"/>
          <w:sz w:val="22"/>
          <w:szCs w:val="22"/>
          <w:color w:val="auto"/>
        </w:rPr>
        <w:t>(c)Shares of Common Stock distributed under the Plan and awards of Common Stock or Common Stock Equivalents hereunder shall be treated as awards under the LTIP and shall reduce the number of shares available for issuance under the LTIP in accordance with the terms of the LTIP and shall only be issued to the extent that Shares remain available for issuance under the LTIP.</w:t>
      </w:r>
    </w:p>
    <w:p>
      <w:pPr>
        <w:spacing w:after="0" w:line="182" w:lineRule="exact"/>
        <w:rPr>
          <w:rFonts w:ascii="Arial" w:cs="Arial" w:eastAsia="Arial" w:hAnsi="Arial"/>
          <w:sz w:val="19"/>
          <w:szCs w:val="19"/>
          <w:b w:val="1"/>
          <w:bCs w:val="1"/>
          <w:color w:val="auto"/>
        </w:rPr>
      </w:pPr>
    </w:p>
    <w:p>
      <w:pPr>
        <w:ind w:left="660" w:hanging="652"/>
        <w:spacing w:after="0"/>
        <w:tabs>
          <w:tab w:leader="none" w:pos="66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p>
    <w:p>
      <w:pPr>
        <w:spacing w:after="0" w:line="226"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Except as otherwise determined by the Board, each individual who is a Non-Employee Director of the Company shall be eligible to participate in the Plan.</w:t>
      </w:r>
    </w:p>
    <w:p>
      <w:pPr>
        <w:spacing w:after="0" w:line="169"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Cash Fees.</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8"/>
          <w:szCs w:val="18"/>
          <w:i w:val="1"/>
          <w:iCs w:val="1"/>
          <w:color w:val="auto"/>
        </w:rPr>
        <w:t>Types of Fees.</w:t>
      </w:r>
    </w:p>
    <w:p>
      <w:pPr>
        <w:spacing w:after="0" w:line="220"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In consideration of each Non-Employee Director’s service as a member of the Board, each Non-Employee Director may be eligible to receive as compensation an annual retainer fee (a “Cash Retainer”) and each Non-Employee Director that is the chairman of a committee is eligible to receive as compensation an annual committee chair retainer fee (“Committee Chair Cash Retainer”) and each Non-Employee Director that is a member of a committee other than the chairman is eligible to receive as compensation an annual committee retainer fee (“Committee Cash Retainer”). These amounts are subject to deferral under the Plan, as set forth herein.</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i w:val="1"/>
          <w:iCs w:val="1"/>
          <w:color w:val="auto"/>
        </w:rPr>
        <w:t>Election to Defer Cash Fees.</w:t>
      </w:r>
    </w:p>
    <w:p>
      <w:pPr>
        <w:spacing w:after="0" w:line="220" w:lineRule="exact"/>
        <w:rPr>
          <w:sz w:val="20"/>
          <w:szCs w:val="20"/>
          <w:color w:val="auto"/>
        </w:rPr>
      </w:pPr>
    </w:p>
    <w:p>
      <w:pPr>
        <w:ind w:left="1540" w:right="20" w:hanging="890"/>
        <w:spacing w:after="0" w:line="302" w:lineRule="auto"/>
        <w:rPr>
          <w:sz w:val="20"/>
          <w:szCs w:val="20"/>
          <w:color w:val="auto"/>
        </w:rPr>
      </w:pPr>
      <w:r>
        <w:rPr>
          <w:rFonts w:ascii="Arial" w:cs="Arial" w:eastAsia="Arial" w:hAnsi="Arial"/>
          <w:sz w:val="19"/>
          <w:szCs w:val="19"/>
          <w:color w:val="auto"/>
        </w:rPr>
        <w:t>(a)The Participant may elect that up to 100% (in increments of 1%) of the Participant’s Cash Retainer, Committee Chair Cash Retainer and Lead Committee Cash Retainer”), if applicable (collectively, the “Cash Fees”) shall be payable as compensation deferred under the Plan. With respect to a Participant’s election to defer all or a portion of the Cash Fees for a calendar year, such election shall be made prior to December 31st of the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20"/>
          </w:cols>
          <w:pgMar w:left="240" w:top="375" w:right="239" w:bottom="1440" w:gutter="0" w:footer="0" w:header="0"/>
        </w:sectPr>
      </w:pPr>
    </w:p>
    <w:bookmarkStart w:id="59" w:name="page60"/>
    <w:bookmarkEnd w:id="59"/>
    <w:p>
      <w:pPr>
        <w:ind w:left="100" w:right="40"/>
        <w:spacing w:after="0" w:line="261" w:lineRule="auto"/>
        <w:rPr>
          <w:sz w:val="20"/>
          <w:szCs w:val="20"/>
          <w:color w:val="auto"/>
        </w:rPr>
      </w:pPr>
      <w:r>
        <w:rPr>
          <w:rFonts w:ascii="Arial" w:cs="Arial" w:eastAsia="Arial" w:hAnsi="Arial"/>
          <w:sz w:val="21"/>
          <w:szCs w:val="21"/>
          <w:color w:val="auto"/>
        </w:rPr>
        <w:t>year preceding the year with respect to which such Cash Fees are earned (the “Election Cut-Off Date”), except that, in the case of a new Participant who has not previously been eligible to participate in another elective deferred compensation plan that would be treated as the same type of plan as the Plan for purposes of Section 409A of the Code, the Participant may make an election within 30 days after such Participant first becomes eligible to participate in accordance with Section 3, with respect to Cash Fees otherwise payable in the calendar year of the election, for services performed after the effective date of such election.</w:t>
      </w:r>
    </w:p>
    <w:p>
      <w:pPr>
        <w:spacing w:after="0" w:line="180" w:lineRule="exact"/>
        <w:rPr>
          <w:sz w:val="20"/>
          <w:szCs w:val="20"/>
          <w:color w:val="auto"/>
        </w:rPr>
      </w:pPr>
    </w:p>
    <w:p>
      <w:pPr>
        <w:ind w:left="360" w:right="40" w:hanging="904"/>
        <w:spacing w:after="0" w:line="294" w:lineRule="auto"/>
        <w:rPr>
          <w:sz w:val="20"/>
          <w:szCs w:val="20"/>
          <w:color w:val="auto"/>
        </w:rPr>
      </w:pPr>
      <w:r>
        <w:rPr>
          <w:rFonts w:ascii="Arial" w:cs="Arial" w:eastAsia="Arial" w:hAnsi="Arial"/>
          <w:sz w:val="19"/>
          <w:szCs w:val="19"/>
          <w:color w:val="auto"/>
        </w:rPr>
        <w:t xml:space="preserve">(b)The election described in Section 4.2(a) shall be made in writing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as applicable, or in such other form as the Board may prescribe from time to time, to the Board within the time specified herein. With respect to a Participant’s election to defer all or a portion of Cash Fees, such election shall be irrevocable as of the Election Cut-Off Date. Except as set forth above in this Section 4.2(b), elections described in Section 4.2(a) shall continue in effect for future years unless and until a new written election is made for future years. All deferrals under this Section 4.2 shall be fully vested.</w:t>
      </w:r>
    </w:p>
    <w:p>
      <w:pPr>
        <w:spacing w:after="0" w:line="150" w:lineRule="exact"/>
        <w:rPr>
          <w:sz w:val="20"/>
          <w:szCs w:val="20"/>
          <w:color w:val="auto"/>
        </w:rPr>
      </w:pPr>
    </w:p>
    <w:p>
      <w:pPr>
        <w:ind w:left="340" w:hanging="890"/>
        <w:spacing w:after="0" w:line="285" w:lineRule="auto"/>
        <w:rPr>
          <w:sz w:val="20"/>
          <w:szCs w:val="20"/>
          <w:color w:val="auto"/>
        </w:rPr>
      </w:pPr>
      <w:r>
        <w:rPr>
          <w:rFonts w:ascii="Arial" w:cs="Arial" w:eastAsia="Arial" w:hAnsi="Arial"/>
          <w:sz w:val="19"/>
          <w:szCs w:val="19"/>
          <w:color w:val="auto"/>
        </w:rPr>
        <w:t>(c)A Participant may elect, prior to earning Cash Fees, to defer such Cash Fees in the form of fixed-return credits. Upon such an election, the amount of the deferred Cash Fees shall not be paid currently but rather shall be credited to the Participant’s Account. Such credits shall be made when Cash Fees would otherwise have been paid to the Participant but for an election pursuant to Section 4.2(a). A separate subaccount under each Participant’s Account may in the discretion of the Board be established to record each year’s deferrals, and the credits and deductions with respect thereto. With respect to credits under this Section 4.2(c), earnings and losses shall accrue on the balance in the applicable Participant’s Account at the rate or rates specified in advance of the effective time of the applicability of such rate or rates, and from time to time, by the Board. As determined by the Board, such rate or rates may be a fixed rate, and may be established by reference to an index or indices, or may be a return on one or more specific investments or on a specific investment fund or funds (including, if and to the extent so provided by the Board, hypothetical investments selected by the Participant in accordance with procedures established by the Board). Earnings and losses shall be credited to Participants’ Accounts as of the end of each calendar quarter and, with respect to any particular Participant’s Account, shall continue to be credited thereto until all amounts are distributed with respect to the Participant’s Account in accordance with the Plan. Upon distribution, any accrued earnings shall be credited to the Participant’s Account and distributed therewith, and any accrued losses shall reduce the amount of distributions hereunder.</w:t>
      </w:r>
    </w:p>
    <w:p>
      <w:pPr>
        <w:spacing w:after="0" w:line="200" w:lineRule="exact"/>
        <w:rPr>
          <w:sz w:val="20"/>
          <w:szCs w:val="20"/>
          <w:color w:val="auto"/>
        </w:rPr>
      </w:pPr>
    </w:p>
    <w:p>
      <w:pPr>
        <w:spacing w:after="0" w:line="207"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220"/>
          </w:cols>
          <w:pgMar w:left="1440" w:top="375" w:right="239" w:bottom="1440" w:gutter="0" w:footer="0" w:header="0"/>
        </w:sectPr>
      </w:pPr>
    </w:p>
    <w:bookmarkStart w:id="60" w:name="page61"/>
    <w:bookmarkEnd w:id="60"/>
    <w:p>
      <w:pPr>
        <w:ind w:left="1560" w:right="40" w:hanging="904"/>
        <w:spacing w:after="0" w:line="297" w:lineRule="auto"/>
        <w:rPr>
          <w:sz w:val="20"/>
          <w:szCs w:val="20"/>
          <w:color w:val="auto"/>
        </w:rPr>
      </w:pPr>
      <w:r>
        <w:rPr>
          <w:rFonts w:ascii="Arial" w:cs="Arial" w:eastAsia="Arial" w:hAnsi="Arial"/>
          <w:sz w:val="19"/>
          <w:szCs w:val="19"/>
          <w:color w:val="auto"/>
        </w:rPr>
        <w:t>(d)A Participant may elect, one time per each 12-month period, to convert as of the end of the calendar quarter of the election, Common Stock Equivalents to Account credits, and vice-versa, in whole or in part (but, in the case of Common Stock Equivalents, only in whole Common Stock Equivalents) with credits and liquidation of Common Stock Equivalents to be effected based on the CSE Value as of the end of such calendar quarter, and credits and liquidation of Accounts to be effected based on Account values as of the end of such calendar quarter.</w:t>
      </w:r>
    </w:p>
    <w:p>
      <w:pPr>
        <w:spacing w:after="0" w:line="147" w:lineRule="exact"/>
        <w:rPr>
          <w:sz w:val="20"/>
          <w:szCs w:val="20"/>
          <w:color w:val="auto"/>
        </w:rPr>
      </w:pPr>
    </w:p>
    <w:p>
      <w:pPr>
        <w:ind w:left="1540" w:right="160" w:hanging="890"/>
        <w:spacing w:after="0" w:line="302" w:lineRule="auto"/>
        <w:rPr>
          <w:sz w:val="20"/>
          <w:szCs w:val="20"/>
          <w:color w:val="auto"/>
        </w:rPr>
      </w:pPr>
      <w:r>
        <w:rPr>
          <w:rFonts w:ascii="Arial" w:cs="Arial" w:eastAsia="Arial" w:hAnsi="Arial"/>
          <w:sz w:val="19"/>
          <w:szCs w:val="19"/>
          <w:color w:val="auto"/>
        </w:rPr>
        <w:t>(e)The establishment and maintenance of, and credits to and deductions from, the Participant’s Account shall be mere bookkeeping entries, and shall not vest in the Participant or his beneficiary any right, title or interest in or to any specific assets of the Company. A separate subaccount under each Participant’s Account shall be established to record each year’s deferrals, and the credits and deductions with respect thereto.</w:t>
      </w:r>
    </w:p>
    <w:p>
      <w:pPr>
        <w:spacing w:after="0" w:line="137"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Equity Awards.</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i w:val="1"/>
          <w:iCs w:val="1"/>
          <w:color w:val="auto"/>
        </w:rPr>
        <w:t>Awards of Common Stock Equivalents.</w:t>
      </w:r>
    </w:p>
    <w:p>
      <w:pPr>
        <w:spacing w:after="0" w:line="220"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Effective as of each annual meeting of stockholders of the Company at which directors are elected, each Non-Employee Director shall receive an annual award and the lead Non-Employee Director shall receive an additional annual award, in each case in the amount determined by the Board in advance (as of the 2016 annual meeting, Non-Employee Directors received an annual award of $125,000 and the lead Non-Employee Director received an additional award of $75,000, in each case payable in Common Stock Equivalents or restricted Shares which generally vest in 12 months at the next annual meeting (“Restricted Shares”), subject to continued service; provided that any cash or in-kind dividends declared with respect to unvested Restricted Shares shall be withheld by the Company and shall be paid to the Non-Employee Director, without interest, only when, and if, such Restricted Shares shall become vested). Unless a Non-Employee Director makes a timely election to receive Common Stock Equivalents, then the annual award shall be in Restricted Shares (for these purposes, the election must be made as of the same times and conditions , as set forth in Section 4.2(a) and 4.2(b) provided that references to Cash Fees shall refer to the annual awards).</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8"/>
          <w:szCs w:val="18"/>
          <w:i w:val="1"/>
          <w:iCs w:val="1"/>
          <w:color w:val="auto"/>
        </w:rPr>
        <w:t>Vesting.</w:t>
      </w:r>
    </w:p>
    <w:p>
      <w:pPr>
        <w:spacing w:after="0" w:line="220"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Unless otherwise provided by the Board in the applicable CSE Agreement, and subject to the following provisions of this Section 5.2, Common Stock Equivalents credited to a Participant under Section 5.1 will vest on the date of the next following annual meeting after the date of grant. Common Stock Equivalents credited pursuant to Section 5.1(a) shall be subject to the following vesting conditions:</w:t>
      </w:r>
    </w:p>
    <w:p>
      <w:pPr>
        <w:spacing w:after="0" w:line="188" w:lineRule="exact"/>
        <w:rPr>
          <w:sz w:val="20"/>
          <w:szCs w:val="20"/>
          <w:color w:val="auto"/>
        </w:rPr>
      </w:pPr>
    </w:p>
    <w:p>
      <w:pPr>
        <w:ind w:left="1300" w:hanging="644"/>
        <w:spacing w:after="0" w:line="263" w:lineRule="auto"/>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If a Non-Employee Director does not stand for re-election at an annual meeting at the request of the Company (other than a request made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400"/>
          </w:cols>
          <w:pgMar w:left="240" w:top="375" w:right="259" w:bottom="1440" w:gutter="0" w:footer="0" w:header="0"/>
        </w:sectPr>
      </w:pPr>
    </w:p>
    <w:bookmarkStart w:id="61" w:name="page62"/>
    <w:bookmarkEnd w:id="61"/>
    <w:p>
      <w:pPr>
        <w:ind w:left="1300" w:right="360"/>
        <w:spacing w:after="0" w:line="312" w:lineRule="auto"/>
        <w:rPr>
          <w:sz w:val="20"/>
          <w:szCs w:val="20"/>
          <w:color w:val="auto"/>
        </w:rPr>
      </w:pPr>
      <w:r>
        <w:rPr>
          <w:rFonts w:ascii="Arial" w:cs="Arial" w:eastAsia="Arial" w:hAnsi="Arial"/>
          <w:sz w:val="19"/>
          <w:szCs w:val="19"/>
          <w:color w:val="auto"/>
        </w:rPr>
        <w:t>following a breach by the Non-Employee Director of the Company’s Code of Conduct or Corporate Governance Principles), the vesting of all of the Common Stock Equivalents held by the Non-Employee Director will be accelerated to the date of the annual meeting at which the Non-Employee Director does not stand for re-election.</w:t>
      </w:r>
    </w:p>
    <w:p>
      <w:pPr>
        <w:spacing w:after="0" w:line="134" w:lineRule="exact"/>
        <w:rPr>
          <w:sz w:val="20"/>
          <w:szCs w:val="20"/>
          <w:color w:val="auto"/>
        </w:rPr>
      </w:pPr>
    </w:p>
    <w:p>
      <w:pPr>
        <w:ind w:left="1300" w:right="80" w:hanging="644"/>
        <w:spacing w:after="0" w:line="302" w:lineRule="auto"/>
        <w:tabs>
          <w:tab w:leader="none" w:pos="13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If a Non-Employee Director resigns of his or her own accord or otherwise ceases to serve as a Non-Employee Director before the end of a vesting period, then, except as otherwise provided herein or in the applicable CSE Agreement, the Non-Employee Director will retain Common Stock Equivalents that have vested through the date of resignation and will therewith forfeit all Common Stock Equivalents that have not then vested.</w:t>
      </w:r>
    </w:p>
    <w:p>
      <w:pPr>
        <w:spacing w:after="0" w:line="142" w:lineRule="exact"/>
        <w:rPr>
          <w:rFonts w:ascii="Arial" w:cs="Arial" w:eastAsia="Arial" w:hAnsi="Arial"/>
          <w:sz w:val="19"/>
          <w:szCs w:val="19"/>
          <w:color w:val="auto"/>
        </w:rPr>
      </w:pPr>
    </w:p>
    <w:p>
      <w:pPr>
        <w:ind w:left="1300" w:right="360" w:hanging="644"/>
        <w:spacing w:after="0" w:line="253" w:lineRule="auto"/>
        <w:tabs>
          <w:tab w:leader="none" w:pos="13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Notwithstanding any other provision of the Plan, if the Company determines that a Non-Employee Director has breached the Company’s Code of Conduct or Corporate Governance Principles, the Non-Employee Director will forfeit all Common Stock Equivalents that have not then vested.</w:t>
      </w:r>
    </w:p>
    <w:p>
      <w:pPr>
        <w:spacing w:after="0" w:line="185" w:lineRule="exact"/>
        <w:rPr>
          <w:rFonts w:ascii="Arial" w:cs="Arial" w:eastAsia="Arial" w:hAnsi="Arial"/>
          <w:sz w:val="22"/>
          <w:szCs w:val="22"/>
          <w:color w:val="auto"/>
        </w:rPr>
      </w:pPr>
    </w:p>
    <w:p>
      <w:pPr>
        <w:ind w:left="1300" w:hanging="644"/>
        <w:spacing w:after="0" w:line="253" w:lineRule="auto"/>
        <w:tabs>
          <w:tab w:leader="none" w:pos="13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vesting of Common Stock Equivalents will be accelerated if a Non-Employee Director ceases to serve as a Non-Employee Director by reason of death or Disability or upon a Change in Control and shall vest on the date of such cessation of service or Change in Control.</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Dividend Equivalent Rights.</w:t>
      </w:r>
    </w:p>
    <w:p>
      <w:pPr>
        <w:spacing w:after="0" w:line="226" w:lineRule="exact"/>
        <w:rPr>
          <w:sz w:val="20"/>
          <w:szCs w:val="20"/>
          <w:color w:val="auto"/>
        </w:rPr>
      </w:pPr>
    </w:p>
    <w:p>
      <w:pPr>
        <w:ind w:right="260" w:firstLine="648"/>
        <w:spacing w:after="0" w:line="292" w:lineRule="auto"/>
        <w:rPr>
          <w:sz w:val="20"/>
          <w:szCs w:val="20"/>
          <w:color w:val="auto"/>
        </w:rPr>
      </w:pPr>
      <w:r>
        <w:rPr>
          <w:rFonts w:ascii="Arial" w:cs="Arial" w:eastAsia="Arial" w:hAnsi="Arial"/>
          <w:sz w:val="19"/>
          <w:szCs w:val="19"/>
          <w:color w:val="auto"/>
        </w:rPr>
        <w:t>Non-Employee Directors will receive a dividend equivalent right in respect of any Common Stock Equivalents (whether from deferred Cash Fees or equity awards) credited under the Plan, which right consists of the right to have additional Common Stock Equivalents credited in respect of dividend distributions paid on a Share from time to time. The number of Common Stock Equivalents to be credited with respect to a dividend equivalent right shall be equal to (i) the amount of the dividend distribution paid on a Share divided by (ii) the Fair Market Value of a Share on the date such corresponding dividend distribution is made to stockholders of the Company, provided that such Common Stock Equivalent shall vest at such time as the underlying Common Stock Equivalent vests (and shall be forfeited if the underlying Common Stock Equivalent is forfeited).</w:t>
      </w:r>
    </w:p>
    <w:p>
      <w:pPr>
        <w:spacing w:after="0" w:line="145"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and Withdrawal.</w:t>
      </w:r>
    </w:p>
    <w:p>
      <w:pPr>
        <w:spacing w:after="0" w:line="225" w:lineRule="exact"/>
        <w:rPr>
          <w:rFonts w:ascii="Arial" w:cs="Arial" w:eastAsia="Arial" w:hAnsi="Arial"/>
          <w:sz w:val="22"/>
          <w:szCs w:val="22"/>
          <w:b w:val="1"/>
          <w:bCs w:val="1"/>
          <w:color w:val="auto"/>
        </w:rPr>
      </w:pPr>
    </w:p>
    <w:p>
      <w:pPr>
        <w:ind w:left="1540" w:right="140" w:hanging="891"/>
        <w:spacing w:after="0" w:line="302" w:lineRule="auto"/>
        <w:rPr>
          <w:rFonts w:ascii="Arial" w:cs="Arial" w:eastAsia="Arial" w:hAnsi="Arial"/>
          <w:sz w:val="22"/>
          <w:szCs w:val="22"/>
          <w:b w:val="1"/>
          <w:bCs w:val="1"/>
          <w:color w:val="auto"/>
        </w:rPr>
      </w:pPr>
      <w:r>
        <w:rPr>
          <w:rFonts w:ascii="Arial" w:cs="Arial" w:eastAsia="Arial" w:hAnsi="Arial"/>
          <w:sz w:val="19"/>
          <w:szCs w:val="19"/>
          <w:color w:val="auto"/>
        </w:rPr>
        <w:t>(a)Distributions with respect to (i) vested Common Stock Equivalents will be settled by the transfer of Common Stock to the Participant, with an aggregate amount of the Fair Market Value of any such Common Stock to equal the aggregate CSE Value of such Common Stock Equivalents on the date of such distribution; and (ii) cash deferrals from a Participant’s Account will be settled by a cash payment to the Participant, or, in the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420"/>
          </w:cols>
          <w:pgMar w:left="240" w:top="375" w:right="239" w:bottom="1440" w:gutter="0" w:footer="0" w:header="0"/>
        </w:sectPr>
      </w:pPr>
    </w:p>
    <w:bookmarkStart w:id="62" w:name="page63"/>
    <w:bookmarkEnd w:id="62"/>
    <w:p>
      <w:pPr>
        <w:ind w:left="100" w:right="20"/>
        <w:spacing w:after="0" w:line="246" w:lineRule="auto"/>
        <w:rPr>
          <w:sz w:val="20"/>
          <w:szCs w:val="20"/>
          <w:color w:val="auto"/>
        </w:rPr>
      </w:pPr>
      <w:r>
        <w:rPr>
          <w:rFonts w:ascii="Arial" w:cs="Arial" w:eastAsia="Arial" w:hAnsi="Arial"/>
          <w:sz w:val="22"/>
          <w:szCs w:val="22"/>
          <w:color w:val="auto"/>
        </w:rPr>
        <w:t>discretion of the Board, solely in Common Stock or in a combination of Common Stock and cash, with an aggregate amount of any cash and the Fair Market Value of any such Common Stock to equal the value of the Participant’s Account as of the Valuation Date coincident with or immediately prior to the date of such distribution. Unless otherwise elected, as provided below, such distributions shall be made as soon as practicable after the Regular Distribution Date by the transfer of Common Stock or cash, as applicable, to the Participant. Notwithstanding anything to the contrary contained in the Plan, in no event will Common Stock be used to settle distributions unless the Common Stock is available for such use pursuant to the rules of any stock exchange on which the Common Stock is then traded.</w:t>
      </w:r>
    </w:p>
    <w:p>
      <w:pPr>
        <w:spacing w:after="0" w:line="195" w:lineRule="exact"/>
        <w:rPr>
          <w:sz w:val="20"/>
          <w:szCs w:val="20"/>
          <w:color w:val="auto"/>
        </w:rPr>
      </w:pPr>
    </w:p>
    <w:p>
      <w:pPr>
        <w:ind w:left="360" w:right="20" w:hanging="904"/>
        <w:spacing w:after="0" w:line="247" w:lineRule="auto"/>
        <w:rPr>
          <w:sz w:val="20"/>
          <w:szCs w:val="20"/>
          <w:color w:val="auto"/>
        </w:rPr>
      </w:pPr>
      <w:r>
        <w:rPr>
          <w:rFonts w:ascii="Arial" w:cs="Arial" w:eastAsia="Arial" w:hAnsi="Arial"/>
          <w:sz w:val="22"/>
          <w:szCs w:val="22"/>
          <w:color w:val="auto"/>
        </w:rPr>
        <w:t>(b)The Regular Distribution Date with respect to a Participant is the earlier of (1) the January 1 coincident with or next following the earlier of (i) the Non-Employee Director’s ceasing to be a Non-Employee Director of the Company (or its successor in interest), and (ii) the Non-Employee Director’s death, and (2) a Change in Control (the “Regular Distribution Date”). For purposes of the Plan, a Non-Employee Director shall cease to be a Non-Employee Director of the Company to the extent such individual incurs a “separation from service” as defined in Treasury Regulation Section 1.409A-1(h).</w:t>
      </w:r>
    </w:p>
    <w:p>
      <w:pPr>
        <w:spacing w:after="0" w:line="194" w:lineRule="exact"/>
        <w:rPr>
          <w:sz w:val="20"/>
          <w:szCs w:val="20"/>
          <w:color w:val="auto"/>
        </w:rPr>
      </w:pPr>
    </w:p>
    <w:p>
      <w:pPr>
        <w:ind w:left="340" w:hanging="890"/>
        <w:spacing w:after="0" w:line="261" w:lineRule="auto"/>
        <w:rPr>
          <w:sz w:val="20"/>
          <w:szCs w:val="20"/>
          <w:color w:val="auto"/>
        </w:rPr>
      </w:pPr>
      <w:r>
        <w:rPr>
          <w:rFonts w:ascii="Arial" w:cs="Arial" w:eastAsia="Arial" w:hAnsi="Arial"/>
          <w:sz w:val="21"/>
          <w:szCs w:val="21"/>
          <w:color w:val="auto"/>
        </w:rPr>
        <w:t>(c)A Non-Employee Director will be permitted, prior to the beginning of the applicable annual period with respect to any Cash Fees to elect to receive distributions at times other than the Regular Distribution Date. Each such election will apply to all Common Stock Equivalents and credits to a Participant’s Account after the election is made, unless the Non-Employee Director specifically elects otherwise. Elections to defer distributions to a time or times after the Regular Distribution Date will be permitted only to the extent such election is accepted by the Board and otherwise made in compliance with Sections 4.2(a) and 4.2(b).</w:t>
      </w:r>
    </w:p>
    <w:p>
      <w:pPr>
        <w:spacing w:after="0" w:line="180" w:lineRule="exact"/>
        <w:rPr>
          <w:sz w:val="20"/>
          <w:szCs w:val="20"/>
          <w:color w:val="auto"/>
        </w:rPr>
      </w:pPr>
    </w:p>
    <w:p>
      <w:pPr>
        <w:ind w:left="360" w:right="180" w:hanging="904"/>
        <w:spacing w:after="0" w:line="290" w:lineRule="auto"/>
        <w:rPr>
          <w:sz w:val="20"/>
          <w:szCs w:val="20"/>
          <w:color w:val="auto"/>
        </w:rPr>
      </w:pPr>
      <w:r>
        <w:rPr>
          <w:rFonts w:ascii="Arial" w:cs="Arial" w:eastAsia="Arial" w:hAnsi="Arial"/>
          <w:sz w:val="19"/>
          <w:szCs w:val="19"/>
          <w:color w:val="auto"/>
        </w:rPr>
        <w:t>(d)After a Common Stock Equivalent is awarded or Cash Fees are deferred to a Participant’s Account, the Non-Employee Director will have a one-time right to make a new distribution election with respect thereto. Any new election must (A) be effective at least one year after the election is made, or, in the case of payments to commence at a specific time, be made at least one year before the first scheduled payment and (B) defer the commencement of distributions for at least five years. Each such new election will apply to all vested Common Stock Equivalents and credits to the deferral Account (other than distributions that do not satisfy the timing requirements of the foregoing sentence), unless the Non-Employee Director specifically elects otherwise. The time at which distributions commence must be at least five years after such an election is made.</w:t>
      </w:r>
    </w:p>
    <w:p>
      <w:pPr>
        <w:spacing w:after="0" w:line="394"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180"/>
          </w:cols>
          <w:pgMar w:left="1440" w:top="375" w:right="279" w:bottom="1440" w:gutter="0" w:footer="0" w:header="0"/>
        </w:sectPr>
      </w:pPr>
    </w:p>
    <w:bookmarkStart w:id="63" w:name="page64"/>
    <w:bookmarkEnd w:id="63"/>
    <w:p>
      <w:pPr>
        <w:ind w:left="1300" w:right="260"/>
        <w:spacing w:after="0" w:line="263" w:lineRule="auto"/>
        <w:rPr>
          <w:sz w:val="20"/>
          <w:szCs w:val="20"/>
          <w:color w:val="auto"/>
        </w:rPr>
      </w:pPr>
      <w:r>
        <w:rPr>
          <w:rFonts w:ascii="Arial" w:cs="Arial" w:eastAsia="Arial" w:hAnsi="Arial"/>
          <w:sz w:val="22"/>
          <w:szCs w:val="22"/>
          <w:color w:val="auto"/>
        </w:rPr>
        <w:t>Elections to defer distributions to a time or times after the Regular Distribution Date will be permitted only to the extent the election is accepted by the Board.</w:t>
      </w:r>
    </w:p>
    <w:p>
      <w:pPr>
        <w:spacing w:after="0" w:line="175" w:lineRule="exact"/>
        <w:rPr>
          <w:sz w:val="20"/>
          <w:szCs w:val="20"/>
          <w:color w:val="auto"/>
        </w:rPr>
      </w:pPr>
    </w:p>
    <w:p>
      <w:pPr>
        <w:ind w:left="1540" w:right="80" w:hanging="890"/>
        <w:spacing w:after="0" w:line="292" w:lineRule="auto"/>
        <w:rPr>
          <w:sz w:val="20"/>
          <w:szCs w:val="20"/>
          <w:color w:val="auto"/>
        </w:rPr>
      </w:pPr>
      <w:r>
        <w:rPr>
          <w:rFonts w:ascii="Arial" w:cs="Arial" w:eastAsia="Arial" w:hAnsi="Arial"/>
          <w:sz w:val="19"/>
          <w:szCs w:val="19"/>
          <w:color w:val="auto"/>
        </w:rPr>
        <w:t>(e)All distributions in respect of Common Stock Equivalents and Participant Accounts will be made no later than 45 days after the amounts become eligible for settlement as provided in this Section 7; provided, however, that, in lieu of providing a single delivery of Common Stock or a single sum of cash, a Non-Employee Director may elect to have the aggregate amounts paid in substantially equal annual installments over a period not to exceed 10 years. (The amount of each installment shall be determined without regard to the possibility of earnings and losses subsequent to such installment.) Any such election must be made (and may be changed only) within the time frame for making distribution elections as described in Section 7(c) or (d), as applicable.</w:t>
      </w:r>
    </w:p>
    <w:p>
      <w:pPr>
        <w:spacing w:after="0" w:line="151" w:lineRule="exact"/>
        <w:rPr>
          <w:sz w:val="20"/>
          <w:szCs w:val="20"/>
          <w:color w:val="auto"/>
        </w:rPr>
      </w:pPr>
    </w:p>
    <w:p>
      <w:pPr>
        <w:ind w:left="1520" w:hanging="863"/>
        <w:spacing w:after="0" w:line="290" w:lineRule="auto"/>
        <w:rPr>
          <w:sz w:val="20"/>
          <w:szCs w:val="20"/>
          <w:color w:val="auto"/>
        </w:rPr>
      </w:pPr>
      <w:r>
        <w:rPr>
          <w:rFonts w:ascii="Arial" w:cs="Arial" w:eastAsia="Arial" w:hAnsi="Arial"/>
          <w:sz w:val="19"/>
          <w:szCs w:val="19"/>
          <w:color w:val="auto"/>
        </w:rPr>
        <w:t>(f)Notwithstanding the foregoing provisions of this Section 7, a Participant may receive any amounts deferred by the Participant in the event of an “Unforeseeable Emergency.” For these purposes, an “Unforeseeable Emergency,” as determined by the Board in its sole discretion, is a severe financial hardship to the Participant resulting from a sudden and unexpected illness or accident of the Participant or “dependent,” as defined in Section 152(a) of the Code, of the Participant, loss of the Participant’s property due to casualty, or other similar extraordinary and unforeseeable circumstances arising as a result of events beyond the control of the Participant. The circumstances that will constitute an Unforeseeable Emergency will depend upon the facts of each case, but, in any case, payment may not be made to the extent that such hardship is or may be relieved:</w:t>
      </w:r>
    </w:p>
    <w:p>
      <w:pPr>
        <w:spacing w:after="0" w:line="157" w:lineRule="exact"/>
        <w:rPr>
          <w:sz w:val="20"/>
          <w:szCs w:val="20"/>
          <w:color w:val="auto"/>
        </w:rPr>
      </w:pPr>
    </w:p>
    <w:p>
      <w:pPr>
        <w:ind w:left="1960" w:hanging="655"/>
        <w:spacing w:after="0"/>
        <w:tabs>
          <w:tab w:leader="none" w:pos="19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through reimbursement or compensation by insurance or otherwise,</w:t>
      </w:r>
    </w:p>
    <w:p>
      <w:pPr>
        <w:spacing w:after="0" w:line="219" w:lineRule="exact"/>
        <w:rPr>
          <w:rFonts w:ascii="Arial" w:cs="Arial" w:eastAsia="Arial" w:hAnsi="Arial"/>
          <w:sz w:val="22"/>
          <w:szCs w:val="22"/>
          <w:color w:val="auto"/>
        </w:rPr>
      </w:pPr>
    </w:p>
    <w:p>
      <w:pPr>
        <w:ind w:left="1960" w:right="280" w:hanging="655"/>
        <w:spacing w:after="0" w:line="263" w:lineRule="auto"/>
        <w:tabs>
          <w:tab w:leader="none" w:pos="19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by liquidation of the Participant’s assets, to the extent the liquidation of such assets would not itself cause severe financial hardship, or</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by future cessation of the making of additional deferrals.</w:t>
      </w:r>
    </w:p>
    <w:p>
      <w:pPr>
        <w:spacing w:after="0" w:line="220" w:lineRule="exact"/>
        <w:rPr>
          <w:sz w:val="20"/>
          <w:szCs w:val="20"/>
          <w:color w:val="auto"/>
        </w:rPr>
      </w:pPr>
    </w:p>
    <w:p>
      <w:pPr>
        <w:ind w:right="540"/>
        <w:spacing w:after="0" w:line="253" w:lineRule="auto"/>
        <w:rPr>
          <w:sz w:val="20"/>
          <w:szCs w:val="20"/>
          <w:color w:val="auto"/>
        </w:rPr>
      </w:pPr>
      <w:r>
        <w:rPr>
          <w:rFonts w:ascii="Arial" w:cs="Arial" w:eastAsia="Arial" w:hAnsi="Arial"/>
          <w:sz w:val="22"/>
          <w:szCs w:val="22"/>
          <w:color w:val="auto"/>
        </w:rPr>
        <w:t>Without limitation, the need to send a Participant’s child to college or the desire to purchase a home shall not constitute an Unforeseeable Emergency. Distributions of amounts because of an Unforeseeable Emergency shall be permitted to the extent reasonably needed to satisfy the emergency need.</w:t>
      </w:r>
    </w:p>
    <w:p>
      <w:pPr>
        <w:spacing w:after="0" w:line="186" w:lineRule="exact"/>
        <w:rPr>
          <w:sz w:val="20"/>
          <w:szCs w:val="20"/>
          <w:color w:val="auto"/>
        </w:rPr>
      </w:pPr>
    </w:p>
    <w:p>
      <w:pPr>
        <w:ind w:left="1560" w:right="20" w:hanging="904"/>
        <w:spacing w:after="0" w:line="263" w:lineRule="auto"/>
        <w:rPr>
          <w:sz w:val="20"/>
          <w:szCs w:val="20"/>
          <w:color w:val="auto"/>
        </w:rPr>
      </w:pPr>
      <w:r>
        <w:rPr>
          <w:rFonts w:ascii="Arial" w:cs="Arial" w:eastAsia="Arial" w:hAnsi="Arial"/>
          <w:sz w:val="22"/>
          <w:szCs w:val="22"/>
          <w:color w:val="auto"/>
        </w:rPr>
        <w:t>(g)Notwithstanding the foregoing provisions of this Section 7, in the event of a Change in Control, the Regular Distribution Date shall be the date of</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60"/>
          </w:cols>
          <w:pgMar w:left="240" w:top="375" w:right="299" w:bottom="1440" w:gutter="0" w:footer="0" w:header="0"/>
        </w:sectPr>
      </w:pPr>
    </w:p>
    <w:bookmarkStart w:id="64" w:name="page65"/>
    <w:bookmarkEnd w:id="64"/>
    <w:p>
      <w:pPr>
        <w:ind w:left="1300" w:right="40"/>
        <w:spacing w:after="0" w:line="263" w:lineRule="auto"/>
        <w:rPr>
          <w:sz w:val="20"/>
          <w:szCs w:val="20"/>
          <w:color w:val="auto"/>
        </w:rPr>
      </w:pPr>
      <w:r>
        <w:rPr>
          <w:rFonts w:ascii="Arial" w:cs="Arial" w:eastAsia="Arial" w:hAnsi="Arial"/>
          <w:sz w:val="21"/>
          <w:szCs w:val="21"/>
          <w:color w:val="auto"/>
        </w:rPr>
        <w:t>such Change in Control and all amounts due with respect to Common Stock Equivalents and Accounts to a Participant hereunder shall be paid as soon as practicable (but in no event more than 30 days) after such Change in Control, unless the Board permits such Participant to elect otherwise and the Participant so elects in accordance with procedures established by the Board, and any such election is made within the time frame for making distribution elections as described in Section 7(c) or (d), as applicable.</w:t>
      </w:r>
    </w:p>
    <w:p>
      <w:pPr>
        <w:spacing w:after="0" w:line="170"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Tax Withholding.</w:t>
      </w:r>
    </w:p>
    <w:p>
      <w:pPr>
        <w:spacing w:after="0" w:line="226" w:lineRule="exact"/>
        <w:rPr>
          <w:sz w:val="20"/>
          <w:szCs w:val="20"/>
          <w:color w:val="auto"/>
        </w:rPr>
      </w:pPr>
    </w:p>
    <w:p>
      <w:pPr>
        <w:ind w:right="60" w:firstLine="648"/>
        <w:spacing w:after="0" w:line="286" w:lineRule="auto"/>
        <w:rPr>
          <w:sz w:val="20"/>
          <w:szCs w:val="20"/>
          <w:color w:val="auto"/>
        </w:rPr>
      </w:pPr>
      <w:r>
        <w:rPr>
          <w:rFonts w:ascii="Arial" w:cs="Arial" w:eastAsia="Arial" w:hAnsi="Arial"/>
          <w:sz w:val="19"/>
          <w:szCs w:val="19"/>
          <w:color w:val="auto"/>
        </w:rPr>
        <w:t>Each Non-Employee Director is generally responsible for his or her own tax obligations as a result of the operation of the Plan. However, in the event the Company is required to withhold any taxes in connection with credits of Common Stock Equivalents (including any related dividend equivalent rights) or any deferred Cash Fees or related payments hereunder, the Company may in its sole discretion determine the method and amount of withholding, including, if payment with respect to the Common Stock Equivalents is made in Common Stock, (i) requiring the Participant to pay to the Company, at the time such payment is made to such Participant, the amount that the Board deems necessary to satisfy the Company’s obligation to withhold federal, state or local income or other taxes incurred by reason of such payment or (ii) withholding Shares from the Shares otherwise to be received by the Participant in order to satisfy the liability for such withholding taxes. In the event that the Board chooses the method described in clause (ii) above, the number of Shares so withheld shall have an aggregate Fair Market Value on the applicable Valuation Date sufficient to satisfy the applicable withholding taxes. Notwithstanding anything contained in the Plan to the contrary, the Participant’s satisfaction of any tax-withholding requirements imposed by the Board shall be a condition precedent to the Company’s obligation as may otherwise be provided hereunder to make any payments or other distributions with respect to Common Stock Equivalents and deferred Cash Fees, and the failure of the Participant to satisfy such requirements with respect to the payment in respect of any Common Stock Equivalent or deferred Cash Fee shall cause the applicable Common Stock Equivalent or deferred Cash Fee and any rights relating thereto and to be forfeited.</w:t>
      </w:r>
    </w:p>
    <w:p>
      <w:pPr>
        <w:spacing w:after="0" w:line="154"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of Plan.</w:t>
      </w:r>
    </w:p>
    <w:p>
      <w:pPr>
        <w:spacing w:after="0" w:line="226"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The Plan shall be administered by the Board. The Board shall have authority to (i) determine the number of Common Stock Equivalents to be credited to each Participant; (ii) determine the amount of Cash Fees to be paid to each Participant; (iii) determine or impose conditions on such Common Stock Equivalents and deferred Cash Fees under the Plan as it may deem appropriate and (iv)provide for the forms of awards to be utilized in connection with the Plan. The Participant shall take whatever additional actions and execute whatever additional documents the Board may in its reasonable judgment deem necessary or advisable in order to carry out or effect one or more of the obligations or restrictions imposed on the Participant pursuant to the express provisions of the Plan. Notwithstanding the foregoing, the Board may delegate any or all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20"/>
          </w:cols>
          <w:pgMar w:left="240" w:top="375" w:right="239" w:bottom="1440" w:gutter="0" w:footer="0" w:header="0"/>
        </w:sectPr>
      </w:pPr>
    </w:p>
    <w:bookmarkStart w:id="65" w:name="page66"/>
    <w:bookmarkEnd w:id="65"/>
    <w:p>
      <w:pPr>
        <w:ind w:right="620"/>
        <w:spacing w:after="0" w:line="263" w:lineRule="auto"/>
        <w:rPr>
          <w:sz w:val="20"/>
          <w:szCs w:val="20"/>
          <w:color w:val="auto"/>
        </w:rPr>
      </w:pPr>
      <w:r>
        <w:rPr>
          <w:rFonts w:ascii="Arial" w:cs="Arial" w:eastAsia="Arial" w:hAnsi="Arial"/>
          <w:sz w:val="22"/>
          <w:szCs w:val="22"/>
          <w:color w:val="auto"/>
        </w:rPr>
        <w:t>of its powers under the Plan to a committee of the Board, and to the extent of such delegation, such committee shall have the powers and authority otherwise applicable with respect to the Board hereunder.</w:t>
      </w:r>
    </w:p>
    <w:p>
      <w:pPr>
        <w:spacing w:after="0" w:line="169"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Regulations and Approvals.</w:t>
      </w:r>
    </w:p>
    <w:p>
      <w:pPr>
        <w:spacing w:after="0" w:line="225" w:lineRule="exact"/>
        <w:rPr>
          <w:rFonts w:ascii="Arial" w:cs="Arial" w:eastAsia="Arial" w:hAnsi="Arial"/>
          <w:sz w:val="22"/>
          <w:szCs w:val="22"/>
          <w:b w:val="1"/>
          <w:bCs w:val="1"/>
          <w:color w:val="auto"/>
        </w:rPr>
      </w:pPr>
    </w:p>
    <w:p>
      <w:pPr>
        <w:ind w:left="1540" w:right="880" w:hanging="891"/>
        <w:spacing w:after="0" w:line="343" w:lineRule="auto"/>
        <w:rPr>
          <w:rFonts w:ascii="Arial" w:cs="Arial" w:eastAsia="Arial" w:hAnsi="Arial"/>
          <w:sz w:val="22"/>
          <w:szCs w:val="22"/>
          <w:b w:val="1"/>
          <w:bCs w:val="1"/>
          <w:color w:val="auto"/>
        </w:rPr>
      </w:pPr>
      <w:r>
        <w:rPr>
          <w:rFonts w:ascii="Arial" w:cs="Arial" w:eastAsia="Arial" w:hAnsi="Arial"/>
          <w:sz w:val="19"/>
          <w:szCs w:val="19"/>
          <w:color w:val="auto"/>
        </w:rPr>
        <w:t>(a)The Board may make such changes to the Plan as may be necessary or appropriate to comply with the rules and regulations of any government authority or to obtain tax benefits applicable to deferred equity units.</w:t>
      </w:r>
    </w:p>
    <w:p>
      <w:pPr>
        <w:spacing w:after="0" w:line="104" w:lineRule="exact"/>
        <w:rPr>
          <w:rFonts w:ascii="Arial" w:cs="Arial" w:eastAsia="Arial" w:hAnsi="Arial"/>
          <w:sz w:val="22"/>
          <w:szCs w:val="22"/>
          <w:b w:val="1"/>
          <w:bCs w:val="1"/>
          <w:color w:val="auto"/>
        </w:rPr>
      </w:pPr>
    </w:p>
    <w:p>
      <w:pPr>
        <w:ind w:left="1560" w:right="60" w:hanging="905"/>
        <w:spacing w:after="0" w:line="246" w:lineRule="auto"/>
        <w:rPr>
          <w:rFonts w:ascii="Arial" w:cs="Arial" w:eastAsia="Arial" w:hAnsi="Arial"/>
          <w:sz w:val="22"/>
          <w:szCs w:val="22"/>
          <w:b w:val="1"/>
          <w:bCs w:val="1"/>
          <w:color w:val="auto"/>
        </w:rPr>
      </w:pPr>
      <w:r>
        <w:rPr>
          <w:rFonts w:ascii="Arial" w:cs="Arial" w:eastAsia="Arial" w:hAnsi="Arial"/>
          <w:sz w:val="22"/>
          <w:szCs w:val="22"/>
          <w:color w:val="auto"/>
        </w:rPr>
        <w:t>(b)Each credit of Common Stock Equivalents (or issuance of Shares in respect thereof) is subject to the requirement that, if at any time the Board determines, in its discretion, that the listing, registration or qualification of Shares issuable pursuant to the Plan is required by any securities exchange or under any state or federal law, or the consent or approval of any governmental regulatory body or of the stockholders of the Company is necessary or desirable as a condition of, or in connection with, the issuance of Common Stock Equivalents or Shares, no payment shall be made, or Common Stock Equivalents or Shares issued, in whole or in part, unless listing, registration, qualification, consent or approval has been effected or obtained free of any conditions in a manner acceptable to the Board.</w:t>
      </w:r>
    </w:p>
    <w:p>
      <w:pPr>
        <w:spacing w:after="0" w:line="194" w:lineRule="exact"/>
        <w:rPr>
          <w:rFonts w:ascii="Arial" w:cs="Arial" w:eastAsia="Arial" w:hAnsi="Arial"/>
          <w:sz w:val="22"/>
          <w:szCs w:val="22"/>
          <w:b w:val="1"/>
          <w:bCs w:val="1"/>
          <w:color w:val="auto"/>
        </w:rPr>
      </w:pPr>
    </w:p>
    <w:p>
      <w:pPr>
        <w:ind w:left="1540" w:hanging="891"/>
        <w:spacing w:after="0" w:line="246" w:lineRule="auto"/>
        <w:rPr>
          <w:rFonts w:ascii="Arial" w:cs="Arial" w:eastAsia="Arial" w:hAnsi="Arial"/>
          <w:sz w:val="22"/>
          <w:szCs w:val="22"/>
          <w:b w:val="1"/>
          <w:bCs w:val="1"/>
          <w:color w:val="auto"/>
        </w:rPr>
      </w:pPr>
      <w:r>
        <w:rPr>
          <w:rFonts w:ascii="Arial" w:cs="Arial" w:eastAsia="Arial" w:hAnsi="Arial"/>
          <w:sz w:val="22"/>
          <w:szCs w:val="22"/>
          <w:color w:val="auto"/>
        </w:rPr>
        <w:t>(c)In the event that the disposition of stock acquired pursuant to the Plan is not covered by a then current registration statement under the Securities Act, and is not otherwise exempt from such registration, such Shares shall be restricted against transfer to the extent required under the Securities Act, and the Board may require any individual receiving Shares pursuant to the Plan, as a condition precedent to receipt of such Shares, to represent to the Company in writing that such Shares will be disposed of only if registered for sale under the Securities Act or if there is an available exemption for such disposition, and may provide for a legending of such Shares to that effect.</w:t>
      </w:r>
    </w:p>
    <w:p>
      <w:pPr>
        <w:spacing w:after="0" w:line="191" w:lineRule="exact"/>
        <w:rPr>
          <w:rFonts w:ascii="Arial" w:cs="Arial" w:eastAsia="Arial" w:hAnsi="Arial"/>
          <w:sz w:val="22"/>
          <w:szCs w:val="22"/>
          <w:b w:val="1"/>
          <w:bCs w:val="1"/>
          <w:color w:val="auto"/>
        </w:rPr>
      </w:pPr>
    </w:p>
    <w:p>
      <w:pPr>
        <w:ind w:left="660" w:hanging="652"/>
        <w:spacing w:after="0"/>
        <w:tabs>
          <w:tab w:leader="none" w:pos="6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 and Amendments.</w:t>
      </w:r>
    </w:p>
    <w:p>
      <w:pPr>
        <w:spacing w:after="0" w:line="225" w:lineRule="exact"/>
        <w:rPr>
          <w:rFonts w:ascii="Arial" w:cs="Arial" w:eastAsia="Arial" w:hAnsi="Arial"/>
          <w:sz w:val="22"/>
          <w:szCs w:val="22"/>
          <w:b w:val="1"/>
          <w:bCs w:val="1"/>
          <w:color w:val="auto"/>
        </w:rPr>
      </w:pPr>
    </w:p>
    <w:p>
      <w:pPr>
        <w:ind w:left="1540" w:right="360" w:hanging="891"/>
        <w:spacing w:after="0" w:line="260" w:lineRule="auto"/>
        <w:rPr>
          <w:rFonts w:ascii="Arial" w:cs="Arial" w:eastAsia="Arial" w:hAnsi="Arial"/>
          <w:sz w:val="22"/>
          <w:szCs w:val="22"/>
          <w:b w:val="1"/>
          <w:bCs w:val="1"/>
          <w:color w:val="auto"/>
        </w:rPr>
      </w:pPr>
      <w:r>
        <w:rPr>
          <w:rFonts w:ascii="Arial" w:cs="Arial" w:eastAsia="Arial" w:hAnsi="Arial"/>
          <w:sz w:val="21"/>
          <w:szCs w:val="21"/>
          <w:color w:val="auto"/>
        </w:rPr>
        <w:t>(a)The Board may make such rules and regulations and establish such procedures for the administration of the Plan as it deems appropriate. Without limiting the generality of the foregoing, the Board may (i) determine the extent, if any, to which Cash Fees or equity awards shall be forfeited (whether or not such forfeiture is expressly contemplated hereunder); (ii) interpret the Plan, elections made under the Plan, and the Common Stock Equivalents hereunder, with such interpretations to be conclusive and binding on all persons and otherwise accorded the maximum deference permitted by law; and (iii) take any other actions and make any other determinations or decisions that it deems necessary or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20"/>
          </w:cols>
          <w:pgMar w:left="240" w:top="375" w:right="239" w:bottom="1440" w:gutter="0" w:footer="0" w:header="0"/>
        </w:sectPr>
      </w:pPr>
    </w:p>
    <w:bookmarkStart w:id="66" w:name="page67"/>
    <w:bookmarkEnd w:id="66"/>
    <w:p>
      <w:pPr>
        <w:ind w:left="1292"/>
        <w:spacing w:after="0" w:line="297" w:lineRule="auto"/>
        <w:rPr>
          <w:sz w:val="20"/>
          <w:szCs w:val="20"/>
          <w:color w:val="auto"/>
        </w:rPr>
      </w:pPr>
      <w:r>
        <w:rPr>
          <w:rFonts w:ascii="Arial" w:cs="Arial" w:eastAsia="Arial" w:hAnsi="Arial"/>
          <w:sz w:val="19"/>
          <w:szCs w:val="19"/>
          <w:color w:val="auto"/>
        </w:rPr>
        <w:t>appropriate in connection with the Plan or the administration or interpretation thereof. Unless otherwise expressly provided hereunder, the Board, with respect to any Participant’s Account, may exercise its discretion hereunder at the time of such credit or thereafter. In the event of any dispute or disagreement as to the interpretation of the Plan or of any rule, regulation or procedure, or as to any question, right or obligation arising from or related to the Plan, the decision of the Board shall be final and binding upon all persons.</w:t>
      </w:r>
    </w:p>
    <w:p>
      <w:pPr>
        <w:spacing w:after="0" w:line="147" w:lineRule="exact"/>
        <w:rPr>
          <w:sz w:val="20"/>
          <w:szCs w:val="20"/>
          <w:color w:val="auto"/>
        </w:rPr>
      </w:pPr>
    </w:p>
    <w:p>
      <w:pPr>
        <w:ind w:left="1552" w:hanging="904"/>
        <w:spacing w:after="0" w:line="292" w:lineRule="auto"/>
        <w:rPr>
          <w:sz w:val="20"/>
          <w:szCs w:val="20"/>
          <w:color w:val="auto"/>
        </w:rPr>
      </w:pPr>
      <w:r>
        <w:rPr>
          <w:rFonts w:ascii="Arial" w:cs="Arial" w:eastAsia="Arial" w:hAnsi="Arial"/>
          <w:sz w:val="19"/>
          <w:szCs w:val="19"/>
          <w:color w:val="auto"/>
        </w:rPr>
        <w:t>(b)The Board may amend, alter or terminate the Plan as it shall deem advisable, except that no amendment, alteration or termination shall be made which would adversely affect a Participant with respect to deferred Cash Fees or equity awards previously credited without the Participant’s consent, except for amendments made to cause the Plan to comply with applicable laws (including, without limitation, Section 409A of the Code); provided that the Board may not make any amendment to the Plan that would, if such amendment were not approved by the holders of the Common Stock, cause the Plan to fail to comply with any requirement of applicable law or regulation, unless and until the approval of the holders of such Common Stock is obtained.</w:t>
      </w:r>
    </w:p>
    <w:p>
      <w:pPr>
        <w:spacing w:after="0" w:line="145" w:lineRule="exact"/>
        <w:rPr>
          <w:sz w:val="20"/>
          <w:szCs w:val="20"/>
          <w:color w:val="auto"/>
        </w:rPr>
      </w:pPr>
    </w:p>
    <w:p>
      <w:pPr>
        <w:ind w:left="652" w:hanging="652"/>
        <w:spacing w:after="0"/>
        <w:tabs>
          <w:tab w:leader="none" w:pos="652"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Assignment and Alienation; No Funding; Etc.</w:t>
      </w:r>
    </w:p>
    <w:p>
      <w:pPr>
        <w:spacing w:after="0" w:line="225" w:lineRule="exact"/>
        <w:rPr>
          <w:rFonts w:ascii="Arial" w:cs="Arial" w:eastAsia="Arial" w:hAnsi="Arial"/>
          <w:sz w:val="22"/>
          <w:szCs w:val="22"/>
          <w:b w:val="1"/>
          <w:bCs w:val="1"/>
          <w:color w:val="auto"/>
        </w:rPr>
      </w:pPr>
    </w:p>
    <w:p>
      <w:pPr>
        <w:ind w:left="1532" w:hanging="891"/>
        <w:spacing w:after="0" w:line="294" w:lineRule="auto"/>
        <w:rPr>
          <w:rFonts w:ascii="Arial" w:cs="Arial" w:eastAsia="Arial" w:hAnsi="Arial"/>
          <w:sz w:val="22"/>
          <w:szCs w:val="22"/>
          <w:b w:val="1"/>
          <w:bCs w:val="1"/>
          <w:color w:val="auto"/>
        </w:rPr>
      </w:pPr>
      <w:r>
        <w:rPr>
          <w:rFonts w:ascii="Arial" w:cs="Arial" w:eastAsia="Arial" w:hAnsi="Arial"/>
          <w:sz w:val="19"/>
          <w:szCs w:val="19"/>
          <w:color w:val="auto"/>
        </w:rPr>
        <w:t>(a)Rights or benefits with respect to Cash Fees or equity awards credited to a Participant’s Account under the Plan (including any related dividend equivalent rights) shall not be subject in any manner to anticipation, alienation, sale, transfer, assignment, pledge, encumbrance, attachment, charge, garnishment, execution, or levy of any kind, either voluntary or involuntary, prior to actually being received by the person entitled to the benefit under the terms of the Plan; and any attempt to anticipate, alienate, sell, transfer, assign, pledge, encumber, attach, charge or otherwise dispose of any right or benefits payable hereunder shall be void.</w:t>
      </w:r>
    </w:p>
    <w:p>
      <w:pPr>
        <w:spacing w:after="0" w:line="149" w:lineRule="exact"/>
        <w:rPr>
          <w:rFonts w:ascii="Arial" w:cs="Arial" w:eastAsia="Arial" w:hAnsi="Arial"/>
          <w:sz w:val="22"/>
          <w:szCs w:val="22"/>
          <w:b w:val="1"/>
          <w:bCs w:val="1"/>
          <w:color w:val="auto"/>
        </w:rPr>
      </w:pPr>
    </w:p>
    <w:p>
      <w:pPr>
        <w:ind w:left="1552" w:right="100" w:hanging="905"/>
        <w:spacing w:after="0" w:line="246" w:lineRule="auto"/>
        <w:rPr>
          <w:rFonts w:ascii="Arial" w:cs="Arial" w:eastAsia="Arial" w:hAnsi="Arial"/>
          <w:sz w:val="22"/>
          <w:szCs w:val="22"/>
          <w:b w:val="1"/>
          <w:bCs w:val="1"/>
          <w:color w:val="auto"/>
        </w:rPr>
      </w:pPr>
      <w:r>
        <w:rPr>
          <w:rFonts w:ascii="Arial" w:cs="Arial" w:eastAsia="Arial" w:hAnsi="Arial"/>
          <w:sz w:val="22"/>
          <w:szCs w:val="22"/>
          <w:color w:val="auto"/>
        </w:rPr>
        <w:t>(b)A Participant may designate in writing, on forms to be prescribed by the Board, a beneficiary or beneficiaries to receive any payments payable after his or her death and may amend or revoke such designation at any time. If no beneficiary designation is in effect at the time of a Participant’s death, payments hereunder shall be made to the Participant’s estate. If a Participant dies: (i) with a vested Common Stock Equivalent, such Common Stock Equivalent shall be settled and Shares or the CSE Value, as applicable, with respect to such Common Stock Equivalents paid; (ii) any payments deferred pursuant to an election under Section 4 shall be accelerated and paid; or (iii) any other amounts in the Participant’s Account then payable to the Participant shall be paid, as soon as</w:t>
      </w: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92"/>
          </w:cols>
          <w:pgMar w:left="248" w:top="375" w:right="259" w:bottom="1440" w:gutter="0" w:footer="0" w:header="0"/>
        </w:sectPr>
      </w:pPr>
    </w:p>
    <w:bookmarkStart w:id="67" w:name="page68"/>
    <w:bookmarkEnd w:id="67"/>
    <w:p>
      <w:pPr>
        <w:ind w:left="1292"/>
        <w:spacing w:after="0"/>
        <w:rPr>
          <w:sz w:val="20"/>
          <w:szCs w:val="20"/>
          <w:color w:val="auto"/>
        </w:rPr>
      </w:pPr>
      <w:r>
        <w:rPr>
          <w:rFonts w:ascii="Arial" w:cs="Arial" w:eastAsia="Arial" w:hAnsi="Arial"/>
          <w:sz w:val="19"/>
          <w:szCs w:val="19"/>
          <w:color w:val="auto"/>
        </w:rPr>
        <w:t>practicable (but no later than 90 days) after the date of death to such Participant’s beneficiary or estate, as applicable.</w:t>
      </w:r>
    </w:p>
    <w:p>
      <w:pPr>
        <w:spacing w:after="0" w:line="254" w:lineRule="exact"/>
        <w:rPr>
          <w:sz w:val="20"/>
          <w:szCs w:val="20"/>
          <w:color w:val="auto"/>
        </w:rPr>
      </w:pPr>
    </w:p>
    <w:p>
      <w:pPr>
        <w:ind w:left="1532" w:right="20" w:hanging="890"/>
        <w:spacing w:after="0" w:line="286" w:lineRule="auto"/>
        <w:rPr>
          <w:sz w:val="20"/>
          <w:szCs w:val="20"/>
          <w:color w:val="auto"/>
        </w:rPr>
      </w:pPr>
      <w:r>
        <w:rPr>
          <w:rFonts w:ascii="Arial" w:cs="Arial" w:eastAsia="Arial" w:hAnsi="Arial"/>
          <w:sz w:val="19"/>
          <w:szCs w:val="19"/>
          <w:color w:val="auto"/>
        </w:rPr>
        <w:t>(c)Common Stock Equivalents and the Accounts are solely a device for the measurement and determination of the amounts to be paid to a Participant under the Plan. Each Participant’s right in the Common Stock Equivalents (including any related dividend equivalent rights) and the Accounts is limited to the right to receive payment, if any, as may herein be provided. The Common Stock Equivalents do not constitute Common Stock and any other credits to a Participant’s Account hereunder shall not be treated as (or as giving rise to) property or as a trust fund of any kind; provided, however, that the Company may establish a mere bookkeeping reserve to meet its obligations hereunder or a trust or other funding vehicle that would not cause the Plan to be deemed to be funded for tax purposes. The right of any Participant to receive payments by virtue of participation in the Plan shall be no greater than the right of any unsecured general creditor of the Company. Nothing contained in the Plan, and no action taken pursuant to the provisions of the Plan (including without limitation Section 4.2(d)), shall create or shall be construed to create a trust of any kind, or a fiduciary relationship between the Company or its officers or the Board, on the one hand, and the Participant, the Company or any other person or entity, on the other. Nothing contained in the Plan shall be construed to give any Participant any rights with respect to Shares or any ownership interest in the Company. Without limiting Section 6, no provision of the Plan shall be interpreted to confer upon any Participant any voting, dividend or derivative or other similar rights with respect to any Common Stock Equivalent.</w:t>
      </w:r>
    </w:p>
    <w:p>
      <w:pPr>
        <w:spacing w:after="0" w:line="200" w:lineRule="exact"/>
        <w:rPr>
          <w:sz w:val="20"/>
          <w:szCs w:val="20"/>
          <w:color w:val="auto"/>
        </w:rPr>
      </w:pPr>
    </w:p>
    <w:p>
      <w:pPr>
        <w:spacing w:after="0" w:line="216" w:lineRule="exact"/>
        <w:rPr>
          <w:sz w:val="20"/>
          <w:szCs w:val="20"/>
          <w:color w:val="auto"/>
        </w:rPr>
      </w:pPr>
    </w:p>
    <w:p>
      <w:pPr>
        <w:ind w:left="1552" w:right="520" w:hanging="904"/>
        <w:spacing w:after="0" w:line="263" w:lineRule="auto"/>
        <w:rPr>
          <w:sz w:val="20"/>
          <w:szCs w:val="20"/>
          <w:color w:val="auto"/>
        </w:rPr>
      </w:pPr>
      <w:r>
        <w:rPr>
          <w:rFonts w:ascii="Arial" w:cs="Arial" w:eastAsia="Arial" w:hAnsi="Arial"/>
          <w:sz w:val="22"/>
          <w:szCs w:val="22"/>
          <w:color w:val="auto"/>
        </w:rPr>
        <w:t>(d)Common Stock distributed hereunder, if any, may, without limitation, be treasury Shares or authorized but unissued Shares but in each case shall count against the share limit in the LTIP.</w:t>
      </w:r>
    </w:p>
    <w:p>
      <w:pPr>
        <w:spacing w:after="0" w:line="169" w:lineRule="exact"/>
        <w:rPr>
          <w:sz w:val="20"/>
          <w:szCs w:val="20"/>
          <w:color w:val="auto"/>
        </w:rPr>
      </w:pPr>
    </w:p>
    <w:p>
      <w:pPr>
        <w:ind w:left="652" w:hanging="652"/>
        <w:spacing w:after="0"/>
        <w:tabs>
          <w:tab w:leader="none" w:pos="652"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Changes in Capital Structure.</w:t>
      </w:r>
    </w:p>
    <w:p>
      <w:pPr>
        <w:spacing w:after="0" w:line="225" w:lineRule="exact"/>
        <w:rPr>
          <w:rFonts w:ascii="Arial" w:cs="Arial" w:eastAsia="Arial" w:hAnsi="Arial"/>
          <w:sz w:val="22"/>
          <w:szCs w:val="22"/>
          <w:b w:val="1"/>
          <w:bCs w:val="1"/>
          <w:color w:val="auto"/>
        </w:rPr>
      </w:pPr>
    </w:p>
    <w:p>
      <w:pPr>
        <w:ind w:left="1532" w:right="20" w:hanging="891"/>
        <w:spacing w:after="0" w:line="246" w:lineRule="auto"/>
        <w:rPr>
          <w:rFonts w:ascii="Arial" w:cs="Arial" w:eastAsia="Arial" w:hAnsi="Arial"/>
          <w:sz w:val="22"/>
          <w:szCs w:val="22"/>
          <w:b w:val="1"/>
          <w:bCs w:val="1"/>
          <w:color w:val="auto"/>
        </w:rPr>
      </w:pPr>
      <w:r>
        <w:rPr>
          <w:rFonts w:ascii="Arial" w:cs="Arial" w:eastAsia="Arial" w:hAnsi="Arial"/>
          <w:sz w:val="22"/>
          <w:szCs w:val="22"/>
          <w:color w:val="auto"/>
        </w:rPr>
        <w:t>(a)If (i) the Company or its Subsidiaries shall at any time be involved in a merger, consolidation, dissolution, liquidation, reorganization, exchange of shares, sale of all or substantially all of the assets or stock of the Company or its Subsidiaries or a transaction similar thereto, (ii) any stock dividend, stock split, reverse stock split, stock combination, reclassification, recapitalization or other similar change in the capital structure of the Company or its Subsidiaries, or any distribution to holders of Common Stock other than cash dividends, shall occur or (iii) any other event shall occur which in the judgment of the Board necessitates action by way of adjusting the terms of the outstanding Common Stock Equivalents, then the Board may take any such action as in its judgment shall be necessary</w:t>
      </w: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412"/>
          </w:cols>
          <w:pgMar w:left="248" w:top="375" w:right="239" w:bottom="1440" w:gutter="0" w:footer="0" w:header="0"/>
        </w:sectPr>
      </w:pPr>
    </w:p>
    <w:bookmarkStart w:id="68" w:name="page69"/>
    <w:bookmarkEnd w:id="68"/>
    <w:p>
      <w:pPr>
        <w:ind w:left="1300"/>
        <w:spacing w:after="0" w:line="302" w:lineRule="auto"/>
        <w:rPr>
          <w:sz w:val="20"/>
          <w:szCs w:val="20"/>
          <w:color w:val="auto"/>
        </w:rPr>
      </w:pPr>
      <w:r>
        <w:rPr>
          <w:rFonts w:ascii="Arial" w:cs="Arial" w:eastAsia="Arial" w:hAnsi="Arial"/>
          <w:sz w:val="19"/>
          <w:szCs w:val="19"/>
          <w:color w:val="auto"/>
        </w:rPr>
        <w:t>to preserve the Participants’ rights in their respective Common Stock Equivalents substantially proportionate to the rights existing in such Common Stock Equivalents prior to such event, including, without limitation, adjustments in the number of Common Stock Equivalents credited, CSE Value, dividend equivalent rights, and the number and kind of shares to be distributed in respect of Common Stock Equivalents (as applicable).</w:t>
      </w:r>
    </w:p>
    <w:p>
      <w:pPr>
        <w:spacing w:after="0" w:line="143" w:lineRule="exact"/>
        <w:rPr>
          <w:sz w:val="20"/>
          <w:szCs w:val="20"/>
          <w:color w:val="auto"/>
        </w:rPr>
      </w:pPr>
    </w:p>
    <w:p>
      <w:pPr>
        <w:ind w:left="1560" w:right="80" w:hanging="904"/>
        <w:spacing w:after="0" w:line="263" w:lineRule="auto"/>
        <w:rPr>
          <w:sz w:val="20"/>
          <w:szCs w:val="20"/>
          <w:color w:val="auto"/>
        </w:rPr>
      </w:pPr>
      <w:r>
        <w:rPr>
          <w:rFonts w:ascii="Arial" w:cs="Arial" w:eastAsia="Arial" w:hAnsi="Arial"/>
          <w:sz w:val="22"/>
          <w:szCs w:val="22"/>
          <w:color w:val="auto"/>
        </w:rPr>
        <w:t>(b)The judgment of the Board with respect to any matter referred to in this Section 13 shall be conclusive and binding upon each Participant without the need for any amendment to the Plan.</w:t>
      </w:r>
    </w:p>
    <w:p>
      <w:pPr>
        <w:spacing w:after="0" w:line="169"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26"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All notices under the Plan shall be in writing, and if to the Company, shall be delivered to the Board or mailed to its principal office, addressed to the attention of the Board; and if to the Participant, shall be delivered personally or mailed to the Participant at the address appearing in the records of the Company. Such addresses may be changed at any time by written notice to the other party given in accordance with this Section 14.</w:t>
      </w:r>
    </w:p>
    <w:p>
      <w:pPr>
        <w:spacing w:after="0" w:line="182"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No Rights to Service.</w:t>
      </w:r>
    </w:p>
    <w:p>
      <w:pPr>
        <w:spacing w:after="0" w:line="226" w:lineRule="exact"/>
        <w:rPr>
          <w:sz w:val="20"/>
          <w:szCs w:val="20"/>
          <w:color w:val="auto"/>
        </w:rPr>
      </w:pPr>
    </w:p>
    <w:p>
      <w:pPr>
        <w:ind w:right="220" w:firstLine="648"/>
        <w:spacing w:after="0" w:line="312" w:lineRule="auto"/>
        <w:rPr>
          <w:sz w:val="20"/>
          <w:szCs w:val="20"/>
          <w:color w:val="auto"/>
        </w:rPr>
      </w:pPr>
      <w:r>
        <w:rPr>
          <w:rFonts w:ascii="Arial" w:cs="Arial" w:eastAsia="Arial" w:hAnsi="Arial"/>
          <w:sz w:val="19"/>
          <w:szCs w:val="19"/>
          <w:color w:val="auto"/>
        </w:rPr>
        <w:t>Nothing in the Plan, in amounts credited to a Participant’s Account, or in Common Stock Equivalents credited pursuant to the Plan shall confer on any individual any right to continue in the service of the Company or its Subsidiaries or interfere in any way with the right of the Company or its Subsidiaries and its stockholders to terminate the individual’s service at any time.</w:t>
      </w:r>
    </w:p>
    <w:p>
      <w:pPr>
        <w:spacing w:after="0" w:line="128"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Exculpation and Indemnification.</w:t>
      </w:r>
    </w:p>
    <w:p>
      <w:pPr>
        <w:spacing w:after="0" w:line="226" w:lineRule="exact"/>
        <w:rPr>
          <w:sz w:val="20"/>
          <w:szCs w:val="20"/>
          <w:color w:val="auto"/>
        </w:rPr>
      </w:pPr>
    </w:p>
    <w:p>
      <w:pPr>
        <w:ind w:right="180" w:firstLine="648"/>
        <w:spacing w:after="0" w:line="292" w:lineRule="auto"/>
        <w:rPr>
          <w:sz w:val="20"/>
          <w:szCs w:val="20"/>
          <w:color w:val="auto"/>
        </w:rPr>
      </w:pPr>
      <w:r>
        <w:rPr>
          <w:rFonts w:ascii="Arial" w:cs="Arial" w:eastAsia="Arial" w:hAnsi="Arial"/>
          <w:sz w:val="19"/>
          <w:szCs w:val="19"/>
          <w:color w:val="auto"/>
        </w:rPr>
        <w:t>The Company shall indemnify and hold harmless the members of the Board and the members of the Committee from and against any and all liabilities, costs and expenses incurred by such persons as a result of any act or omission to act in connection with the performance of such person’s duties, responsibilities and obligations under the Plan, to the maximum extent permitted by law, other than such liabilities, costs and expenses as may result from the gross negligence, bad faith, breach of the Company’s Code of Ethics, willful misconduct or criminal acts of such persons. Notwithstanding the foregoing, a director or committee member who initiates a claim, action suit or proceeding (collectively a “Proceeding”) shall not be entitled to indemnification pursuant to this Section 16 unless such indemnification is approved in advance in writing by the Company.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420"/>
          </w:cols>
          <w:pgMar w:left="240" w:top="375" w:right="239" w:bottom="1440" w:gutter="0" w:footer="0" w:header="0"/>
        </w:sectPr>
      </w:pPr>
    </w:p>
    <w:bookmarkStart w:id="69" w:name="page70"/>
    <w:bookmarkEnd w:id="69"/>
    <w:p>
      <w:pPr>
        <w:ind w:left="660" w:hanging="652"/>
        <w:spacing w:after="0"/>
        <w:tabs>
          <w:tab w:leader="none" w:pos="6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No Personal Liability.</w:t>
      </w:r>
    </w:p>
    <w:p>
      <w:pPr>
        <w:spacing w:after="0" w:line="226"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To the fullest extent permitted by law, no person (including any member of the Committee or any present or former employee of the Company) shall be personally liable for any act done or omitted to be done in good faith in the administration of the Plan.</w:t>
      </w:r>
    </w:p>
    <w:p>
      <w:pPr>
        <w:spacing w:after="0" w:line="180"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w:t>
      </w:r>
    </w:p>
    <w:p>
      <w:pPr>
        <w:spacing w:after="0" w:line="226" w:lineRule="exact"/>
        <w:rPr>
          <w:sz w:val="20"/>
          <w:szCs w:val="20"/>
          <w:color w:val="auto"/>
        </w:rPr>
      </w:pPr>
    </w:p>
    <w:p>
      <w:pPr>
        <w:ind w:right="100" w:firstLine="648"/>
        <w:spacing w:after="0" w:line="343" w:lineRule="auto"/>
        <w:rPr>
          <w:sz w:val="20"/>
          <w:szCs w:val="20"/>
          <w:color w:val="auto"/>
        </w:rPr>
      </w:pPr>
      <w:r>
        <w:rPr>
          <w:rFonts w:ascii="Arial" w:cs="Arial" w:eastAsia="Arial" w:hAnsi="Arial"/>
          <w:sz w:val="19"/>
          <w:szCs w:val="19"/>
          <w:color w:val="auto"/>
        </w:rPr>
        <w:t>The Plan is binding on all persons entitled to benefits hereunder and their respective heirs and legal representatives, on the Board and its successor, and on the Company and its successor, whether by way of merger, consolidation, purchase or otherwise.</w:t>
      </w:r>
    </w:p>
    <w:p>
      <w:pPr>
        <w:spacing w:after="0" w:line="99"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226" w:lineRule="exact"/>
        <w:rPr>
          <w:sz w:val="20"/>
          <w:szCs w:val="20"/>
          <w:color w:val="auto"/>
        </w:rPr>
      </w:pPr>
    </w:p>
    <w:p>
      <w:pPr>
        <w:ind w:right="300" w:firstLine="648"/>
        <w:spacing w:after="0" w:line="343" w:lineRule="auto"/>
        <w:rPr>
          <w:sz w:val="20"/>
          <w:szCs w:val="20"/>
          <w:color w:val="auto"/>
        </w:rPr>
      </w:pPr>
      <w:r>
        <w:rPr>
          <w:rFonts w:ascii="Arial" w:cs="Arial" w:eastAsia="Arial" w:hAnsi="Arial"/>
          <w:sz w:val="19"/>
          <w:szCs w:val="19"/>
          <w:color w:val="auto"/>
        </w:rPr>
        <w:t>If any provision of the Plan shall be held illegal or invalid for any reason, such illegality or invalidity shall not affect the remaining provisions of the Plan, and the Plan shall be enforced as if the invalid provisions had never been set forth herein</w:t>
      </w:r>
    </w:p>
    <w:p>
      <w:pPr>
        <w:spacing w:after="0" w:line="99"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Headings.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headings contained in this Plan are for reference purposes only and shall not affect the meaning or interpretation of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196"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226"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This Plan shall be governed by and construed in accordance with the laws of the state of New York without regard to any principles of conflicts of law which could cause the application of the laws of any jurisdiction other than the state of New York. Except as otherwise specifically provided herein, each Participant (as a condition of participation in the Plan) and the Company each hereby irrevocably submits to the exclusive jurisdiction of the United States District Court for the Southern District of New York (or, if subject matter jurisdiction in that court is not available, in any state court located within the Borough of Manhattan, New York) over any dispute arising out of or relating to the Plan. The Participants and the Company each hereby waives, to the fullest extent permitted by applicable law, any right it may have to a trial by jury in respect of any suit, action or proceeding arising out of or relating to the Plan.</w:t>
      </w:r>
    </w:p>
    <w:p>
      <w:pPr>
        <w:spacing w:after="0" w:line="178"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Gender and Number.</w:t>
      </w:r>
    </w:p>
    <w:p>
      <w:pPr>
        <w:spacing w:after="0" w:line="226"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Words denoting the masculine gender includes the feminine gender, and the singular shall include the plural and the plural shall include the singular wherever required by the context.</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340"/>
          </w:cols>
          <w:pgMar w:left="240" w:top="369" w:right="319" w:bottom="1440" w:gutter="0" w:footer="0" w:header="0"/>
        </w:sectPr>
      </w:pPr>
    </w:p>
    <w:bookmarkStart w:id="70" w:name="page71"/>
    <w:bookmarkEnd w:id="70"/>
    <w:p>
      <w:pPr>
        <w:ind w:left="660" w:hanging="652"/>
        <w:spacing w:after="0"/>
        <w:tabs>
          <w:tab w:leader="none" w:pos="66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 of the Code.</w:t>
      </w:r>
    </w:p>
    <w:p>
      <w:pPr>
        <w:spacing w:after="0" w:line="226"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Notwithstanding any provision of the Plan to the contrary, it is intended that the provisions of this Plan comply with or be exempt from Section 409A of the Code, and all provisions of this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this Plan or any other plan maintained by the Company (including any taxes and penalties under Section 409A of the Code), and neither the Company nor any Affiliate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a separate payment. To the extent a Participant would otherwise be entitled to any payment or benefit under this Plan (i) which constitutes a “deferral of compensation” which would be due or payable on account of the Participant’s “separation from service” (within the meaning of Section 409A of the Code and as determined by the Committee), (ii) that is subject to Section 409A of the Code and (iii) if paid during the six (6) months beginning on the date of termination of the Participant’s employment would be subject to the Section 409A additional tax because the Participant is a “specified employee” (within the meaning of Section 409A of the Code and as determined by the Committee), then if a six month delay is required to avoid the Section 409A additional tax the payment or benefit will be paid or provided to the Participant on the first day following the six (6) month anniversary of the Participant’s termination of employment or, if earlier, upon his death.</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400"/>
          </w:cols>
          <w:pgMar w:left="240" w:top="369" w:right="25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4, 2017</w:t>
            </w:r>
          </w:p>
        </w:tc>
        <w:tc>
          <w:tcPr>
            <w:tcW w:w="7780" w:type="dxa"/>
            <w:vAlign w:val="bottom"/>
            <w:gridSpan w:val="3"/>
          </w:tcPr>
          <w:p>
            <w:pPr>
              <w:ind w:left="2120"/>
              <w:spacing w:after="0"/>
              <w:rPr>
                <w:sz w:val="20"/>
                <w:szCs w:val="20"/>
                <w:color w:val="auto"/>
              </w:rPr>
            </w:pPr>
            <w:r>
              <w:rPr>
                <w:rFonts w:ascii="Arial" w:cs="Arial" w:eastAsia="Arial" w:hAnsi="Arial"/>
                <w:sz w:val="18"/>
                <w:szCs w:val="18"/>
                <w:color w:val="auto"/>
              </w:rPr>
              <w:t>By:    /s/ JAY SUGARMAN</w:t>
            </w: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6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Geoffrey G. Jervis, certify that:</w:t>
      </w:r>
    </w:p>
    <w:p>
      <w:pPr>
        <w:spacing w:after="0" w:line="171" w:lineRule="exact"/>
        <w:rPr>
          <w:sz w:val="20"/>
          <w:szCs w:val="20"/>
          <w:color w:val="auto"/>
        </w:rPr>
      </w:pPr>
    </w:p>
    <w:p>
      <w:pPr>
        <w:ind w:left="520" w:hanging="188"/>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 GEOFFREY G. JERVIS</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4, 2017</w:t>
            </w:r>
          </w:p>
        </w:tc>
        <w:tc>
          <w:tcPr>
            <w:tcW w:w="3380" w:type="dxa"/>
            <w:vAlign w:val="bottom"/>
            <w:gridSpan w:val="2"/>
          </w:tcPr>
          <w:p>
            <w:pPr>
              <w:ind w:left="2120"/>
              <w:spacing w:after="0"/>
              <w:rPr>
                <w:sz w:val="20"/>
                <w:szCs w:val="20"/>
                <w:color w:val="auto"/>
              </w:rPr>
            </w:pPr>
            <w:r>
              <w:rPr>
                <w:rFonts w:ascii="Arial" w:cs="Arial" w:eastAsia="Arial" w:hAnsi="Arial"/>
                <w:sz w:val="18"/>
                <w:szCs w:val="18"/>
                <w:color w:val="auto"/>
              </w:rPr>
              <w:t>By:</w:t>
            </w:r>
          </w:p>
        </w:tc>
        <w:tc>
          <w:tcPr>
            <w:tcW w:w="4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Geoffrey G. Jervis</w:t>
            </w: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 financial and</w:t>
            </w: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accounting officer)</w:t>
            </w:r>
          </w:p>
        </w:tc>
        <w:tc>
          <w:tcPr>
            <w:tcW w:w="0" w:type="dxa"/>
            <w:vAlign w:val="bottom"/>
          </w:tcPr>
          <w:p>
            <w:pPr>
              <w:spacing w:after="0"/>
              <w:rPr>
                <w:sz w:val="1"/>
                <w:szCs w:val="1"/>
                <w:color w:val="auto"/>
              </w:rPr>
            </w:pPr>
          </w:p>
        </w:tc>
      </w:tr>
      <w:tr>
        <w:trPr>
          <w:trHeight w:val="108"/>
        </w:trPr>
        <w:tc>
          <w:tcPr>
            <w:tcW w:w="36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2"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Executive Officer of iStar Inc. (the "Company"), hereby certifies on the date hereof, pursuant to 18 U.S.C. 1350, as adopted pursuant to Section 906 of The Sarbanes-Oxley Act of 2002, that the Quarterly Report on Form 10-Q for the quarter ended March 31, 2017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4, 2017</w:t>
            </w:r>
          </w:p>
        </w:tc>
        <w:tc>
          <w:tcPr>
            <w:tcW w:w="7780" w:type="dxa"/>
            <w:vAlign w:val="bottom"/>
            <w:gridSpan w:val="3"/>
          </w:tcPr>
          <w:p>
            <w:pPr>
              <w:ind w:left="2120"/>
              <w:spacing w:after="0"/>
              <w:rPr>
                <w:sz w:val="20"/>
                <w:szCs w:val="20"/>
                <w:color w:val="auto"/>
              </w:rPr>
            </w:pPr>
            <w:r>
              <w:rPr>
                <w:rFonts w:ascii="Arial" w:cs="Arial" w:eastAsia="Arial" w:hAnsi="Arial"/>
                <w:sz w:val="18"/>
                <w:szCs w:val="18"/>
                <w:color w:val="auto"/>
              </w:rPr>
              <w:t>By:    /s/ JAY SUGARMAN</w:t>
            </w: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6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Financial Officer of iStar Inc. (the "Company"), hereby certifies on the date hereof, pursuant to 18 U.S.C. 1350, as adopted pursuant to Section 906 of The Sarbanes-Oxley Act of 2002, that the Quarterly Report on Form 10-Q for the quarter ended March 31, 2017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8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3120" w:type="dxa"/>
            <w:vAlign w:val="bottom"/>
            <w:vMerge w:val="restart"/>
          </w:tcPr>
          <w:p>
            <w:pPr>
              <w:ind w:left="100"/>
              <w:spacing w:after="0"/>
              <w:rPr>
                <w:sz w:val="20"/>
                <w:szCs w:val="20"/>
                <w:color w:val="auto"/>
              </w:rPr>
            </w:pPr>
            <w:r>
              <w:rPr>
                <w:rFonts w:ascii="Arial" w:cs="Arial" w:eastAsia="Arial" w:hAnsi="Arial"/>
                <w:sz w:val="18"/>
                <w:szCs w:val="18"/>
                <w:color w:val="auto"/>
              </w:rPr>
              <w:t>May 4, 2017</w:t>
            </w:r>
          </w:p>
        </w:tc>
        <w:tc>
          <w:tcPr>
            <w:tcW w:w="2660" w:type="dxa"/>
            <w:vAlign w:val="bottom"/>
            <w:vMerge w:val="restart"/>
          </w:tcPr>
          <w:p>
            <w:pPr>
              <w:ind w:left="212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 GEOFFREY G. JERVIS</w:t>
            </w:r>
          </w:p>
        </w:tc>
        <w:tc>
          <w:tcPr>
            <w:tcW w:w="0" w:type="dxa"/>
            <w:vAlign w:val="bottom"/>
          </w:tcPr>
          <w:p>
            <w:pPr>
              <w:spacing w:after="0"/>
              <w:rPr>
                <w:sz w:val="1"/>
                <w:szCs w:val="1"/>
                <w:color w:val="auto"/>
              </w:rPr>
            </w:pPr>
          </w:p>
        </w:tc>
      </w:tr>
      <w:tr>
        <w:trPr>
          <w:trHeight w:val="108"/>
        </w:trPr>
        <w:tc>
          <w:tcPr>
            <w:tcW w:w="480" w:type="dxa"/>
            <w:vAlign w:val="bottom"/>
            <w:vMerge w:val="continue"/>
          </w:tcPr>
          <w:p>
            <w:pPr>
              <w:spacing w:after="0"/>
              <w:rPr>
                <w:sz w:val="9"/>
                <w:szCs w:val="9"/>
                <w:color w:val="auto"/>
              </w:rPr>
            </w:pPr>
          </w:p>
        </w:tc>
        <w:tc>
          <w:tcPr>
            <w:tcW w:w="3120" w:type="dxa"/>
            <w:vAlign w:val="bottom"/>
            <w:vMerge w:val="continue"/>
          </w:tcPr>
          <w:p>
            <w:pPr>
              <w:spacing w:after="0"/>
              <w:rPr>
                <w:sz w:val="9"/>
                <w:szCs w:val="9"/>
                <w:color w:val="auto"/>
              </w:rPr>
            </w:pPr>
          </w:p>
        </w:tc>
        <w:tc>
          <w:tcPr>
            <w:tcW w:w="266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2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Geoffrey G. Jervis</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0" w:type="dxa"/>
            <w:vAlign w:val="bottom"/>
          </w:tcPr>
          <w:p>
            <w:pPr>
              <w:ind w:left="220"/>
              <w:spacing w:after="0" w:line="164" w:lineRule="exact"/>
              <w:rPr>
                <w:sz w:val="20"/>
                <w:szCs w:val="20"/>
                <w:color w:val="auto"/>
              </w:rPr>
            </w:pPr>
            <w:r>
              <w:rPr>
                <w:rFonts w:ascii="Arial" w:cs="Arial" w:eastAsia="Arial" w:hAnsi="Arial"/>
                <w:sz w:val="18"/>
                <w:szCs w:val="18"/>
                <w:i w:val="1"/>
                <w:iCs w:val="1"/>
                <w:color w:val="auto"/>
              </w:rPr>
              <w:t>Chief Financial Officer (principal financial and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1620" w:type="dxa"/>
            <w:vAlign w:val="bottom"/>
            <w:vMerge w:val="restart"/>
          </w:tcPr>
          <w:p>
            <w:pPr>
              <w:ind w:left="260"/>
              <w:spacing w:after="0"/>
              <w:rPr>
                <w:sz w:val="20"/>
                <w:szCs w:val="20"/>
                <w:color w:val="auto"/>
              </w:rPr>
            </w:pPr>
            <w:r>
              <w:rPr>
                <w:rFonts w:ascii="Arial" w:cs="Arial" w:eastAsia="Arial" w:hAnsi="Arial"/>
                <w:sz w:val="18"/>
                <w:szCs w:val="18"/>
                <w:i w:val="1"/>
                <w:iCs w:val="1"/>
                <w:color w:val="auto"/>
                <w:w w:val="91"/>
              </w:rPr>
              <w:t>accounting officer)</w:t>
            </w:r>
          </w:p>
        </w:tc>
        <w:tc>
          <w:tcPr>
            <w:tcW w:w="0" w:type="dxa"/>
            <w:vAlign w:val="bottom"/>
          </w:tcPr>
          <w:p>
            <w:pPr>
              <w:spacing w:after="0"/>
              <w:rPr>
                <w:sz w:val="1"/>
                <w:szCs w:val="1"/>
                <w:color w:val="auto"/>
              </w:rPr>
            </w:pPr>
          </w:p>
        </w:tc>
      </w:tr>
      <w:tr>
        <w:trPr>
          <w:trHeight w:val="92"/>
        </w:trPr>
        <w:tc>
          <w:tcPr>
            <w:tcW w:w="66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o"/>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decimal"/>
      <w:start w:val="2"/>
    </w:lvl>
  </w:abstractNum>
  <w:abstractNum w:abstractNumId="37">
    <w:nsid w:val="579478FE"/>
    <w:multiLevelType w:val="hybridMultilevel"/>
    <w:lvl w:ilvl="0">
      <w:lvlJc w:val="left"/>
      <w:lvlText w:val="%1."/>
      <w:numFmt w:val="decimal"/>
      <w:start w:val="4"/>
    </w:lvl>
  </w:abstractNum>
  <w:abstractNum w:abstractNumId="38">
    <w:nsid w:val="749ABB43"/>
    <w:multiLevelType w:val="hybridMultilevel"/>
    <w:lvl w:ilvl="0">
      <w:lvlJc w:val="left"/>
      <w:lvlText w:val="%1."/>
      <w:numFmt w:val="decimal"/>
      <w:start w:val="5"/>
    </w:lvl>
  </w:abstractNum>
  <w:abstractNum w:abstractNumId="39">
    <w:nsid w:val="3DC240FB"/>
    <w:multiLevelType w:val="hybridMultilevel"/>
    <w:lvl w:ilvl="0">
      <w:lvlJc w:val="left"/>
      <w:lvlText w:val="(%1)"/>
      <w:numFmt w:val="lowerRoman"/>
      <w:start w:val="1"/>
    </w:lvl>
  </w:abstractNum>
  <w:abstractNum w:abstractNumId="40">
    <w:nsid w:val="1BA026FA"/>
    <w:multiLevelType w:val="hybridMultilevel"/>
    <w:lvl w:ilvl="0">
      <w:lvlJc w:val="left"/>
      <w:lvlText w:val="%1"/>
      <w:numFmt w:val="decimal"/>
      <w:start w:val="1"/>
    </w:lvl>
    <w:lvl w:ilvl="1">
      <w:lvlJc w:val="left"/>
      <w:lvlText w:val="(%2)"/>
      <w:numFmt w:val="lowerRoman"/>
      <w:start w:val="2"/>
    </w:lvl>
  </w:abstractNum>
  <w:abstractNum w:abstractNumId="41">
    <w:nsid w:val="79A1DEAA"/>
    <w:multiLevelType w:val="hybridMultilevel"/>
    <w:lvl w:ilvl="0">
      <w:lvlJc w:val="left"/>
      <w:lvlText w:val="%1."/>
      <w:numFmt w:val="decimal"/>
      <w:start w:val="6"/>
    </w:lvl>
    <w:lvl w:ilvl="1">
      <w:lvlJc w:val="left"/>
      <w:lvlText w:val="%2"/>
      <w:numFmt w:val="lowerRoman"/>
      <w:start w:val="1"/>
    </w:lvl>
  </w:abstractNum>
  <w:abstractNum w:abstractNumId="42">
    <w:nsid w:val="75C6C33A"/>
    <w:multiLevelType w:val="hybridMultilevel"/>
    <w:lvl w:ilvl="0">
      <w:lvlJc w:val="left"/>
      <w:lvlText w:val="%1."/>
      <w:numFmt w:val="decimal"/>
      <w:start w:val="7"/>
    </w:lvl>
  </w:abstractNum>
  <w:abstractNum w:abstractNumId="43">
    <w:nsid w:val="12E685FB"/>
    <w:multiLevelType w:val="hybridMultilevel"/>
    <w:lvl w:ilvl="0">
      <w:lvlJc w:val="left"/>
      <w:lvlText w:val="(%1)"/>
      <w:numFmt w:val="lowerRoman"/>
      <w:start w:val="1"/>
    </w:lvl>
  </w:abstractNum>
  <w:abstractNum w:abstractNumId="44">
    <w:nsid w:val="70C6A529"/>
    <w:multiLevelType w:val="hybridMultilevel"/>
    <w:lvl w:ilvl="0">
      <w:lvlJc w:val="left"/>
      <w:lvlText w:val="%1."/>
      <w:numFmt w:val="decimal"/>
      <w:start w:val="8"/>
    </w:lvl>
  </w:abstractNum>
  <w:abstractNum w:abstractNumId="45">
    <w:nsid w:val="520EEDD1"/>
    <w:multiLevelType w:val="hybridMultilevel"/>
    <w:lvl w:ilvl="0">
      <w:lvlJc w:val="left"/>
      <w:lvlText w:val="%1."/>
      <w:numFmt w:val="decimal"/>
      <w:start w:val="9"/>
    </w:lvl>
  </w:abstractNum>
  <w:abstractNum w:abstractNumId="46">
    <w:nsid w:val="374A3FE6"/>
    <w:multiLevelType w:val="hybridMultilevel"/>
    <w:lvl w:ilvl="0">
      <w:lvlJc w:val="left"/>
      <w:lvlText w:val="%1."/>
      <w:numFmt w:val="decimal"/>
      <w:start w:val="10"/>
    </w:lvl>
  </w:abstractNum>
  <w:abstractNum w:abstractNumId="47">
    <w:nsid w:val="4F4EF005"/>
    <w:multiLevelType w:val="hybridMultilevel"/>
    <w:lvl w:ilvl="0">
      <w:lvlJc w:val="left"/>
      <w:lvlText w:val="%1."/>
      <w:numFmt w:val="decimal"/>
      <w:start w:val="12"/>
    </w:lvl>
  </w:abstractNum>
  <w:abstractNum w:abstractNumId="48">
    <w:nsid w:val="23F9C13C"/>
    <w:multiLevelType w:val="hybridMultilevel"/>
    <w:lvl w:ilvl="0">
      <w:lvlJc w:val="left"/>
      <w:lvlText w:val="%1."/>
      <w:numFmt w:val="decimal"/>
      <w:start w:val="13"/>
    </w:lvl>
  </w:abstractNum>
  <w:abstractNum w:abstractNumId="49">
    <w:nsid w:val="649BB77C"/>
    <w:multiLevelType w:val="hybridMultilevel"/>
    <w:lvl w:ilvl="0">
      <w:lvlJc w:val="left"/>
      <w:lvlText w:val="%1."/>
      <w:numFmt w:val="decimal"/>
      <w:start w:val="14"/>
    </w:lvl>
  </w:abstractNum>
  <w:abstractNum w:abstractNumId="50">
    <w:nsid w:val="275AC794"/>
    <w:multiLevelType w:val="hybridMultilevel"/>
    <w:lvl w:ilvl="0">
      <w:lvlJc w:val="left"/>
      <w:lvlText w:val="%1."/>
      <w:numFmt w:val="decimal"/>
      <w:start w:val="15"/>
    </w:lvl>
  </w:abstractNum>
  <w:abstractNum w:abstractNumId="51">
    <w:nsid w:val="39386575"/>
    <w:multiLevelType w:val="hybridMultilevel"/>
    <w:lvl w:ilvl="0">
      <w:lvlJc w:val="left"/>
      <w:lvlText w:val="%1."/>
      <w:numFmt w:val="decimal"/>
      <w:start w:val="16"/>
    </w:lvl>
  </w:abstractNum>
  <w:abstractNum w:abstractNumId="52">
    <w:nsid w:val="1CF10FD8"/>
    <w:multiLevelType w:val="hybridMultilevel"/>
    <w:lvl w:ilvl="0">
      <w:lvlJc w:val="left"/>
      <w:lvlText w:val="%1."/>
      <w:numFmt w:val="decimal"/>
      <w:start w:val="17"/>
    </w:lvl>
  </w:abstractNum>
  <w:abstractNum w:abstractNumId="53">
    <w:nsid w:val="180115BE"/>
    <w:multiLevelType w:val="hybridMultilevel"/>
    <w:lvl w:ilvl="0">
      <w:lvlJc w:val="left"/>
      <w:lvlText w:val="%1."/>
      <w:numFmt w:val="decimal"/>
      <w:start w:val="18"/>
    </w:lvl>
  </w:abstractNum>
  <w:abstractNum w:abstractNumId="54">
    <w:nsid w:val="235BA861"/>
    <w:multiLevelType w:val="hybridMultilevel"/>
    <w:lvl w:ilvl="0">
      <w:lvlJc w:val="left"/>
      <w:lvlText w:val="%1."/>
      <w:numFmt w:val="decimal"/>
      <w:start w:val="19"/>
    </w:lvl>
  </w:abstractNum>
  <w:abstractNum w:abstractNumId="55">
    <w:nsid w:val="47398C89"/>
    <w:multiLevelType w:val="hybridMultilevel"/>
    <w:lvl w:ilvl="0">
      <w:lvlJc w:val="left"/>
      <w:lvlText w:val="%1."/>
      <w:numFmt w:val="decimal"/>
      <w:start w:val="20"/>
    </w:lvl>
  </w:abstractNum>
  <w:abstractNum w:abstractNumId="56">
    <w:nsid w:val="354FE9F9"/>
    <w:multiLevelType w:val="hybridMultilevel"/>
    <w:lvl w:ilvl="0">
      <w:lvlJc w:val="left"/>
      <w:lvlText w:val="%1."/>
      <w:numFmt w:val="decimal"/>
      <w:start w:val="21"/>
    </w:lvl>
  </w:abstractNum>
  <w:abstractNum w:abstractNumId="57">
    <w:nsid w:val="15B5AF5C"/>
    <w:multiLevelType w:val="hybridMultilevel"/>
    <w:lvl w:ilvl="0">
      <w:lvlJc w:val="left"/>
      <w:lvlText w:val="%1."/>
      <w:numFmt w:val="decimal"/>
      <w:start w:val="22"/>
    </w:lvl>
  </w:abstractNum>
  <w:abstractNum w:abstractNumId="58">
    <w:nsid w:val="741226BB"/>
    <w:multiLevelType w:val="hybridMultilevel"/>
    <w:lvl w:ilvl="0">
      <w:lvlJc w:val="left"/>
      <w:lvlText w:val="%1."/>
      <w:numFmt w:val="decimal"/>
      <w:start w:val="23"/>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2019-12-29T06:29:35Z</dcterms:created>
  <dcterms:modified xsi:type="dcterms:W3CDTF">2019-12-29T06:29:35Z</dcterms:modified>
</cp:coreProperties>
</file>