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55880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4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1020" w:hanging="649"/>
        <w:spacing w:after="0" w:line="237"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2007</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1020" w:right="280" w:hanging="649"/>
        <w:spacing w:after="0" w:line="256" w:lineRule="auto"/>
        <w:tabs>
          <w:tab w:leader="none" w:pos="92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9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4062095</wp:posOffset>
            </wp:positionH>
            <wp:positionV relativeFrom="paragraph">
              <wp:posOffset>-7620</wp:posOffset>
            </wp:positionV>
            <wp:extent cx="200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-7620</wp:posOffset>
            </wp:positionV>
            <wp:extent cx="200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111760</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iSTAR FINANCIAL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2020" w:type="dxa"/>
        <w:tblCellMar>
          <w:top w:w="0" w:type="dxa"/>
          <w:left w:w="0" w:type="dxa"/>
          <w:bottom w:w="0" w:type="dxa"/>
          <w:right w:w="0" w:type="dxa"/>
        </w:tblCellMar>
      </w:tblPr>
      <w:tr>
        <w:trPr>
          <w:trHeight w:val="220"/>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96"/>
              </w:rPr>
              <w:t>Maryland</w:t>
            </w:r>
          </w:p>
        </w:tc>
        <w:tc>
          <w:tcPr>
            <w:tcW w:w="262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Number)</w:t>
            </w:r>
          </w:p>
        </w:tc>
      </w:tr>
      <w:tr>
        <w:trPr>
          <w:trHeight w:val="265"/>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1114 Avenue of the Americas, 39th Floor</w:t>
            </w:r>
          </w:p>
        </w:tc>
        <w:tc>
          <w:tcPr>
            <w:tcW w:w="2620" w:type="dxa"/>
            <w:vAlign w:val="bottom"/>
          </w:tcPr>
          <w:p>
            <w:pPr>
              <w:jc w:val="right"/>
              <w:ind w:right="530"/>
              <w:spacing w:after="0"/>
              <w:rPr>
                <w:sz w:val="20"/>
                <w:szCs w:val="20"/>
                <w:color w:val="auto"/>
              </w:rPr>
            </w:pPr>
            <w:r>
              <w:rPr>
                <w:rFonts w:ascii="Arial" w:cs="Arial" w:eastAsia="Arial" w:hAnsi="Arial"/>
                <w:sz w:val="18"/>
                <w:szCs w:val="18"/>
                <w:b w:val="1"/>
                <w:bCs w:val="1"/>
                <w:color w:val="auto"/>
              </w:rPr>
              <w:t>10036</w:t>
            </w:r>
          </w:p>
        </w:tc>
      </w:tr>
      <w:tr>
        <w:trPr>
          <w:trHeight w:val="220"/>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95"/>
              </w:rPr>
              <w:t>New York, NY</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3"/>
              </w:rPr>
              <w:t>(Zip code)</w:t>
            </w:r>
          </w:p>
        </w:tc>
      </w:tr>
      <w:tr>
        <w:trPr>
          <w:trHeight w:val="230"/>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2620" w:type="dxa"/>
            <w:vAlign w:val="bottom"/>
          </w:tcPr>
          <w:p>
            <w:pPr>
              <w:spacing w:after="0"/>
              <w:rPr>
                <w:sz w:val="20"/>
                <w:szCs w:val="20"/>
                <w:color w:val="auto"/>
              </w:rPr>
            </w:pPr>
          </w:p>
        </w:tc>
      </w:tr>
    </w:tbl>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85725</wp:posOffset>
            </wp:positionV>
            <wp:extent cx="1389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4"/>
          <w:szCs w:val="24"/>
          <w:color w:val="auto"/>
        </w:rPr>
      </w:pPr>
    </w:p>
    <w:p>
      <w:pPr>
        <w:ind w:right="40" w:firstLine="360"/>
        <w:spacing w:after="0" w:line="264" w:lineRule="auto"/>
        <w:rPr>
          <w:sz w:val="20"/>
          <w:szCs w:val="20"/>
          <w:color w:val="auto"/>
        </w:rPr>
      </w:pPr>
      <w:r>
        <w:rPr>
          <w:rFonts w:ascii="Arial" w:cs="Arial" w:eastAsia="Arial" w:hAnsi="Arial"/>
          <w:sz w:val="18"/>
          <w:szCs w:val="18"/>
          <w:color w:val="auto"/>
        </w:rPr>
        <w:t>Indicate by check mark whether the registrant: (i) has filed all reports required to be filed by Section 13 or 15(d) of the Securities Exchange Act of 1934 during the preceding 12 months (or for such shorter period that the registrant was required to file such reports); and (ii) has been subject to such filing requirements for the past 90 days. Yes x No o</w:t>
      </w:r>
    </w:p>
    <w:p>
      <w:pPr>
        <w:spacing w:after="0" w:line="73" w:lineRule="exact"/>
        <w:rPr>
          <w:sz w:val="24"/>
          <w:szCs w:val="24"/>
          <w:color w:val="auto"/>
        </w:rPr>
      </w:pPr>
    </w:p>
    <w:p>
      <w:pPr>
        <w:ind w:right="520" w:firstLine="3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or a non-accelerated filer, see definition of “accelerated filer” and “large accelerated filer” in Rule 12-b-2 of the Exchange Act.</w:t>
      </w:r>
    </w:p>
    <w:p>
      <w:pPr>
        <w:spacing w:after="0" w:line="103" w:lineRule="exact"/>
        <w:rPr>
          <w:sz w:val="24"/>
          <w:szCs w:val="24"/>
          <w:color w:val="auto"/>
        </w:rPr>
      </w:pPr>
    </w:p>
    <w:p>
      <w:pPr>
        <w:ind w:left="2080"/>
        <w:spacing w:after="0"/>
        <w:tabs>
          <w:tab w:leader="none" w:pos="5020" w:val="left"/>
          <w:tab w:leader="none" w:pos="76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19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1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As of July 31, 2007 there were 128,215,548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40" w:type="dxa"/>
            <w:vAlign w:val="bottom"/>
            <w:gridSpan w:val="6"/>
          </w:tcPr>
          <w:p>
            <w:pPr>
              <w:jc w:val="center"/>
              <w:ind w:right="680"/>
              <w:spacing w:after="0"/>
              <w:rPr>
                <w:sz w:val="20"/>
                <w:szCs w:val="20"/>
                <w:color w:val="auto"/>
              </w:rPr>
            </w:pPr>
            <w:r>
              <w:rPr>
                <w:rFonts w:ascii="Arial" w:cs="Arial" w:eastAsia="Arial" w:hAnsi="Arial"/>
                <w:sz w:val="18"/>
                <w:szCs w:val="18"/>
                <w:b w:val="1"/>
                <w:bCs w:val="1"/>
                <w:color w:val="auto"/>
                <w:w w:val="93"/>
              </w:rPr>
              <w:t>iStar Financial Inc.</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40" w:type="dxa"/>
            <w:vAlign w:val="bottom"/>
            <w:gridSpan w:val="6"/>
          </w:tcPr>
          <w:p>
            <w:pPr>
              <w:jc w:val="center"/>
              <w:ind w:right="700"/>
              <w:spacing w:after="0"/>
              <w:rPr>
                <w:sz w:val="20"/>
                <w:szCs w:val="20"/>
                <w:color w:val="auto"/>
              </w:rPr>
            </w:pPr>
            <w:r>
              <w:rPr>
                <w:rFonts w:ascii="Arial" w:cs="Arial" w:eastAsia="Arial" w:hAnsi="Arial"/>
                <w:sz w:val="18"/>
                <w:szCs w:val="18"/>
                <w:b w:val="1"/>
                <w:bCs w:val="1"/>
                <w:color w:val="auto"/>
                <w:w w:val="93"/>
              </w:rPr>
              <w:t>Index to 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080" w:type="dxa"/>
            <w:vAlign w:val="bottom"/>
            <w:gridSpan w:val="3"/>
            <w:vMerge w:val="restart"/>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800" w:type="dxa"/>
            <w:vAlign w:val="bottom"/>
            <w:gridSpan w:val="19"/>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80" w:type="dxa"/>
            <w:vAlign w:val="bottom"/>
            <w:gridSpan w:val="3"/>
            <w:vMerge w:val="continue"/>
          </w:tcPr>
          <w:p>
            <w:pPr>
              <w:spacing w:after="0"/>
              <w:rPr>
                <w:sz w:val="13"/>
                <w:szCs w:val="13"/>
                <w:color w:val="auto"/>
              </w:rPr>
            </w:pPr>
          </w:p>
        </w:tc>
        <w:tc>
          <w:tcPr>
            <w:tcW w:w="6800" w:type="dxa"/>
            <w:vAlign w:val="bottom"/>
            <w:gridSpan w:val="19"/>
            <w:vMerge w:val="continue"/>
          </w:tcPr>
          <w:p>
            <w:pPr>
              <w:spacing w:after="0"/>
              <w:rPr>
                <w:sz w:val="13"/>
                <w:szCs w:val="13"/>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680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86"/>
              </w:rPr>
            </w:pPr>
            <w:hyperlink w:anchor="page2">
              <w:r>
                <w:rPr>
                  <w:rFonts w:ascii="Arial" w:cs="Arial" w:eastAsia="Arial" w:hAnsi="Arial"/>
                  <w:sz w:val="18"/>
                  <w:szCs w:val="18"/>
                  <w:color w:val="0000EE"/>
                  <w:w w:val="86"/>
                </w:rPr>
                <w:t>Consolidated Balance</w:t>
              </w:r>
            </w:hyperlink>
          </w:p>
        </w:tc>
        <w:tc>
          <w:tcPr>
            <w:tcW w:w="4220" w:type="dxa"/>
            <w:vAlign w:val="bottom"/>
            <w:tcBorders>
              <w:bottom w:val="single" w:sz="8" w:color="0000EE"/>
            </w:tcBorders>
            <w:gridSpan w:val="6"/>
          </w:tcPr>
          <w:p>
            <w:pPr>
              <w:ind w:left="60"/>
              <w:spacing w:after="0" w:line="182" w:lineRule="exact"/>
              <w:rPr>
                <w:rFonts w:ascii="Arial" w:cs="Arial" w:eastAsia="Arial" w:hAnsi="Arial"/>
                <w:sz w:val="18"/>
                <w:szCs w:val="18"/>
                <w:color w:val="0000EE"/>
                <w:w w:val="88"/>
              </w:rPr>
            </w:pPr>
            <w:hyperlink w:anchor="page2">
              <w:r>
                <w:rPr>
                  <w:rFonts w:ascii="Arial" w:cs="Arial" w:eastAsia="Arial" w:hAnsi="Arial"/>
                  <w:sz w:val="18"/>
                  <w:szCs w:val="18"/>
                  <w:color w:val="0000EE"/>
                  <w:w w:val="88"/>
                </w:rPr>
                <w:t>Sheets (unaudited) as of June 30, 2007 and December 31,</w:t>
              </w:r>
            </w:hyperlink>
          </w:p>
        </w:tc>
        <w:tc>
          <w:tcPr>
            <w:tcW w:w="1020" w:type="dxa"/>
            <w:vAlign w:val="bottom"/>
            <w:gridSpan w:val="5"/>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
              <w:r>
                <w:rPr>
                  <w:rFonts w:ascii="Arial" w:cs="Arial" w:eastAsia="Arial" w:hAnsi="Arial"/>
                  <w:sz w:val="18"/>
                  <w:szCs w:val="18"/>
                  <w:color w:val="0000EE"/>
                  <w:w w:val="84"/>
                </w:rPr>
                <w:t>2006</w:t>
              </w:r>
            </w:hyperlink>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0" w:type="dxa"/>
            <w:vAlign w:val="bottom"/>
            <w:gridSpan w:val="19"/>
          </w:tcPr>
          <w:p>
            <w:pPr>
              <w:spacing w:after="0" w:line="196" w:lineRule="exact"/>
              <w:rPr>
                <w:rFonts w:ascii="Arial" w:cs="Arial" w:eastAsia="Arial" w:hAnsi="Arial"/>
                <w:sz w:val="18"/>
                <w:szCs w:val="18"/>
                <w:color w:val="0000EE"/>
                <w:w w:val="93"/>
              </w:rPr>
            </w:pPr>
            <w:hyperlink w:anchor="page2">
              <w:r>
                <w:rPr>
                  <w:rFonts w:ascii="Arial" w:cs="Arial" w:eastAsia="Arial" w:hAnsi="Arial"/>
                  <w:sz w:val="18"/>
                  <w:szCs w:val="18"/>
                  <w:color w:val="0000EE"/>
                  <w:w w:val="93"/>
                </w:rPr>
                <w:t>Consolidated Statements of Operations (unaudited)—For each of the three and six months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2">
              <w:r>
                <w:rPr>
                  <w:rFonts w:ascii="Arial" w:cs="Arial" w:eastAsia="Arial" w:hAnsi="Arial"/>
                  <w:sz w:val="18"/>
                  <w:szCs w:val="18"/>
                  <w:color w:val="0000EE"/>
                  <w:w w:val="87"/>
                </w:rPr>
                <w:t>ended June 30, 2007 and 2006</w:t>
              </w:r>
            </w:hyperlink>
          </w:p>
        </w:tc>
        <w:tc>
          <w:tcPr>
            <w:tcW w:w="4120" w:type="dxa"/>
            <w:vAlign w:val="bottom"/>
            <w:tcBorders>
              <w:top w:val="single" w:sz="8" w:color="0000EE"/>
            </w:tcBorders>
            <w:gridSpan w:val="8"/>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 of Changes in Shareholders’ Equity (unaudited)—For the</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six months ended June 30, 2007</w:t>
              </w:r>
            </w:hyperlink>
          </w:p>
        </w:tc>
        <w:tc>
          <w:tcPr>
            <w:tcW w:w="3400" w:type="dxa"/>
            <w:vAlign w:val="bottom"/>
            <w:tcBorders>
              <w:top w:val="single" w:sz="8" w:color="0000EE"/>
            </w:tcBorders>
            <w:gridSpan w:val="4"/>
          </w:tcPr>
          <w:p>
            <w:pPr>
              <w:spacing w:after="0"/>
              <w:rPr>
                <w:sz w:val="17"/>
                <w:szCs w:val="17"/>
                <w:color w:val="auto"/>
              </w:rPr>
            </w:pPr>
          </w:p>
        </w:tc>
        <w:tc>
          <w:tcPr>
            <w:tcW w:w="9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0" w:type="dxa"/>
            <w:vAlign w:val="bottom"/>
            <w:gridSpan w:val="19"/>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Statements of Cash Flows (unaudited)—For the six months ended June 30,</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2007 and 2006</w:t>
              </w:r>
            </w:hyperlink>
          </w:p>
        </w:tc>
        <w:tc>
          <w:tcPr>
            <w:tcW w:w="5140" w:type="dxa"/>
            <w:vAlign w:val="bottom"/>
            <w:tcBorders>
              <w:top w:val="single" w:sz="8" w:color="0000EE"/>
            </w:tcBorders>
            <w:gridSpan w:val="11"/>
          </w:tcPr>
          <w:p>
            <w:pPr>
              <w:spacing w:after="0"/>
              <w:rPr>
                <w:sz w:val="17"/>
                <w:szCs w:val="17"/>
                <w:color w:val="auto"/>
              </w:rPr>
            </w:pPr>
          </w:p>
        </w:tc>
        <w:tc>
          <w:tcPr>
            <w:tcW w:w="4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Consolidated Financial Statements</w:t>
              </w:r>
            </w:hyperlink>
          </w:p>
        </w:tc>
        <w:tc>
          <w:tcPr>
            <w:tcW w:w="364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7"/>
        </w:trPr>
        <w:tc>
          <w:tcPr>
            <w:tcW w:w="520" w:type="dxa"/>
            <w:vAlign w:val="bottom"/>
            <w:gridSpan w:val="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2.</w:t>
              </w:r>
            </w:hyperlink>
          </w:p>
        </w:tc>
        <w:tc>
          <w:tcPr>
            <w:tcW w:w="560" w:type="dxa"/>
            <w:vAlign w:val="bottom"/>
          </w:tcPr>
          <w:p>
            <w:pPr>
              <w:spacing w:after="0"/>
              <w:rPr>
                <w:sz w:val="24"/>
                <w:szCs w:val="24"/>
                <w:color w:val="auto"/>
              </w:rPr>
            </w:pPr>
          </w:p>
        </w:tc>
        <w:tc>
          <w:tcPr>
            <w:tcW w:w="6800" w:type="dxa"/>
            <w:vAlign w:val="bottom"/>
            <w:gridSpan w:val="19"/>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680" w:type="dxa"/>
            <w:vAlign w:val="bottom"/>
            <w:gridSpan w:val="8"/>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4.</w:t>
              </w:r>
            </w:hyperlink>
          </w:p>
        </w:tc>
        <w:tc>
          <w:tcPr>
            <w:tcW w:w="560" w:type="dxa"/>
            <w:vAlign w:val="bottom"/>
          </w:tcPr>
          <w:p>
            <w:pPr>
              <w:spacing w:after="0"/>
              <w:rPr>
                <w:sz w:val="22"/>
                <w:szCs w:val="22"/>
                <w:color w:val="auto"/>
              </w:rPr>
            </w:pPr>
          </w:p>
        </w:tc>
        <w:tc>
          <w:tcPr>
            <w:tcW w:w="68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spacing w:after="0"/>
              <w:rPr>
                <w:rFonts w:ascii="Arial" w:cs="Arial" w:eastAsia="Arial" w:hAnsi="Arial"/>
                <w:sz w:val="18"/>
                <w:szCs w:val="18"/>
                <w:b w:val="1"/>
                <w:bCs w:val="1"/>
                <w:color w:val="0000EE"/>
                <w:w w:val="87"/>
              </w:rPr>
            </w:pPr>
            <w:hyperlink w:anchor="page26">
              <w:r>
                <w:rPr>
                  <w:rFonts w:ascii="Arial" w:cs="Arial" w:eastAsia="Arial" w:hAnsi="Arial"/>
                  <w:sz w:val="18"/>
                  <w:szCs w:val="18"/>
                  <w:b w:val="1"/>
                  <w:bCs w:val="1"/>
                  <w:color w:val="0000EE"/>
                  <w:w w:val="87"/>
                </w:rPr>
                <w:t>Part II.</w:t>
              </w:r>
            </w:hyperlink>
          </w:p>
        </w:tc>
        <w:tc>
          <w:tcPr>
            <w:tcW w:w="560" w:type="dxa"/>
            <w:vAlign w:val="bottom"/>
          </w:tcPr>
          <w:p>
            <w:pPr>
              <w:spacing w:after="0"/>
              <w:rPr>
                <w:sz w:val="22"/>
                <w:szCs w:val="22"/>
                <w:color w:val="auto"/>
              </w:rPr>
            </w:pPr>
          </w:p>
        </w:tc>
        <w:tc>
          <w:tcPr>
            <w:tcW w:w="68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gridSpan w:val="2"/>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Item 1.</w:t>
              </w:r>
            </w:hyperlink>
          </w:p>
        </w:tc>
        <w:tc>
          <w:tcPr>
            <w:tcW w:w="560" w:type="dxa"/>
            <w:vAlign w:val="bottom"/>
          </w:tcPr>
          <w:p>
            <w:pPr>
              <w:spacing w:after="0"/>
              <w:rPr>
                <w:sz w:val="22"/>
                <w:szCs w:val="22"/>
                <w:color w:val="auto"/>
              </w:rPr>
            </w:pPr>
          </w:p>
        </w:tc>
        <w:tc>
          <w:tcPr>
            <w:tcW w:w="68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6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r>
              <w:rPr>
                <w:rFonts w:ascii="Arial" w:cs="Arial" w:eastAsia="Arial" w:hAnsi="Arial"/>
                <w:sz w:val="18"/>
                <w:szCs w:val="18"/>
                <w:color w:val="000000"/>
              </w:rPr>
              <w:t>.</w:t>
            </w:r>
          </w:p>
        </w:tc>
        <w:tc>
          <w:tcPr>
            <w:tcW w:w="680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530" w:right="2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560" w:type="dxa"/>
            <w:vAlign w:val="bottom"/>
          </w:tcPr>
          <w:p>
            <w:pPr>
              <w:spacing w:after="0"/>
              <w:rPr>
                <w:sz w:val="17"/>
                <w:szCs w:val="17"/>
                <w:color w:val="auto"/>
              </w:rPr>
            </w:pPr>
          </w:p>
        </w:tc>
        <w:tc>
          <w:tcPr>
            <w:tcW w:w="43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12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560" w:type="dxa"/>
            <w:vAlign w:val="bottom"/>
          </w:tcPr>
          <w:p>
            <w:pPr>
              <w:spacing w:after="0"/>
              <w:rPr>
                <w:sz w:val="22"/>
                <w:szCs w:val="22"/>
                <w:color w:val="auto"/>
              </w:rPr>
            </w:pPr>
          </w:p>
        </w:tc>
        <w:tc>
          <w:tcPr>
            <w:tcW w:w="23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Defaults Upon Senior Securities</w:t>
              </w:r>
            </w:hyperlink>
          </w:p>
        </w:tc>
        <w:tc>
          <w:tcPr>
            <w:tcW w:w="2140" w:type="dxa"/>
            <w:vAlign w:val="bottom"/>
            <w:gridSpan w:val="3"/>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560" w:type="dxa"/>
            <w:vAlign w:val="bottom"/>
          </w:tcPr>
          <w:p>
            <w:pPr>
              <w:spacing w:after="0"/>
              <w:rPr>
                <w:sz w:val="22"/>
                <w:szCs w:val="22"/>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Submission of Matters to a Vote of Security Holders</w:t>
              </w:r>
            </w:hyperlink>
          </w:p>
        </w:tc>
        <w:tc>
          <w:tcPr>
            <w:tcW w:w="700" w:type="dxa"/>
            <w:vAlign w:val="bottom"/>
            <w:gridSpan w:val="2"/>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5.</w:t>
              </w:r>
            </w:hyperlink>
          </w:p>
        </w:tc>
        <w:tc>
          <w:tcPr>
            <w:tcW w:w="560" w:type="dxa"/>
            <w:vAlign w:val="bottom"/>
          </w:tcPr>
          <w:p>
            <w:pPr>
              <w:spacing w:after="0"/>
              <w:rPr>
                <w:sz w:val="22"/>
                <w:szCs w:val="22"/>
                <w:color w:val="auto"/>
              </w:rPr>
            </w:pPr>
          </w:p>
        </w:tc>
        <w:tc>
          <w:tcPr>
            <w:tcW w:w="448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560" w:type="dxa"/>
            <w:vAlign w:val="bottom"/>
          </w:tcPr>
          <w:p>
            <w:pPr>
              <w:spacing w:after="0"/>
              <w:rPr>
                <w:sz w:val="22"/>
                <w:szCs w:val="22"/>
                <w:color w:val="auto"/>
              </w:rPr>
            </w:pP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3160" w:type="dxa"/>
            <w:vAlign w:val="bottom"/>
            <w:gridSpan w:val="4"/>
          </w:tcPr>
          <w:p>
            <w:pPr>
              <w:spacing w:after="0"/>
              <w:rPr>
                <w:sz w:val="22"/>
                <w:szCs w:val="22"/>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64"/>
        </w:trPr>
        <w:tc>
          <w:tcPr>
            <w:tcW w:w="5560" w:type="dxa"/>
            <w:vAlign w:val="bottom"/>
            <w:gridSpan w:val="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2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709"/>
        </w:trPr>
        <w:tc>
          <w:tcPr>
            <w:tcW w:w="5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jc w:val="right"/>
              <w:ind w:right="233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CONSOLIDATED FINANCIAL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60" w:type="dxa"/>
            <w:vAlign w:val="bottom"/>
            <w:gridSpan w:val="2"/>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0" w:type="dxa"/>
            <w:vAlign w:val="bottom"/>
          </w:tcPr>
          <w:p>
            <w:pPr>
              <w:jc w:val="center"/>
              <w:ind w:left="2238"/>
              <w:spacing w:after="0"/>
              <w:rPr>
                <w:sz w:val="20"/>
                <w:szCs w:val="20"/>
                <w:color w:val="auto"/>
              </w:rPr>
            </w:pPr>
            <w:r>
              <w:rPr>
                <w:rFonts w:ascii="Arial" w:cs="Arial" w:eastAsia="Arial" w:hAnsi="Arial"/>
                <w:sz w:val="18"/>
                <w:szCs w:val="18"/>
                <w:b w:val="1"/>
                <w:bCs w:val="1"/>
                <w:color w:val="auto"/>
                <w:w w:val="93"/>
              </w:rPr>
              <w:t>iStar Financial Inc.</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0" w:type="dxa"/>
            <w:vAlign w:val="bottom"/>
          </w:tcPr>
          <w:p>
            <w:pPr>
              <w:jc w:val="center"/>
              <w:ind w:left="2238"/>
              <w:spacing w:after="0"/>
              <w:rPr>
                <w:sz w:val="20"/>
                <w:szCs w:val="20"/>
                <w:color w:val="auto"/>
              </w:rPr>
            </w:pPr>
            <w:r>
              <w:rPr>
                <w:rFonts w:ascii="Arial" w:cs="Arial" w:eastAsia="Arial" w:hAnsi="Arial"/>
                <w:sz w:val="18"/>
                <w:szCs w:val="18"/>
                <w:b w:val="1"/>
                <w:bCs w:val="1"/>
                <w:color w:val="auto"/>
                <w:w w:val="87"/>
              </w:rPr>
              <w:t>Consolidated Balance Sheets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0" w:type="dxa"/>
            <w:vAlign w:val="bottom"/>
          </w:tcPr>
          <w:p>
            <w:pPr>
              <w:jc w:val="center"/>
              <w:ind w:left="2238"/>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0" w:type="dxa"/>
            <w:vAlign w:val="bottom"/>
          </w:tcPr>
          <w:p>
            <w:pPr>
              <w:jc w:val="center"/>
              <w:ind w:left="2218"/>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shd w:val="clear" w:color="auto" w:fill="CCEEFF"/>
          </w:tcPr>
          <w:p>
            <w:pPr>
              <w:ind w:left="2660"/>
              <w:spacing w:after="0" w:line="169"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Loans and other lending investments, net</w:t>
            </w:r>
          </w:p>
        </w:tc>
        <w:tc>
          <w:tcPr>
            <w:tcW w:w="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7,694,183</w:t>
            </w:r>
          </w:p>
        </w:tc>
        <w:tc>
          <w:tcPr>
            <w:tcW w:w="200" w:type="dxa"/>
            <w:vAlign w:val="bottom"/>
          </w:tcPr>
          <w:p>
            <w:pPr>
              <w:spacing w:after="0"/>
              <w:rPr>
                <w:sz w:val="15"/>
                <w:szCs w:val="15"/>
                <w:color w:val="auto"/>
              </w:rPr>
            </w:pPr>
          </w:p>
        </w:tc>
        <w:tc>
          <w:tcPr>
            <w:tcW w:w="16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6,799,850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Corporate tenant lease assets, net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3,324,186</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3,084,794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490,741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407,617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Investments in joint ventures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391,798</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382,030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Assets held for sale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15,985</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9,398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88,019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105,951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33,901</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28,986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Accrued interest and operating lease income receivable</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97,696</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72,954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Deferred operating lease income receivable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89,634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79,498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Deferred expenses and other assets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78,063</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71,181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18,124</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17,736</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12,322,330</w:t>
            </w: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11,059,995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Liabilities: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Accounts payable, accrued expenses and other liabilities</w:t>
            </w:r>
          </w:p>
        </w:tc>
        <w:tc>
          <w:tcPr>
            <w:tcW w:w="24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232,835</w:t>
            </w:r>
          </w:p>
        </w:tc>
        <w:tc>
          <w:tcPr>
            <w:tcW w:w="200" w:type="dxa"/>
            <w:vAlign w:val="bottom"/>
          </w:tcPr>
          <w:p>
            <w:pPr>
              <w:spacing w:after="0"/>
              <w:rPr>
                <w:sz w:val="15"/>
                <w:szCs w:val="15"/>
                <w:color w:val="auto"/>
              </w:rPr>
            </w:pPr>
          </w:p>
        </w:tc>
        <w:tc>
          <w:tcPr>
            <w:tcW w:w="160" w:type="dxa"/>
            <w:vAlign w:val="bottom"/>
            <w:gridSpan w:val="2"/>
          </w:tcPr>
          <w:p>
            <w:pPr>
              <w:ind w:left="60"/>
              <w:spacing w:after="0" w:line="176"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200,957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Debt obligations</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8,987,059</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7,833,437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Borders>
              <w:bottom w:val="single" w:sz="8" w:color="CCEEFF"/>
            </w:tcBorders>
          </w:tcPr>
          <w:p>
            <w:pPr>
              <w:ind w:left="180"/>
              <w:spacing w:after="0" w:line="169" w:lineRule="exact"/>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9,219,894</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8,034,394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Minority interest in consolidated entities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30,602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38,738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tcPr>
          <w:p>
            <w:pPr>
              <w:spacing w:after="0" w:line="152" w:lineRule="exact"/>
              <w:rPr>
                <w:sz w:val="20"/>
                <w:szCs w:val="20"/>
                <w:color w:val="auto"/>
              </w:rPr>
            </w:pPr>
            <w:r>
              <w:rPr>
                <w:rFonts w:ascii="Arial" w:cs="Arial" w:eastAsia="Arial" w:hAnsi="Arial"/>
                <w:sz w:val="16"/>
                <w:szCs w:val="16"/>
                <w:color w:val="auto"/>
                <w:w w:val="93"/>
              </w:rPr>
              <w:t>Series D Preferred Stock, $0.001 par value, liquidation preference $25.00 per share, 4,000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shares issued and outstanding at June 30, 2007 and December 31, 2006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3"/>
              </w:rPr>
              <w:t>Series E Preferred Stock, $0.001 par value, liquidation preference $25.00 per share, 5,600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issued and outstanding at June 30, 2007 and December 31, 2006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tcPr>
          <w:p>
            <w:pPr>
              <w:spacing w:after="0" w:line="152" w:lineRule="exact"/>
              <w:rPr>
                <w:sz w:val="20"/>
                <w:szCs w:val="20"/>
                <w:color w:val="auto"/>
              </w:rPr>
            </w:pPr>
            <w:r>
              <w:rPr>
                <w:rFonts w:ascii="Arial" w:cs="Arial" w:eastAsia="Arial" w:hAnsi="Arial"/>
                <w:sz w:val="16"/>
                <w:szCs w:val="16"/>
                <w:color w:val="auto"/>
                <w:w w:val="93"/>
              </w:rPr>
              <w:t>Series F Preferred Stock, $0.001 par value, liquidation preference $25.00 per share, 4,000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shares issued and outstanding at June 30, 2007 and December 31, 2006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3"/>
              </w:rPr>
              <w:t>Series G Preferred Stock, $0.001 par value, liquidation preference $25.00 per share, 3,200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issued and outstanding at June 30, 2007 and December 31, 2006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tcPr>
          <w:p>
            <w:pPr>
              <w:spacing w:after="0" w:line="152" w:lineRule="exact"/>
              <w:rPr>
                <w:sz w:val="20"/>
                <w:szCs w:val="20"/>
                <w:color w:val="auto"/>
              </w:rPr>
            </w:pPr>
            <w:r>
              <w:rPr>
                <w:rFonts w:ascii="Arial" w:cs="Arial" w:eastAsia="Arial" w:hAnsi="Arial"/>
                <w:sz w:val="16"/>
                <w:szCs w:val="16"/>
                <w:color w:val="auto"/>
                <w:w w:val="94"/>
              </w:rPr>
              <w:t>Series I Preferred Stock, $0.001 par value, liquidation preference $25.00 per share, 5,000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shares issued and outstanding at June 30, 2007 and December 31, 2006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High Performance Units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9,800</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9,800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0" w:type="dxa"/>
            <w:vAlign w:val="bottom"/>
          </w:tcPr>
          <w:p>
            <w:pPr>
              <w:spacing w:after="0" w:line="152" w:lineRule="exact"/>
              <w:rPr>
                <w:sz w:val="20"/>
                <w:szCs w:val="20"/>
                <w:color w:val="auto"/>
              </w:rPr>
            </w:pPr>
            <w:r>
              <w:rPr>
                <w:rFonts w:ascii="Arial" w:cs="Arial" w:eastAsia="Arial" w:hAnsi="Arial"/>
                <w:sz w:val="16"/>
                <w:szCs w:val="16"/>
                <w:color w:val="auto"/>
                <w:w w:val="92"/>
              </w:rPr>
              <w:t>Common Stock, $0.001 par value, 200,000 shares authorized, 126,786 and 126,565 shares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issued and outstanding at June 30, 2007 and December 31, 2006, respectively</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Options</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1,537</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3,469,240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3,464,229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Retained earnings (deficit)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(405,104)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(479,695)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tcPr>
          <w:p>
            <w:pPr>
              <w:spacing w:after="0" w:line="176" w:lineRule="exact"/>
              <w:rPr>
                <w:sz w:val="20"/>
                <w:szCs w:val="20"/>
                <w:color w:val="auto"/>
              </w:rPr>
            </w:pPr>
            <w:r>
              <w:rPr>
                <w:rFonts w:ascii="Arial" w:cs="Arial" w:eastAsia="Arial" w:hAnsi="Arial"/>
                <w:sz w:val="16"/>
                <w:szCs w:val="16"/>
                <w:color w:val="auto"/>
              </w:rPr>
              <w:t>Accumulated other comprehensive income (See Note 14)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6"/>
                <w:szCs w:val="16"/>
                <w:color w:val="auto"/>
              </w:rPr>
              <w:t>22,484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6"/>
                <w:szCs w:val="16"/>
                <w:color w:val="auto"/>
              </w:rPr>
              <w:t>16,956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Treasury stock (at cost)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6"/>
                <w:szCs w:val="16"/>
                <w:color w:val="auto"/>
              </w:rPr>
              <w:t>(26,272)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6"/>
                <w:szCs w:val="16"/>
                <w:color w:val="auto"/>
              </w:rPr>
              <w:t>(26,272)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Borders>
              <w:bottom w:val="single" w:sz="8" w:color="CCEEFF"/>
            </w:tcBorders>
          </w:tcPr>
          <w:p>
            <w:pPr>
              <w:ind w:left="180"/>
              <w:spacing w:after="0" w:line="169" w:lineRule="exact"/>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3,071,834</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2,986,863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0" w:type="dxa"/>
            <w:vAlign w:val="bottom"/>
            <w:tcBorders>
              <w:bottom w:val="single" w:sz="8" w:color="CCEEFF"/>
            </w:tcBorders>
            <w:shd w:val="clear" w:color="auto" w:fill="CCEEFF"/>
          </w:tcPr>
          <w:p>
            <w:pPr>
              <w:ind w:left="180"/>
              <w:spacing w:after="0" w:line="169" w:lineRule="exact"/>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2"/>
              </w:rPr>
              <w:t>12,322,330</w:t>
            </w:r>
          </w:p>
        </w:tc>
        <w:tc>
          <w:tcPr>
            <w:tcW w:w="2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11,059,995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data)</w:t>
      </w:r>
    </w:p>
    <w:p>
      <w:pPr>
        <w:spacing w:after="0" w:line="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219"/>
          </w:cols>
          <w:pgMar w:left="240" w:top="189" w:right="1440" w:bottom="0" w:gutter="0" w:footer="0" w:header="0"/>
        </w:sectPr>
      </w:pPr>
    </w:p>
    <w:bookmarkStart w:id="2" w:name="page3"/>
    <w:bookmarkEnd w:id="2"/>
    <w:tbl>
      <w:tblPr>
        <w:tblLayout w:type="fixed"/>
        <w:tblInd w:w="15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6"/>
              </w:rPr>
              <w:t>For the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7"/>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6"/>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29"/>
        </w:trPr>
        <w:tc>
          <w:tcPr>
            <w:tcW w:w="49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Revenue:</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192,165</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135,075</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373,025</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261,124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 income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81,336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167,694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162,991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income</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38,801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21,676</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67,276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35,145</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ind w:left="280"/>
              <w:spacing w:after="0" w:line="155" w:lineRule="exact"/>
              <w:rPr>
                <w:sz w:val="20"/>
                <w:szCs w:val="20"/>
                <w:color w:val="auto"/>
              </w:rPr>
            </w:pPr>
            <w:r>
              <w:rPr>
                <w:rFonts w:ascii="Arial" w:cs="Arial" w:eastAsia="Arial" w:hAnsi="Arial"/>
                <w:sz w:val="14"/>
                <w:szCs w:val="14"/>
                <w:color w:val="auto"/>
              </w:rPr>
              <w:t>Total revenue</w:t>
            </w:r>
          </w:p>
        </w:tc>
        <w:tc>
          <w:tcPr>
            <w:tcW w:w="3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317,348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238,087</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607,995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459,260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Arial" w:cs="Arial" w:eastAsia="Arial" w:hAnsi="Arial"/>
                <w:sz w:val="14"/>
                <w:szCs w:val="14"/>
                <w:b w:val="1"/>
                <w:bCs w:val="1"/>
                <w:color w:val="auto"/>
              </w:rPr>
              <w:t>Costs and expenses: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139,174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101,302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267,701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194,785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Operating costs—corporate tenant lease assets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10,722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14,244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16,121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42,869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39,423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20,424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76,972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39,556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loan losses</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280"/>
              <w:spacing w:after="0" w:line="155" w:lineRule="exact"/>
              <w:rPr>
                <w:sz w:val="20"/>
                <w:szCs w:val="20"/>
                <w:color w:val="auto"/>
              </w:rPr>
            </w:pPr>
            <w:r>
              <w:rPr>
                <w:rFonts w:ascii="Arial" w:cs="Arial" w:eastAsia="Arial" w:hAnsi="Arial"/>
                <w:sz w:val="14"/>
                <w:szCs w:val="14"/>
                <w:color w:val="auto"/>
              </w:rPr>
              <w:t>Total costs and expenses</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213,857</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153,325</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411,786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290,964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49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Income before equity in (loss)/earnings from joint ventures, minority interest and</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items</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103,491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84,762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196,209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168,296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Equity in (loss)/earnings from joint ventures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(1,453)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Minority interest in consolidated entities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56"/>
        </w:trPr>
        <w:tc>
          <w:tcPr>
            <w:tcW w:w="4980" w:type="dxa"/>
            <w:vAlign w:val="bottom"/>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103,404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84,708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195,335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168,280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Income from discontinued operations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Gain from discontinued operations, net</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109,062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90,499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203,161</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178,486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Arial" w:cs="Arial" w:eastAsia="Arial" w:hAnsi="Arial"/>
                <w:sz w:val="14"/>
                <w:szCs w:val="14"/>
                <w:color w:val="auto"/>
              </w:rPr>
              <w:t>Preferred dividend requirements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(10,580)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(10,580)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(21,160)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(21,160)</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allocable to common shareholders and HPU holders(1)</w:t>
            </w: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98,482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79,919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182,001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157,326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Per common share data(2):</w:t>
            </w: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9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from continuing operations per common share: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80"/>
              <w:spacing w:after="0"/>
              <w:rPr>
                <w:sz w:val="20"/>
                <w:szCs w:val="20"/>
                <w:color w:val="auto"/>
              </w:rPr>
            </w:pPr>
            <w:r>
              <w:rPr>
                <w:rFonts w:ascii="Arial" w:cs="Arial" w:eastAsia="Arial" w:hAnsi="Arial"/>
                <w:sz w:val="14"/>
                <w:szCs w:val="14"/>
                <w:color w:val="auto"/>
              </w:rPr>
              <w:t>Basic</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0.72</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0.64</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1.34</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Net income per common share: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0.76</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80"/>
              <w:spacing w:after="0"/>
              <w:rPr>
                <w:sz w:val="20"/>
                <w:szCs w:val="20"/>
                <w:color w:val="auto"/>
              </w:rPr>
            </w:pPr>
            <w:r>
              <w:rPr>
                <w:rFonts w:ascii="Arial" w:cs="Arial" w:eastAsia="Arial" w:hAnsi="Arial"/>
                <w:sz w:val="14"/>
                <w:szCs w:val="14"/>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0.68</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number of common shares—basic</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126,753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113,282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126,723</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113,263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Weighted average number of common shares—diluted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127,963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114,404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127,915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114,381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HPU share data(2):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Income from continuing operations per HPU share:</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135.60</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120.73</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254.40</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80"/>
              <w:spacing w:after="0"/>
              <w:rPr>
                <w:sz w:val="20"/>
                <w:szCs w:val="20"/>
                <w:color w:val="auto"/>
              </w:rPr>
            </w:pPr>
            <w:r>
              <w:rPr>
                <w:rFonts w:ascii="Arial" w:cs="Arial" w:eastAsia="Arial" w:hAnsi="Arial"/>
                <w:sz w:val="14"/>
                <w:szCs w:val="14"/>
                <w:color w:val="auto"/>
              </w:rPr>
              <w:t>Diluted</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134.40</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119.67</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252.13</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237.60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per HPU share:</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280"/>
              <w:spacing w:after="0"/>
              <w:rPr>
                <w:sz w:val="20"/>
                <w:szCs w:val="20"/>
                <w:color w:val="auto"/>
              </w:rPr>
            </w:pPr>
            <w:r>
              <w:rPr>
                <w:rFonts w:ascii="Arial" w:cs="Arial" w:eastAsia="Arial" w:hAnsi="Arial"/>
                <w:sz w:val="14"/>
                <w:szCs w:val="14"/>
                <w:color w:val="auto"/>
              </w:rPr>
              <w:t>Basic</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143.80</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130.20</w:t>
            </w: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265.80</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256.40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142.53</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129.00</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263.47</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ind w:left="140"/>
              <w:spacing w:after="0"/>
              <w:rPr>
                <w:sz w:val="20"/>
                <w:szCs w:val="20"/>
                <w:color w:val="auto"/>
              </w:rPr>
            </w:pPr>
            <w:r>
              <w:rPr>
                <w:rFonts w:ascii="Arial" w:cs="Arial" w:eastAsia="Arial" w:hAnsi="Arial"/>
                <w:sz w:val="14"/>
                <w:szCs w:val="14"/>
                <w:color w:val="auto"/>
              </w:rPr>
              <w:t>Weighted average number of HPU shares—basic</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 average number of HPU shares—diluted</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(see Note 12).</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See Note 13—Earnings Per Share for additional information.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Accumulated</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34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Series D</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Series E</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Series F</w:t>
            </w: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Series G</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Series I</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Common</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6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340" w:type="dxa"/>
            <w:vAlign w:val="bottom"/>
          </w:tcPr>
          <w:p>
            <w:pPr>
              <w:spacing w:after="0"/>
              <w:rPr>
                <w:sz w:val="11"/>
                <w:szCs w:val="11"/>
                <w:color w:val="auto"/>
              </w:rPr>
            </w:pPr>
          </w:p>
        </w:tc>
        <w:tc>
          <w:tcPr>
            <w:tcW w:w="6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Preferred</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Preferred</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Preferred</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Preferred</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Preferred</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Stock at</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Paid-In</w:t>
            </w:r>
          </w:p>
        </w:tc>
        <w:tc>
          <w:tcPr>
            <w:tcW w:w="6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Earnings</w:t>
            </w:r>
          </w:p>
        </w:tc>
        <w:tc>
          <w:tcPr>
            <w:tcW w:w="10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Treasury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34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Stock</w:t>
            </w:r>
          </w:p>
        </w:tc>
        <w:tc>
          <w:tcPr>
            <w:tcW w:w="580" w:type="dxa"/>
            <w:vAlign w:val="bottom"/>
            <w:gridSpan w:val="2"/>
          </w:tcPr>
          <w:p>
            <w:pPr>
              <w:ind w:left="60"/>
              <w:spacing w:after="0"/>
              <w:rPr>
                <w:sz w:val="20"/>
                <w:szCs w:val="20"/>
                <w:color w:val="auto"/>
              </w:rPr>
            </w:pPr>
            <w:r>
              <w:rPr>
                <w:rFonts w:ascii="Arial" w:cs="Arial" w:eastAsia="Arial" w:hAnsi="Arial"/>
                <w:sz w:val="13"/>
                <w:szCs w:val="13"/>
                <w:b w:val="1"/>
                <w:bCs w:val="1"/>
                <w:color w:val="auto"/>
              </w:rPr>
              <w:t>HPU’s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Par</w:t>
            </w:r>
          </w:p>
        </w:tc>
        <w:tc>
          <w:tcPr>
            <w:tcW w:w="620" w:type="dxa"/>
            <w:vAlign w:val="bottom"/>
            <w:gridSpan w:val="3"/>
          </w:tcPr>
          <w:p>
            <w:pPr>
              <w:ind w:left="60"/>
              <w:spacing w:after="0"/>
              <w:rPr>
                <w:sz w:val="20"/>
                <w:szCs w:val="20"/>
                <w:color w:val="auto"/>
              </w:rPr>
            </w:pPr>
            <w:r>
              <w:rPr>
                <w:rFonts w:ascii="Arial" w:cs="Arial" w:eastAsia="Arial" w:hAnsi="Arial"/>
                <w:sz w:val="13"/>
                <w:szCs w:val="13"/>
                <w:b w:val="1"/>
                <w:bCs w:val="1"/>
                <w:color w:val="auto"/>
              </w:rPr>
              <w:t>Options</w:t>
            </w:r>
          </w:p>
        </w:tc>
        <w:tc>
          <w:tcPr>
            <w:tcW w:w="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Income</w:t>
            </w:r>
          </w:p>
        </w:tc>
        <w:tc>
          <w:tcPr>
            <w:tcW w:w="80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4"/>
              </w:rPr>
              <w:t>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Total</w:t>
            </w:r>
          </w:p>
        </w:tc>
      </w:tr>
      <w:tr>
        <w:trPr>
          <w:trHeight w:val="129"/>
        </w:trPr>
        <w:tc>
          <w:tcPr>
            <w:tcW w:w="2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at December 31, 2006</w:t>
            </w:r>
          </w:p>
        </w:tc>
        <w:tc>
          <w:tcPr>
            <w:tcW w:w="560" w:type="dxa"/>
            <w:vAlign w:val="bottom"/>
            <w:tcBorders>
              <w:top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$6</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rPr>
              <w:t>$4</w:t>
            </w:r>
          </w:p>
        </w:tc>
        <w:tc>
          <w:tcPr>
            <w:tcW w:w="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$3</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$9,800</w:t>
            </w: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$127</w:t>
            </w:r>
          </w:p>
        </w:tc>
        <w:tc>
          <w:tcPr>
            <w:tcW w:w="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$1,696</w:t>
            </w:r>
          </w:p>
        </w:tc>
        <w:tc>
          <w:tcPr>
            <w:tcW w:w="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$3,464,229</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(479,695)</w:t>
            </w: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rPr>
              <w:t>$16,956</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$(26,272)</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2,986,863</w:t>
            </w:r>
          </w:p>
        </w:tc>
        <w:tc>
          <w:tcPr>
            <w:tcW w:w="60" w:type="dxa"/>
            <w:vAlign w:val="bottom"/>
            <w:tcBorders>
              <w:top w:val="single" w:sz="8" w:color="CCEEFF"/>
            </w:tcBorders>
            <w:shd w:val="clear" w:color="auto" w:fill="CCEEFF"/>
          </w:tcPr>
          <w:p>
            <w:pPr>
              <w:spacing w:after="0"/>
              <w:rPr>
                <w:sz w:val="11"/>
                <w:szCs w:val="11"/>
                <w:color w:val="auto"/>
              </w:rPr>
            </w:pP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Exercise of options</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(159)</w:t>
            </w: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1,541</w:t>
            </w:r>
          </w:p>
        </w:tc>
        <w:tc>
          <w:tcPr>
            <w:tcW w:w="60" w:type="dxa"/>
            <w:vAlign w:val="bottom"/>
          </w:tcPr>
          <w:p>
            <w:pPr>
              <w:spacing w:after="0"/>
              <w:rPr>
                <w:sz w:val="11"/>
                <w:szCs w:val="11"/>
                <w:color w:val="auto"/>
              </w:rPr>
            </w:pPr>
          </w:p>
        </w:tc>
      </w:tr>
      <w:tr>
        <w:trPr>
          <w:trHeight w:val="135"/>
        </w:trPr>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declared—preferred</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(21,160)</w:t>
            </w:r>
          </w:p>
        </w:tc>
        <w:tc>
          <w:tcPr>
            <w:tcW w:w="10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(21,160)</w:t>
            </w: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Dividends declared—common</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6"/>
              </w:rPr>
              <w:t>(105,085)</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(105,085)</w:t>
            </w:r>
          </w:p>
        </w:tc>
      </w:tr>
      <w:tr>
        <w:trPr>
          <w:trHeight w:val="135"/>
        </w:trPr>
        <w:tc>
          <w:tcPr>
            <w:tcW w:w="23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declared—HPU</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(2,325)</w:t>
            </w:r>
          </w:p>
        </w:tc>
        <w:tc>
          <w:tcPr>
            <w:tcW w:w="1000" w:type="dxa"/>
            <w:vAlign w:val="bottom"/>
            <w:gridSpan w:val="2"/>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(2,325)</w:t>
            </w:r>
          </w:p>
        </w:tc>
      </w:tr>
      <w:tr>
        <w:trPr>
          <w:trHeight w:val="121"/>
        </w:trPr>
        <w:tc>
          <w:tcPr>
            <w:tcW w:w="2340" w:type="dxa"/>
            <w:vAlign w:val="bottom"/>
          </w:tcPr>
          <w:p>
            <w:pPr>
              <w:spacing w:after="0" w:line="121" w:lineRule="exact"/>
              <w:rPr>
                <w:sz w:val="20"/>
                <w:szCs w:val="20"/>
                <w:color w:val="auto"/>
              </w:rPr>
            </w:pPr>
            <w:r>
              <w:rPr>
                <w:rFonts w:ascii="Arial" w:cs="Arial" w:eastAsia="Arial" w:hAnsi="Arial"/>
                <w:sz w:val="13"/>
                <w:szCs w:val="13"/>
                <w:color w:val="auto"/>
                <w:w w:val="95"/>
              </w:rPr>
              <w:t>Issuance of stock—vested restricted stock</w:t>
            </w: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2340" w:type="dxa"/>
            <w:vAlign w:val="bottom"/>
          </w:tcPr>
          <w:p>
            <w:pPr>
              <w:ind w:left="140"/>
              <w:spacing w:after="0"/>
              <w:rPr>
                <w:sz w:val="20"/>
                <w:szCs w:val="20"/>
                <w:color w:val="auto"/>
              </w:rPr>
            </w:pPr>
            <w:r>
              <w:rPr>
                <w:rFonts w:ascii="Arial" w:cs="Arial" w:eastAsia="Arial" w:hAnsi="Arial"/>
                <w:sz w:val="13"/>
                <w:szCs w:val="13"/>
                <w:color w:val="auto"/>
              </w:rPr>
              <w:t>units</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2,363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2,363</w:t>
            </w:r>
          </w:p>
        </w:tc>
        <w:tc>
          <w:tcPr>
            <w:tcW w:w="60" w:type="dxa"/>
            <w:vAlign w:val="bottom"/>
          </w:tcPr>
          <w:p>
            <w:pPr>
              <w:spacing w:after="0"/>
              <w:rPr>
                <w:sz w:val="12"/>
                <w:szCs w:val="12"/>
                <w:color w:val="auto"/>
              </w:rPr>
            </w:pPr>
          </w:p>
        </w:tc>
      </w:tr>
      <w:tr>
        <w:trPr>
          <w:trHeight w:val="121"/>
        </w:trPr>
        <w:tc>
          <w:tcPr>
            <w:tcW w:w="2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8"/>
              </w:rPr>
              <w:t>Issuance of stock—DRIP/stock purchase</w:t>
            </w:r>
          </w:p>
        </w:tc>
        <w:tc>
          <w:tcPr>
            <w:tcW w:w="64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plan</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948</w:t>
            </w:r>
          </w:p>
        </w:tc>
      </w:tr>
      <w:tr>
        <w:trPr>
          <w:trHeight w:val="135"/>
        </w:trPr>
        <w:tc>
          <w:tcPr>
            <w:tcW w:w="2340" w:type="dxa"/>
            <w:vAlign w:val="bottom"/>
          </w:tcPr>
          <w:p>
            <w:pPr>
              <w:spacing w:after="0" w:line="135" w:lineRule="exact"/>
              <w:rPr>
                <w:sz w:val="20"/>
                <w:szCs w:val="20"/>
                <w:color w:val="auto"/>
              </w:rPr>
            </w:pPr>
            <w:r>
              <w:rPr>
                <w:rFonts w:ascii="Arial" w:cs="Arial" w:eastAsia="Arial" w:hAnsi="Arial"/>
                <w:sz w:val="13"/>
                <w:szCs w:val="13"/>
                <w:color w:val="auto"/>
              </w:rPr>
              <w:t>Net income for the period</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203,161</w:t>
            </w:r>
          </w:p>
        </w:tc>
        <w:tc>
          <w:tcPr>
            <w:tcW w:w="10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720" w:type="dxa"/>
            <w:vAlign w:val="bottom"/>
            <w:tcBorders>
              <w:right w:val="single" w:sz="8" w:color="auto"/>
            </w:tcBorders>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203,161</w:t>
            </w:r>
          </w:p>
        </w:tc>
        <w:tc>
          <w:tcPr>
            <w:tcW w:w="60" w:type="dxa"/>
            <w:vAlign w:val="bottom"/>
          </w:tcPr>
          <w:p>
            <w:pPr>
              <w:spacing w:after="0"/>
              <w:rPr>
                <w:sz w:val="11"/>
                <w:szCs w:val="11"/>
                <w:color w:val="auto"/>
              </w:rPr>
            </w:pPr>
          </w:p>
        </w:tc>
      </w:tr>
      <w:tr>
        <w:trPr>
          <w:trHeight w:val="121"/>
        </w:trPr>
        <w:tc>
          <w:tcPr>
            <w:tcW w:w="23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Change in accumulated other</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49"/>
        </w:trPr>
        <w:tc>
          <w:tcPr>
            <w:tcW w:w="2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comprehensive income</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5,528</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5,528</w:t>
            </w:r>
          </w:p>
        </w:tc>
        <w:tc>
          <w:tcPr>
            <w:tcW w:w="60" w:type="dxa"/>
            <w:vAlign w:val="bottom"/>
            <w:shd w:val="clear" w:color="auto" w:fill="CCEEFF"/>
          </w:tcPr>
          <w:p>
            <w:pPr>
              <w:spacing w:after="0"/>
              <w:rPr>
                <w:sz w:val="12"/>
                <w:szCs w:val="12"/>
                <w:color w:val="auto"/>
              </w:rPr>
            </w:pPr>
          </w:p>
        </w:tc>
      </w:tr>
      <w:tr>
        <w:trPr>
          <w:trHeight w:val="129"/>
        </w:trPr>
        <w:tc>
          <w:tcPr>
            <w:tcW w:w="2340" w:type="dxa"/>
            <w:vAlign w:val="bottom"/>
          </w:tcPr>
          <w:p>
            <w:pPr>
              <w:spacing w:after="0" w:line="129" w:lineRule="exact"/>
              <w:rPr>
                <w:sz w:val="20"/>
                <w:szCs w:val="20"/>
                <w:color w:val="auto"/>
              </w:rPr>
            </w:pPr>
            <w:r>
              <w:rPr>
                <w:rFonts w:ascii="Arial" w:cs="Arial" w:eastAsia="Arial" w:hAnsi="Arial"/>
                <w:sz w:val="13"/>
                <w:szCs w:val="13"/>
                <w:color w:val="auto"/>
              </w:rPr>
              <w:t>Balance at June 30, 2007</w:t>
            </w:r>
          </w:p>
        </w:tc>
        <w:tc>
          <w:tcPr>
            <w:tcW w:w="56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$4</w:t>
            </w:r>
          </w:p>
        </w:tc>
        <w:tc>
          <w:tcPr>
            <w:tcW w:w="80" w:type="dxa"/>
            <w:vAlign w:val="bottom"/>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$9,800</w:t>
            </w:r>
          </w:p>
        </w:tc>
        <w:tc>
          <w:tcPr>
            <w:tcW w:w="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$127</w:t>
            </w:r>
          </w:p>
        </w:tc>
        <w:tc>
          <w:tcPr>
            <w:tcW w:w="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$3,469,240</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3"/>
              </w:rPr>
              <w:t>(405,104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920" w:type="dxa"/>
            <w:vAlign w:val="bottom"/>
            <w:tcBorders>
              <w:top w:val="single" w:sz="8" w:color="auto"/>
              <w:bottom w:val="single" w:sz="8" w:color="auto"/>
            </w:tcBorders>
          </w:tcPr>
          <w:p>
            <w:pPr>
              <w:jc w:val="right"/>
              <w:ind w:right="177"/>
              <w:spacing w:after="0" w:line="129" w:lineRule="exact"/>
              <w:rPr>
                <w:sz w:val="20"/>
                <w:szCs w:val="20"/>
                <w:color w:val="auto"/>
              </w:rPr>
            </w:pPr>
            <w:r>
              <w:rPr>
                <w:rFonts w:ascii="Arial" w:cs="Arial" w:eastAsia="Arial" w:hAnsi="Arial"/>
                <w:sz w:val="13"/>
                <w:szCs w:val="13"/>
                <w:color w:val="auto"/>
              </w:rPr>
              <w:t>$22,484</w:t>
            </w:r>
          </w:p>
        </w:tc>
        <w:tc>
          <w:tcPr>
            <w:tcW w:w="8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$(26,272)</w:t>
            </w:r>
          </w:p>
        </w:tc>
        <w:tc>
          <w:tcPr>
            <w:tcW w:w="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9"/>
              </w:rPr>
              <w:t>3,071,834</w:t>
            </w:r>
          </w:p>
        </w:tc>
        <w:tc>
          <w:tcPr>
            <w:tcW w:w="60" w:type="dxa"/>
            <w:vAlign w:val="bottom"/>
          </w:tcPr>
          <w:p>
            <w:pPr>
              <w:spacing w:after="0"/>
              <w:rPr>
                <w:sz w:val="11"/>
                <w:szCs w:val="1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ectPr>
          <w:pgSz w:w="11900" w:h="16838" w:orient="portrait"/>
          <w:cols w:equalWidth="0" w:num="1">
            <w:col w:w="11420"/>
          </w:cols>
          <w:pgMar w:left="240" w:top="87" w:right="239" w:bottom="0" w:gutter="0" w:footer="0" w:header="0"/>
        </w:sectPr>
      </w:pPr>
    </w:p>
    <w:bookmarkStart w:id="3" w:name="page4"/>
    <w:bookmarkEnd w:id="3"/>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Six Months Ended</w:t>
      </w:r>
    </w:p>
    <w:p>
      <w:pPr>
        <w:jc w:val="center"/>
        <w:ind w:left="6300"/>
        <w:spacing w:after="0" w:line="221" w:lineRule="auto"/>
        <w:rPr>
          <w:sz w:val="20"/>
          <w:szCs w:val="20"/>
          <w:color w:val="auto"/>
        </w:rPr>
      </w:pPr>
      <w:r>
        <w:rPr>
          <w:rFonts w:ascii="Arial" w:cs="Arial" w:eastAsia="Arial" w:hAnsi="Arial"/>
          <w:sz w:val="14"/>
          <w:szCs w:val="14"/>
          <w:b w:val="1"/>
          <w:bCs w:val="1"/>
          <w:color w:val="auto"/>
        </w:rPr>
        <w:t>June 30,</w:t>
      </w:r>
    </w:p>
    <w:tbl>
      <w:tblPr>
        <w:tblLayout w:type="fixed"/>
        <w:tblInd w:w="1560" w:type="dxa"/>
        <w:tblCellMar>
          <w:top w:w="0" w:type="dxa"/>
          <w:left w:w="0" w:type="dxa"/>
          <w:bottom w:w="0" w:type="dxa"/>
          <w:right w:w="0" w:type="dxa"/>
        </w:tblCellMar>
      </w:tblPr>
      <w:tr>
        <w:trPr>
          <w:trHeight w:val="136"/>
        </w:trPr>
        <w:tc>
          <w:tcPr>
            <w:tcW w:w="58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08"/>
              <w:spacing w:after="0" w:line="136"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8"/>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spacing w:after="0" w:line="135" w:lineRule="exact"/>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203,161</w:t>
            </w:r>
          </w:p>
        </w:tc>
        <w:tc>
          <w:tcPr>
            <w:tcW w:w="200" w:type="dxa"/>
            <w:vAlign w:val="bottom"/>
          </w:tcPr>
          <w:p>
            <w:pPr>
              <w:spacing w:after="0"/>
              <w:rPr>
                <w:sz w:val="11"/>
                <w:szCs w:val="11"/>
                <w:color w:val="auto"/>
              </w:rPr>
            </w:pPr>
          </w:p>
        </w:tc>
        <w:tc>
          <w:tcPr>
            <w:tcW w:w="100" w:type="dxa"/>
            <w:vAlign w:val="bottom"/>
            <w:gridSpan w:val="2"/>
          </w:tcPr>
          <w:p>
            <w:pPr>
              <w:jc w:val="right"/>
              <w:spacing w:after="0" w:line="13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178,486</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Minority interest in consolidated entities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(579)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1,069</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Non-cash expense for stock-based compensation</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8,521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3,208</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Shares withheld for employee taxes on stock based compensation arrangements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(3,005)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(439)</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Depreciation, depletion and amortization</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45,395</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41,564</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Amortization of deferred financing costs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12,433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12,268</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(47,166)</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(37,952)</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Discounts, loan fees and deferred interest received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26,626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32,009</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Equity in earnings of unconsolidated entities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(3,329)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(1,053)</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Distributions from operations of unconsolidated entities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23,512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6,496</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Deferred operating lease income receivable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(11,327)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730</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Gain from discontinued operations, net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(6,778)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3,045</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Provision for loan losses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Provision for deferred taxes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1,104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4"/>
                <w:szCs w:val="14"/>
                <w:color w:val="auto"/>
              </w:rPr>
              <w:t>—</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Other non-cash adjustments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(2,562)</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Changes in assets and liabilities: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Changes in accrued interest and operating lease income receivable</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(24,868)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(20,928)</w:t>
            </w:r>
          </w:p>
        </w:tc>
      </w:tr>
      <w:tr>
        <w:trPr>
          <w:trHeight w:val="135"/>
        </w:trPr>
        <w:tc>
          <w:tcPr>
            <w:tcW w:w="5820" w:type="dxa"/>
            <w:vAlign w:val="bottom"/>
          </w:tcPr>
          <w:p>
            <w:pPr>
              <w:ind w:left="320"/>
              <w:spacing w:after="0" w:line="135" w:lineRule="exact"/>
              <w:rPr>
                <w:sz w:val="20"/>
                <w:szCs w:val="20"/>
                <w:color w:val="auto"/>
              </w:rPr>
            </w:pPr>
            <w:r>
              <w:rPr>
                <w:rFonts w:ascii="Arial" w:cs="Arial" w:eastAsia="Arial" w:hAnsi="Arial"/>
                <w:sz w:val="14"/>
                <w:szCs w:val="14"/>
                <w:color w:val="auto"/>
              </w:rPr>
              <w:t>Changes in deferred expenses and other assets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4,804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(27,074)</w:t>
            </w:r>
          </w:p>
        </w:tc>
      </w:tr>
      <w:tr>
        <w:trPr>
          <w:trHeight w:val="135"/>
        </w:trPr>
        <w:tc>
          <w:tcPr>
            <w:tcW w:w="5820" w:type="dxa"/>
            <w:vAlign w:val="bottom"/>
            <w:shd w:val="clear" w:color="auto" w:fill="CCEEFF"/>
          </w:tcPr>
          <w:p>
            <w:pPr>
              <w:ind w:left="320"/>
              <w:spacing w:after="0" w:line="135" w:lineRule="exact"/>
              <w:rPr>
                <w:sz w:val="20"/>
                <w:szCs w:val="20"/>
                <w:color w:val="auto"/>
              </w:rPr>
            </w:pPr>
            <w:r>
              <w:rPr>
                <w:rFonts w:ascii="Arial" w:cs="Arial" w:eastAsia="Arial" w:hAnsi="Arial"/>
                <w:sz w:val="14"/>
                <w:szCs w:val="14"/>
                <w:color w:val="auto"/>
              </w:rPr>
              <w:t>Changes in accounts payable, accrued expenses and other liabilities</w:t>
            </w:r>
          </w:p>
        </w:tc>
        <w:tc>
          <w:tcPr>
            <w:tcW w:w="6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16,431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10,115</w:t>
            </w:r>
          </w:p>
        </w:tc>
        <w:tc>
          <w:tcPr>
            <w:tcW w:w="100" w:type="dxa"/>
            <w:vAlign w:val="bottom"/>
            <w:shd w:val="clear" w:color="auto" w:fill="CCEEFF"/>
          </w:tcPr>
          <w:p>
            <w:pPr>
              <w:spacing w:after="0"/>
              <w:rPr>
                <w:sz w:val="11"/>
                <w:szCs w:val="11"/>
                <w:color w:val="auto"/>
              </w:rPr>
            </w:pPr>
          </w:p>
        </w:tc>
      </w:tr>
      <w:tr>
        <w:trPr>
          <w:trHeight w:val="129"/>
        </w:trPr>
        <w:tc>
          <w:tcPr>
            <w:tcW w:w="58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252,373</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204,544</w:t>
            </w:r>
          </w:p>
        </w:tc>
        <w:tc>
          <w:tcPr>
            <w:tcW w:w="10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New investment originations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(1,872,684)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w w:val="97"/>
              </w:rPr>
              <w:t>(1,346,638)</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Add-on fundings under existing loan commitments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(765,295)</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(317,015)</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Net proceeds from sales of corporate tenant lease assets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64,676</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21,874</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of and principal collections on loans and other lending investments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1,390,837</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971,104</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Contributions to unconsolidated entities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(53,483)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(9,781)</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Distributions from unconsolidated entities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14,451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1,089</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Capital improvements for build-to-suit facilities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(28,650)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(32,904)</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Capital improvement projects on corporate tenant lease assets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(4,478)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(4,910)</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Other capital expenditures on corporate tenant lease assets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(13,302)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(4,239)</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Other investing activities, net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(2,417)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w:t>
            </w:r>
          </w:p>
        </w:tc>
      </w:tr>
      <w:tr>
        <w:trPr>
          <w:trHeight w:val="129"/>
        </w:trPr>
        <w:tc>
          <w:tcPr>
            <w:tcW w:w="58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(1,270,345)</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(721,420)</w:t>
            </w:r>
          </w:p>
        </w:tc>
        <w:tc>
          <w:tcPr>
            <w:tcW w:w="10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Borrowings under secured revolving credit facility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135,000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181,073</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under secured revolving credit facility</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(135,000)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(181,073)</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Borrowings under unsecured revolving credit facilities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w w:val="99"/>
              </w:rPr>
              <w:t>13,828,580</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3,578,157</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under unsecured revolving credit facilities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w w:val="95"/>
              </w:rPr>
              <w:t>(13,464,023)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w w:val="97"/>
              </w:rPr>
              <w:t>(3,915,000)</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Borrowings under secured term loans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8,218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38,161</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under secured term loans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(71,700)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(19,138)</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Borrowings under unsecured notes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1,034,973</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991,489</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under unsecured notes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(50,000)</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Borrowings under foreign lines of credit</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146,950</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Repayments under foreign lines of credit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(155,181)</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Contributions from minority interest partners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1,429</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11,025</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Distributions to minority interest partners</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(3,123)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(1,071)</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Changes in restricted cash held in connection with debt obligations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(9,069)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(22,897)</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624</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(15,065)</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Common dividends paid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(105,085)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(87,523)</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Preferred dividends paid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(21,160)</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4"/>
                <w:szCs w:val="14"/>
                <w:color w:val="auto"/>
              </w:rPr>
              <w:t>(21,160)</w:t>
            </w:r>
          </w:p>
        </w:tc>
      </w:tr>
      <w:tr>
        <w:trPr>
          <w:trHeight w:val="135"/>
        </w:trPr>
        <w:tc>
          <w:tcPr>
            <w:tcW w:w="5820" w:type="dxa"/>
            <w:vAlign w:val="bottom"/>
          </w:tcPr>
          <w:p>
            <w:pPr>
              <w:ind w:left="160"/>
              <w:spacing w:after="0" w:line="135" w:lineRule="exact"/>
              <w:rPr>
                <w:sz w:val="20"/>
                <w:szCs w:val="20"/>
                <w:color w:val="auto"/>
              </w:rPr>
            </w:pPr>
            <w:r>
              <w:rPr>
                <w:rFonts w:ascii="Arial" w:cs="Arial" w:eastAsia="Arial" w:hAnsi="Arial"/>
                <w:sz w:val="14"/>
                <w:szCs w:val="14"/>
                <w:color w:val="auto"/>
              </w:rPr>
              <w:t>HPU dividends paid</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(2,325)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Arial" w:cs="Arial" w:eastAsia="Arial" w:hAnsi="Arial"/>
                <w:sz w:val="14"/>
                <w:szCs w:val="14"/>
                <w:color w:val="auto"/>
              </w:rPr>
              <w:t>(2,171)</w:t>
            </w:r>
          </w:p>
        </w:tc>
      </w:tr>
      <w:tr>
        <w:trPr>
          <w:trHeight w:val="135"/>
        </w:trPr>
        <w:tc>
          <w:tcPr>
            <w:tcW w:w="5820" w:type="dxa"/>
            <w:vAlign w:val="bottom"/>
            <w:shd w:val="clear" w:color="auto" w:fill="CCEEFF"/>
          </w:tcPr>
          <w:p>
            <w:pPr>
              <w:ind w:left="160"/>
              <w:spacing w:after="0" w:line="135" w:lineRule="exact"/>
              <w:rPr>
                <w:sz w:val="20"/>
                <w:szCs w:val="20"/>
                <w:color w:val="auto"/>
              </w:rPr>
            </w:pPr>
            <w:r>
              <w:rPr>
                <w:rFonts w:ascii="Arial" w:cs="Arial" w:eastAsia="Arial" w:hAnsi="Arial"/>
                <w:sz w:val="14"/>
                <w:szCs w:val="14"/>
                <w:color w:val="auto"/>
              </w:rPr>
              <w:t>HPUs issued/(redeemed)</w:t>
            </w: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1"/>
                <w:szCs w:val="11"/>
                <w:color w:val="auto"/>
              </w:rPr>
            </w:pPr>
          </w:p>
        </w:tc>
      </w:tr>
      <w:tr>
        <w:trPr>
          <w:trHeight w:val="135"/>
        </w:trPr>
        <w:tc>
          <w:tcPr>
            <w:tcW w:w="5820" w:type="dxa"/>
            <w:vAlign w:val="bottom"/>
            <w:tcBorders>
              <w:bottom w:val="single" w:sz="8" w:color="CCEEFF"/>
            </w:tcBorders>
          </w:tcPr>
          <w:p>
            <w:pPr>
              <w:ind w:left="160"/>
              <w:spacing w:after="0" w:line="135" w:lineRule="exact"/>
              <w:rPr>
                <w:sz w:val="20"/>
                <w:szCs w:val="20"/>
                <w:color w:val="auto"/>
              </w:rPr>
            </w:pPr>
            <w:r>
              <w:rPr>
                <w:rFonts w:ascii="Arial" w:cs="Arial" w:eastAsia="Arial" w:hAnsi="Arial"/>
                <w:sz w:val="14"/>
                <w:szCs w:val="14"/>
                <w:color w:val="auto"/>
              </w:rPr>
              <w:t>Proceeds from exercise of options and issuance of DRIP/Stock purchase shares</w:t>
            </w:r>
          </w:p>
        </w:tc>
        <w:tc>
          <w:tcPr>
            <w:tcW w:w="6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2,712</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2,068</w:t>
            </w:r>
          </w:p>
        </w:tc>
        <w:tc>
          <w:tcPr>
            <w:tcW w:w="100" w:type="dxa"/>
            <w:vAlign w:val="bottom"/>
            <w:tcBorders>
              <w:bottom w:val="single" w:sz="8" w:color="CCEEFF"/>
            </w:tcBorders>
          </w:tcPr>
          <w:p>
            <w:pPr>
              <w:spacing w:after="0"/>
              <w:rPr>
                <w:sz w:val="11"/>
                <w:szCs w:val="11"/>
                <w:color w:val="auto"/>
              </w:rPr>
            </w:pPr>
          </w:p>
        </w:tc>
      </w:tr>
      <w:tr>
        <w:trPr>
          <w:trHeight w:val="129"/>
        </w:trPr>
        <w:tc>
          <w:tcPr>
            <w:tcW w:w="5820" w:type="dxa"/>
            <w:vAlign w:val="bottom"/>
            <w:shd w:val="clear" w:color="auto" w:fill="CCEEFF"/>
          </w:tcPr>
          <w:p>
            <w:pPr>
              <w:ind w:left="320"/>
              <w:spacing w:after="0" w:line="129"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1,000,040</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479,677</w:t>
            </w:r>
          </w:p>
        </w:tc>
        <w:tc>
          <w:tcPr>
            <w:tcW w:w="100" w:type="dxa"/>
            <w:vAlign w:val="bottom"/>
            <w:shd w:val="clear" w:color="auto" w:fill="CCEEFF"/>
          </w:tcPr>
          <w:p>
            <w:pPr>
              <w:spacing w:after="0"/>
              <w:rPr>
                <w:sz w:val="11"/>
                <w:szCs w:val="11"/>
                <w:color w:val="auto"/>
              </w:rPr>
            </w:pPr>
          </w:p>
        </w:tc>
      </w:tr>
      <w:tr>
        <w:trPr>
          <w:trHeight w:val="129"/>
        </w:trPr>
        <w:tc>
          <w:tcPr>
            <w:tcW w:w="5820" w:type="dxa"/>
            <w:vAlign w:val="bottom"/>
          </w:tcPr>
          <w:p>
            <w:pPr>
              <w:spacing w:after="0" w:line="129" w:lineRule="exact"/>
              <w:rPr>
                <w:sz w:val="20"/>
                <w:szCs w:val="20"/>
                <w:color w:val="auto"/>
              </w:rPr>
            </w:pPr>
            <w:r>
              <w:rPr>
                <w:rFonts w:ascii="Arial" w:cs="Arial" w:eastAsia="Arial" w:hAnsi="Arial"/>
                <w:sz w:val="14"/>
                <w:szCs w:val="14"/>
                <w:color w:val="auto"/>
              </w:rPr>
              <w:t>Changes in cash and cash equivalents</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(17,932)</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(37,199)</w:t>
            </w:r>
          </w:p>
        </w:tc>
        <w:tc>
          <w:tcPr>
            <w:tcW w:w="100" w:type="dxa"/>
            <w:vAlign w:val="bottom"/>
          </w:tcPr>
          <w:p>
            <w:pPr>
              <w:spacing w:after="0"/>
              <w:rPr>
                <w:sz w:val="11"/>
                <w:szCs w:val="11"/>
                <w:color w:val="auto"/>
              </w:rPr>
            </w:pPr>
          </w:p>
        </w:tc>
      </w:tr>
      <w:tr>
        <w:trPr>
          <w:trHeight w:val="135"/>
        </w:trPr>
        <w:tc>
          <w:tcPr>
            <w:tcW w:w="582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and cash equivalents at beginning of period</w:t>
            </w:r>
          </w:p>
        </w:tc>
        <w:tc>
          <w:tcPr>
            <w:tcW w:w="6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105,951</w:t>
            </w: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115,370</w:t>
            </w:r>
          </w:p>
        </w:tc>
        <w:tc>
          <w:tcPr>
            <w:tcW w:w="100" w:type="dxa"/>
            <w:vAlign w:val="bottom"/>
            <w:shd w:val="clear" w:color="auto" w:fill="CCEEFF"/>
          </w:tcPr>
          <w:p>
            <w:pPr>
              <w:spacing w:after="0"/>
              <w:rPr>
                <w:sz w:val="11"/>
                <w:szCs w:val="11"/>
                <w:color w:val="auto"/>
              </w:rPr>
            </w:pPr>
          </w:p>
        </w:tc>
      </w:tr>
      <w:tr>
        <w:trPr>
          <w:trHeight w:val="129"/>
        </w:trPr>
        <w:tc>
          <w:tcPr>
            <w:tcW w:w="5820" w:type="dxa"/>
            <w:vAlign w:val="bottom"/>
          </w:tcPr>
          <w:p>
            <w:pPr>
              <w:spacing w:after="0" w:line="129" w:lineRule="exact"/>
              <w:rPr>
                <w:sz w:val="20"/>
                <w:szCs w:val="20"/>
                <w:color w:val="auto"/>
              </w:rPr>
            </w:pPr>
            <w:r>
              <w:rPr>
                <w:rFonts w:ascii="Arial" w:cs="Arial" w:eastAsia="Arial" w:hAnsi="Arial"/>
                <w:sz w:val="14"/>
                <w:szCs w:val="14"/>
                <w:color w:val="auto"/>
              </w:rPr>
              <w:t>Cash and cash equivalents at end of period</w:t>
            </w:r>
          </w:p>
        </w:tc>
        <w:tc>
          <w:tcPr>
            <w:tcW w:w="6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88,019</w:t>
            </w: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78,171</w:t>
            </w:r>
          </w:p>
        </w:tc>
        <w:tc>
          <w:tcPr>
            <w:tcW w:w="100" w:type="dxa"/>
            <w:vAlign w:val="bottom"/>
          </w:tcPr>
          <w:p>
            <w:pPr>
              <w:spacing w:after="0"/>
              <w:rPr>
                <w:sz w:val="11"/>
                <w:szCs w:val="11"/>
                <w:color w:val="auto"/>
              </w:rPr>
            </w:pPr>
          </w:p>
        </w:tc>
      </w:tr>
      <w:tr>
        <w:trPr>
          <w:trHeight w:val="20"/>
        </w:trPr>
        <w:tc>
          <w:tcPr>
            <w:tcW w:w="5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0" w:lineRule="exact"/>
        <w:rPr>
          <w:sz w:val="20"/>
          <w:szCs w:val="20"/>
          <w:color w:val="auto"/>
        </w:rPr>
      </w:pPr>
    </w:p>
    <w:p>
      <w:pPr>
        <w:ind w:right="60" w:firstLine="360"/>
        <w:spacing w:after="0" w:line="277"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(the “Company”) is a leading publicly-traded finance company focused on the commercial real estate industry.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 added financing solutions to its customers. The Company’s two primary lines of business are lending and corporate tenant leasing.</w:t>
      </w:r>
    </w:p>
    <w:p>
      <w:pPr>
        <w:spacing w:after="0" w:line="3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mezzanine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and loan participations which present attractive risk-reward opportunities.</w:t>
      </w:r>
    </w:p>
    <w:p>
      <w:pPr>
        <w:spacing w:after="0" w:line="43" w:lineRule="exact"/>
        <w:rPr>
          <w:sz w:val="20"/>
          <w:szCs w:val="20"/>
          <w:color w:val="auto"/>
        </w:rPr>
      </w:pPr>
    </w:p>
    <w:p>
      <w:pPr>
        <w:ind w:right="280" w:firstLine="360"/>
        <w:spacing w:after="0" w:line="257"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primarily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49" w:lineRule="exact"/>
        <w:rPr>
          <w:sz w:val="20"/>
          <w:szCs w:val="20"/>
          <w:color w:val="auto"/>
        </w:rPr>
      </w:pPr>
    </w:p>
    <w:p>
      <w:pPr>
        <w:ind w:right="20" w:firstLine="360"/>
        <w:spacing w:after="0" w:line="303"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formed to capitalize on inefficiencies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market. In March 1998, these funds contributed their assets to the Company’s predecessor in exchange for a controlling interest in that company. The Company later acquired its former external advisor in exchange for shares of the Company’s common stock (‘‘Common Stock’’) and converted its organizational form to a Maryland corporation. As part of the conversion to a Maryland corporation, the Company replaced its former dual class common</w:t>
      </w:r>
    </w:p>
    <w:p>
      <w:pPr>
        <w:sectPr>
          <w:pgSz w:w="11900" w:h="16930" w:orient="portrait"/>
          <w:cols w:equalWidth="0" w:num="1">
            <w:col w:w="11340"/>
          </w:cols>
          <w:pgMar w:left="240" w:top="148" w:right="319" w:bottom="0" w:gutter="0" w:footer="0" w:header="0"/>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t>share structure with a single class of Common Stock. The Company’s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in 1999 of TriNet Corporate Realty Trust, Inc., the acquisition in 2005 of Falcon Financial Investment Trust and the acquisition in 2005 of a significant non-controlling interest in Oak Hill Advisors, L.P. and affiliates.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94"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 Consolidated Financial Statements and related Notes included in the Company’s Annual Report on Form 10-K for the year ended December 31, 2006. The Consolidated Financial Statements include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2—Basis of Presentation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of the Company, its qualified REIT subsidiaries, its majority-owned and controlled partnerships and other entities that are consolidated under the provisions of FASB Interpretation No. 46, “Consolidation of Variable Interest Entities,” an interpretation of ARB 51 (“FIN 46R”) (see Note 6). All significant intercompany balances and transactions have been eliminated in consolidation. Certain investments in joint ventures or other entities which the Company does not control are accounted for under the equity method (see Note 6 and Note 7).</w:t>
      </w:r>
    </w:p>
    <w:p>
      <w:pPr>
        <w:spacing w:after="0" w:line="52"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June 30, 2007 and December 31, 2006 and the results of its operations for the three and six months ended June 30, 2007 and 2006, respectively, and its changes in shareholders’ equity and its cash flows for the six months ended June 30, 2007. Such operating results may not be indicative of the expected results for any other interim periods or the entire year.</w:t>
      </w:r>
    </w:p>
    <w:p>
      <w:pPr>
        <w:spacing w:after="0" w:line="33"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As of June 30, 2007, the Company’s significant accounting policies, which are detailed in the Company’s Annual Report on Form 10-K for the year ended December 31, 2006, have not changed materially.</w:t>
      </w:r>
    </w:p>
    <w:p>
      <w:pPr>
        <w:spacing w:after="0" w:line="35"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60" w:lineRule="exact"/>
        <w:rPr>
          <w:sz w:val="20"/>
          <w:szCs w:val="20"/>
          <w:color w:val="auto"/>
        </w:rPr>
      </w:pPr>
    </w:p>
    <w:p>
      <w:pPr>
        <w:ind w:right="300" w:firstLine="360"/>
        <w:spacing w:after="0" w:line="352" w:lineRule="auto"/>
        <w:rPr>
          <w:sz w:val="20"/>
          <w:szCs w:val="20"/>
          <w:color w:val="auto"/>
        </w:rPr>
      </w:pPr>
      <w:r>
        <w:rPr>
          <w:rFonts w:ascii="Arial" w:cs="Arial" w:eastAsia="Arial" w:hAnsi="Arial"/>
          <w:sz w:val="18"/>
          <w:szCs w:val="18"/>
          <w:color w:val="auto"/>
        </w:rPr>
        <w:t xml:space="preserve">Certain prior year amounts have been reclassified in the Consolidated Financial Statements and the related notes to conform to the 2007 presentation. </w:t>
      </w:r>
      <w:r>
        <w:rPr>
          <w:rFonts w:ascii="Arial" w:cs="Arial" w:eastAsia="Arial" w:hAnsi="Arial"/>
          <w:sz w:val="18"/>
          <w:szCs w:val="18"/>
          <w:b w:val="1"/>
          <w:bCs w:val="1"/>
          <w:color w:val="auto"/>
        </w:rPr>
        <w:t>Note 3—Recent Accounting Pronouncements</w:t>
      </w:r>
    </w:p>
    <w:p>
      <w:pPr>
        <w:spacing w:after="0" w:line="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will adopt SFAS No. 159 on January 1, 2008, as required, and management is still evaluating the impact on the Company’s Consolidated Financial Statements.</w:t>
      </w:r>
    </w:p>
    <w:p>
      <w:pPr>
        <w:spacing w:after="0" w:line="63"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 SFAS No. 157 is effective for financial statements issued for fiscal years beginning after November 15, 2007. The Company will adopt SFAS No. 157 on January 1, 2008, as required, and management is still evaluating the impact on the Company’s Consolidated Financial Statements.</w:t>
      </w:r>
    </w:p>
    <w:p>
      <w:pPr>
        <w:spacing w:after="0" w:line="58"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In July 2006, the FASB released Interpretation No. 48 (“FIN 48”), “Accounting for Uncertainty in Income Taxes—an Interpretation of FASB Statement 109.” FIN 48 prescribes a comprehensive model for how a company should recognize, measure, present, and disclose in its financial statements uncertain tax</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3—Recent Accounting Pronouncements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positions that the company has taken or expects to take on a tax return. A tax benefit from an uncertain position may be recognized only if it is “more likely than not” that the position is sustainable, based on its technical merits. The tax benefit is the largest amount of tax benefit that is greater than 50% likely of being realized upon ultimate settlement with a taxing authority having full knowledge of all relevant information. FIN 48 is effective for fiscal years beginning after December 15, 2006. The Company adopted FIN 48 on January 1, 2007, as required. As a result of the implementation of FIN 48, the Company did not have any unrecognized tax benefits or any additional tax liabilities as of January 1, 2007 or as of June 30, 2007. The Company’s policy is to recognize interest expense and penalties related to uncertain tax positions, if any, as income tax expense, which is included in “General and administrative” costs on the Company’s Consolidated Statements of Operations.</w:t>
      </w:r>
    </w:p>
    <w:p>
      <w:pPr>
        <w:spacing w:after="0" w:line="54"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In March 2006, the FASB released Statement of Financial Accounting Standards No. 156 (“SFAS No. 156”), “Accounting for Servicing of Financial Assets.” SFAS No. 156 was issued to simplify the accounting for servicing rights and to reduce the volatility that results from the use of different</w:t>
      </w:r>
    </w:p>
    <w:p>
      <w:pPr>
        <w:sectPr>
          <w:pgSz w:w="11900" w:h="16838" w:orient="portrait"/>
          <w:cols w:equalWidth="0" w:num="1">
            <w:col w:w="11420"/>
          </w:cols>
          <w:pgMar w:left="240" w:top="125" w:right="239" w:bottom="0" w:gutter="0" w:footer="0" w:header="0"/>
        </w:sectPr>
      </w:pPr>
    </w:p>
    <w:bookmarkStart w:id="5" w:name="page6"/>
    <w:bookmarkEnd w:id="5"/>
    <w:p>
      <w:pPr>
        <w:ind w:right="60"/>
        <w:spacing w:after="0" w:line="291" w:lineRule="auto"/>
        <w:rPr>
          <w:sz w:val="20"/>
          <w:szCs w:val="20"/>
          <w:color w:val="auto"/>
        </w:rPr>
      </w:pPr>
      <w:r>
        <w:rPr>
          <w:rFonts w:ascii="Arial" w:cs="Arial" w:eastAsia="Arial" w:hAnsi="Arial"/>
          <w:sz w:val="16"/>
          <w:szCs w:val="16"/>
          <w:color w:val="auto"/>
        </w:rPr>
        <w:t>measurement attributes for servicing rights and the related financial instruments used to economically hedge risks associated with those servicing rights. SFAS No. 156 modifies the accounting for servicing rights by: (1) clarifying when a separate asset or servicing liability should be recognized; (2) requiring a separately recognized servicing asset or servicing liability to be measured at fair value; (3) allowing entities to subsequently measure servicing rights either at fair value or under the amortization method for each class of a separately recognized servicing asset or servicing liability; (4) permitting a one-time reclassification of available-for-sale securities to trading securities; and (5) requiring separate presentation of servicing assets and servicing liabilities subsequently measured at fair value. SFAS No. 156 is effective in annual periods beginning after September 15, 2006. The Company adopted SFAS No. 156 on January 1, 2007, as required, and it did not have a significant impact on the Company’s Consolidated Financial Statements.</w:t>
      </w:r>
    </w:p>
    <w:p>
      <w:pPr>
        <w:spacing w:after="0" w:line="59"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February 2006, the FASB released Statement of Financial Accounting Standards No. 155 (“SFAS No. 155”), “Accounting for Certain Hybrid Financial Instruments.” The key provisions of SFAS No. 155 include: (1) a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(IOs) and principal-only strips (POs) from derivative accounting under paragraph 14 of Statement of Financial Accounting Standards No. 133 (“SFAS No. 133”), “Accounting for Derivative Instruments and Hedging Activities,”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qualifying special-purpose entity (QSPE) holding passive derivative financial instruments that pertain to beneficial interests that are or contain a derivative financial instrument. SFAS No. 155 is effective for annual periods beginning after September 15, 2006. The Company adopted SFAS No. 155 on January 1, 2007, as required, and it did not have a significant impact on the Company’s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 of</w:t>
            </w: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Principal</w:t>
            </w:r>
          </w:p>
        </w:tc>
        <w:tc>
          <w:tcPr>
            <w:tcW w:w="1780" w:type="dxa"/>
            <w:vAlign w:val="bottom"/>
            <w:gridSpan w:val="6"/>
          </w:tcPr>
          <w:p>
            <w:pPr>
              <w:ind w:left="260"/>
              <w:spacing w:after="0"/>
              <w:rPr>
                <w:sz w:val="20"/>
                <w:szCs w:val="20"/>
                <w:color w:val="auto"/>
              </w:rPr>
            </w:pPr>
            <w:r>
              <w:rPr>
                <w:rFonts w:ascii="Arial" w:cs="Arial" w:eastAsia="Arial" w:hAnsi="Arial"/>
                <w:sz w:val="12"/>
                <w:szCs w:val="12"/>
                <w:b w:val="1"/>
                <w:bCs w:val="1"/>
                <w:color w:val="auto"/>
              </w:rPr>
              <w:t>Carrying Value as of</w:t>
            </w: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Effective</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840" w:type="dxa"/>
            <w:vAlign w:val="bottom"/>
            <w:vMerge w:val="restart"/>
          </w:tcPr>
          <w:p>
            <w:pPr>
              <w:spacing w:after="0"/>
              <w:rPr>
                <w:sz w:val="20"/>
                <w:szCs w:val="20"/>
                <w:color w:val="auto"/>
              </w:rPr>
            </w:pPr>
            <w:r>
              <w:rPr>
                <w:rFonts w:ascii="Arial" w:cs="Arial" w:eastAsia="Arial" w:hAnsi="Arial"/>
                <w:sz w:val="12"/>
                <w:szCs w:val="12"/>
                <w:b w:val="1"/>
                <w:bCs w:val="1"/>
                <w:color w:val="auto"/>
              </w:rPr>
              <w:t>Type of Investment</w:t>
            </w:r>
          </w:p>
        </w:tc>
        <w:tc>
          <w:tcPr>
            <w:tcW w:w="200" w:type="dxa"/>
            <w:vAlign w:val="bottom"/>
          </w:tcPr>
          <w:p>
            <w:pPr>
              <w:spacing w:after="0"/>
              <w:rPr>
                <w:sz w:val="7"/>
                <w:szCs w:val="7"/>
                <w:color w:val="auto"/>
              </w:rPr>
            </w:pPr>
          </w:p>
        </w:tc>
        <w:tc>
          <w:tcPr>
            <w:tcW w:w="1220" w:type="dxa"/>
            <w:vAlign w:val="bottom"/>
            <w:gridSpan w:val="2"/>
          </w:tcPr>
          <w:p>
            <w:pPr>
              <w:ind w:left="220"/>
              <w:spacing w:after="0" w:line="88" w:lineRule="exact"/>
              <w:rPr>
                <w:sz w:val="20"/>
                <w:szCs w:val="20"/>
                <w:color w:val="auto"/>
              </w:rPr>
            </w:pPr>
            <w:r>
              <w:rPr>
                <w:rFonts w:ascii="Arial" w:cs="Arial" w:eastAsia="Arial" w:hAnsi="Arial"/>
                <w:sz w:val="9"/>
                <w:szCs w:val="9"/>
                <w:b w:val="1"/>
                <w:bCs w:val="1"/>
                <w:color w:val="auto"/>
              </w:rPr>
              <w:t>Underlying</w:t>
            </w:r>
          </w:p>
        </w:tc>
        <w:tc>
          <w:tcPr>
            <w:tcW w:w="86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rPr>
              <w:t>Borrowers</w:t>
            </w:r>
          </w:p>
        </w:tc>
        <w:tc>
          <w:tcPr>
            <w:tcW w:w="920" w:type="dxa"/>
            <w:vAlign w:val="bottom"/>
            <w:gridSpan w:val="2"/>
          </w:tcPr>
          <w:p>
            <w:pPr>
              <w:jc w:val="center"/>
              <w:ind w:right="200"/>
              <w:spacing w:after="0" w:line="88" w:lineRule="exact"/>
              <w:rPr>
                <w:sz w:val="20"/>
                <w:szCs w:val="20"/>
                <w:color w:val="auto"/>
              </w:rPr>
            </w:pPr>
            <w:r>
              <w:rPr>
                <w:rFonts w:ascii="Arial" w:cs="Arial" w:eastAsia="Arial" w:hAnsi="Arial"/>
                <w:sz w:val="9"/>
                <w:szCs w:val="9"/>
                <w:b w:val="1"/>
                <w:bCs w:val="1"/>
                <w:color w:val="auto"/>
              </w:rPr>
              <w:t>Balances</w:t>
            </w:r>
          </w:p>
        </w:tc>
        <w:tc>
          <w:tcPr>
            <w:tcW w:w="820" w:type="dxa"/>
            <w:vAlign w:val="bottom"/>
            <w:tcBorders>
              <w:top w:val="single" w:sz="8" w:color="auto"/>
            </w:tcBorders>
            <w:gridSpan w:val="2"/>
          </w:tcPr>
          <w:p>
            <w:pPr>
              <w:jc w:val="center"/>
              <w:ind w:right="240"/>
              <w:spacing w:after="0" w:line="88" w:lineRule="exact"/>
              <w:rPr>
                <w:sz w:val="20"/>
                <w:szCs w:val="20"/>
                <w:color w:val="auto"/>
              </w:rPr>
            </w:pPr>
            <w:r>
              <w:rPr>
                <w:rFonts w:ascii="Arial" w:cs="Arial" w:eastAsia="Arial" w:hAnsi="Arial"/>
                <w:sz w:val="9"/>
                <w:szCs w:val="9"/>
                <w:b w:val="1"/>
                <w:bCs w:val="1"/>
                <w:color w:val="auto"/>
              </w:rPr>
              <w:t>June 30,</w:t>
            </w:r>
          </w:p>
        </w:tc>
        <w:tc>
          <w:tcPr>
            <w:tcW w:w="760" w:type="dxa"/>
            <w:vAlign w:val="bottom"/>
            <w:tcBorders>
              <w:top w:val="single" w:sz="8" w:color="auto"/>
            </w:tcBorders>
            <w:gridSpan w:val="3"/>
          </w:tcPr>
          <w:p>
            <w:pPr>
              <w:jc w:val="center"/>
              <w:ind w:right="40"/>
              <w:spacing w:after="0" w:line="88" w:lineRule="exact"/>
              <w:rPr>
                <w:sz w:val="20"/>
                <w:szCs w:val="20"/>
                <w:color w:val="auto"/>
              </w:rPr>
            </w:pPr>
            <w:r>
              <w:rPr>
                <w:rFonts w:ascii="Arial" w:cs="Arial" w:eastAsia="Arial" w:hAnsi="Arial"/>
                <w:sz w:val="9"/>
                <w:szCs w:val="9"/>
                <w:b w:val="1"/>
                <w:bCs w:val="1"/>
                <w:color w:val="auto"/>
              </w:rPr>
              <w:t>December 31,</w:t>
            </w:r>
          </w:p>
        </w:tc>
        <w:tc>
          <w:tcPr>
            <w:tcW w:w="200" w:type="dxa"/>
            <w:vAlign w:val="bottom"/>
          </w:tcPr>
          <w:p>
            <w:pPr>
              <w:spacing w:after="0"/>
              <w:rPr>
                <w:sz w:val="7"/>
                <w:szCs w:val="7"/>
                <w:color w:val="auto"/>
              </w:rPr>
            </w:pPr>
          </w:p>
        </w:tc>
        <w:tc>
          <w:tcPr>
            <w:tcW w:w="90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rPr>
              <w:t>Maturity</w:t>
            </w:r>
          </w:p>
        </w:tc>
        <w:tc>
          <w:tcPr>
            <w:tcW w:w="1220" w:type="dxa"/>
            <w:vAlign w:val="bottom"/>
          </w:tcPr>
          <w:p>
            <w:pPr>
              <w:ind w:left="100"/>
              <w:spacing w:after="0" w:line="88" w:lineRule="exact"/>
              <w:rPr>
                <w:sz w:val="20"/>
                <w:szCs w:val="20"/>
                <w:color w:val="auto"/>
              </w:rPr>
            </w:pPr>
            <w:r>
              <w:rPr>
                <w:rFonts w:ascii="Arial" w:cs="Arial" w:eastAsia="Arial" w:hAnsi="Arial"/>
                <w:sz w:val="9"/>
                <w:szCs w:val="9"/>
                <w:b w:val="1"/>
                <w:bCs w:val="1"/>
                <w:color w:val="auto"/>
              </w:rPr>
              <w:t>Contractual Interest</w:t>
            </w:r>
          </w:p>
        </w:tc>
        <w:tc>
          <w:tcPr>
            <w:tcW w:w="220" w:type="dxa"/>
            <w:vAlign w:val="bottom"/>
          </w:tcPr>
          <w:p>
            <w:pPr>
              <w:spacing w:after="0"/>
              <w:rPr>
                <w:sz w:val="7"/>
                <w:szCs w:val="7"/>
                <w:color w:val="auto"/>
              </w:rPr>
            </w:pPr>
          </w:p>
        </w:tc>
        <w:tc>
          <w:tcPr>
            <w:tcW w:w="1260" w:type="dxa"/>
            <w:vAlign w:val="bottom"/>
            <w:gridSpan w:val="2"/>
          </w:tcPr>
          <w:p>
            <w:pPr>
              <w:jc w:val="center"/>
              <w:ind w:right="80"/>
              <w:spacing w:after="0" w:line="88" w:lineRule="exact"/>
              <w:rPr>
                <w:sz w:val="20"/>
                <w:szCs w:val="20"/>
                <w:color w:val="auto"/>
              </w:rPr>
            </w:pPr>
            <w:r>
              <w:rPr>
                <w:rFonts w:ascii="Arial" w:cs="Arial" w:eastAsia="Arial" w:hAnsi="Arial"/>
                <w:sz w:val="9"/>
                <w:szCs w:val="9"/>
                <w:b w:val="1"/>
                <w:bCs w:val="1"/>
                <w:color w:val="auto"/>
              </w:rPr>
              <w:t>Contractual Interest</w:t>
            </w:r>
          </w:p>
        </w:tc>
        <w:tc>
          <w:tcPr>
            <w:tcW w:w="0" w:type="dxa"/>
            <w:vAlign w:val="bottom"/>
          </w:tcPr>
          <w:p>
            <w:pPr>
              <w:spacing w:after="0"/>
              <w:rPr>
                <w:sz w:val="1"/>
                <w:szCs w:val="1"/>
                <w:color w:val="auto"/>
              </w:rPr>
            </w:pPr>
          </w:p>
        </w:tc>
      </w:tr>
      <w:tr>
        <w:trPr>
          <w:trHeight w:val="122"/>
        </w:trPr>
        <w:tc>
          <w:tcPr>
            <w:tcW w:w="2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ind w:left="140"/>
              <w:spacing w:after="0" w:line="122" w:lineRule="exact"/>
              <w:rPr>
                <w:sz w:val="20"/>
                <w:szCs w:val="20"/>
                <w:color w:val="auto"/>
              </w:rPr>
            </w:pPr>
            <w:r>
              <w:rPr>
                <w:rFonts w:ascii="Arial" w:cs="Arial" w:eastAsia="Arial" w:hAnsi="Arial"/>
                <w:sz w:val="12"/>
                <w:szCs w:val="12"/>
                <w:b w:val="1"/>
                <w:bCs w:val="1"/>
                <w:color w:val="auto"/>
              </w:rPr>
              <w:t>Property Type</w:t>
            </w: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6"/>
              </w:rPr>
              <w:t>In Class</w:t>
            </w:r>
          </w:p>
        </w:tc>
        <w:tc>
          <w:tcPr>
            <w:tcW w:w="92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7"/>
              </w:rPr>
              <w:t>Outstanding</w:t>
            </w:r>
          </w:p>
        </w:tc>
        <w:tc>
          <w:tcPr>
            <w:tcW w:w="60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89"/>
              </w:rPr>
              <w:t>2007</w:t>
            </w:r>
          </w:p>
        </w:tc>
        <w:tc>
          <w:tcPr>
            <w:tcW w:w="220" w:type="dxa"/>
            <w:vAlign w:val="bottom"/>
          </w:tcPr>
          <w:p>
            <w:pPr>
              <w:spacing w:after="0"/>
              <w:rPr>
                <w:sz w:val="10"/>
                <w:szCs w:val="10"/>
                <w:color w:val="auto"/>
              </w:rPr>
            </w:pPr>
          </w:p>
        </w:tc>
        <w:tc>
          <w:tcPr>
            <w:tcW w:w="680" w:type="dxa"/>
            <w:vAlign w:val="bottom"/>
            <w:gridSpan w:val="2"/>
          </w:tcPr>
          <w:p>
            <w:pPr>
              <w:jc w:val="center"/>
              <w:ind w:left="3"/>
              <w:spacing w:after="0" w:line="122" w:lineRule="exact"/>
              <w:rPr>
                <w:sz w:val="20"/>
                <w:szCs w:val="20"/>
                <w:color w:val="auto"/>
              </w:rPr>
            </w:pPr>
            <w:r>
              <w:rPr>
                <w:rFonts w:ascii="Arial" w:cs="Arial" w:eastAsia="Arial" w:hAnsi="Arial"/>
                <w:sz w:val="12"/>
                <w:szCs w:val="12"/>
                <w:b w:val="1"/>
                <w:bCs w:val="1"/>
                <w:color w:val="auto"/>
                <w:w w:val="82"/>
              </w:rPr>
              <w:t>2006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20"/>
              <w:spacing w:after="0" w:line="122" w:lineRule="exact"/>
              <w:rPr>
                <w:sz w:val="20"/>
                <w:szCs w:val="20"/>
                <w:color w:val="auto"/>
              </w:rPr>
            </w:pPr>
            <w:r>
              <w:rPr>
                <w:rFonts w:ascii="Arial" w:cs="Arial" w:eastAsia="Arial" w:hAnsi="Arial"/>
                <w:sz w:val="12"/>
                <w:szCs w:val="12"/>
                <w:b w:val="1"/>
                <w:bCs w:val="1"/>
                <w:color w:val="auto"/>
                <w:w w:val="85"/>
              </w:rPr>
              <w:t>Dates</w:t>
            </w:r>
          </w:p>
        </w:tc>
        <w:tc>
          <w:tcPr>
            <w:tcW w:w="1220" w:type="dxa"/>
            <w:vAlign w:val="bottom"/>
          </w:tcPr>
          <w:p>
            <w:pPr>
              <w:ind w:left="160"/>
              <w:spacing w:after="0" w:line="122" w:lineRule="exact"/>
              <w:rPr>
                <w:sz w:val="20"/>
                <w:szCs w:val="20"/>
                <w:color w:val="auto"/>
              </w:rPr>
            </w:pPr>
            <w:r>
              <w:rPr>
                <w:rFonts w:ascii="Arial" w:cs="Arial" w:eastAsia="Arial" w:hAnsi="Arial"/>
                <w:sz w:val="12"/>
                <w:szCs w:val="12"/>
                <w:b w:val="1"/>
                <w:bCs w:val="1"/>
                <w:color w:val="auto"/>
              </w:rPr>
              <w:t>Payment Rates(2)</w:t>
            </w:r>
          </w:p>
        </w:tc>
        <w:tc>
          <w:tcPr>
            <w:tcW w:w="220" w:type="dxa"/>
            <w:vAlign w:val="bottom"/>
          </w:tcPr>
          <w:p>
            <w:pPr>
              <w:spacing w:after="0"/>
              <w:rPr>
                <w:sz w:val="10"/>
                <w:szCs w:val="10"/>
                <w:color w:val="auto"/>
              </w:rPr>
            </w:pPr>
          </w:p>
        </w:tc>
        <w:tc>
          <w:tcPr>
            <w:tcW w:w="1260" w:type="dxa"/>
            <w:vAlign w:val="bottom"/>
            <w:gridSpan w:val="2"/>
          </w:tcPr>
          <w:p>
            <w:pPr>
              <w:jc w:val="center"/>
              <w:ind w:right="60"/>
              <w:spacing w:after="0" w:line="122" w:lineRule="exact"/>
              <w:rPr>
                <w:sz w:val="20"/>
                <w:szCs w:val="20"/>
                <w:color w:val="auto"/>
              </w:rPr>
            </w:pPr>
            <w:r>
              <w:rPr>
                <w:rFonts w:ascii="Arial" w:cs="Arial" w:eastAsia="Arial" w:hAnsi="Arial"/>
                <w:sz w:val="12"/>
                <w:szCs w:val="12"/>
                <w:b w:val="1"/>
                <w:bCs w:val="1"/>
                <w:color w:val="auto"/>
                <w:w w:val="88"/>
              </w:rPr>
              <w:t>Accrual Rates(2)</w:t>
            </w:r>
          </w:p>
        </w:tc>
        <w:tc>
          <w:tcPr>
            <w:tcW w:w="0" w:type="dxa"/>
            <w:vAlign w:val="bottom"/>
          </w:tcPr>
          <w:p>
            <w:pPr>
              <w:spacing w:after="0"/>
              <w:rPr>
                <w:sz w:val="1"/>
                <w:szCs w:val="1"/>
                <w:color w:val="auto"/>
              </w:rPr>
            </w:pPr>
          </w:p>
        </w:tc>
      </w:tr>
      <w:tr>
        <w:trPr>
          <w:trHeight w:val="122"/>
        </w:trPr>
        <w:tc>
          <w:tcPr>
            <w:tcW w:w="284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Senior Mortgages(3)(4)(6)</w:t>
            </w:r>
          </w:p>
        </w:tc>
        <w:tc>
          <w:tcPr>
            <w:tcW w:w="2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Office/Residential/</w:t>
            </w: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23"/>
              <w:spacing w:after="0" w:line="122" w:lineRule="exact"/>
              <w:rPr>
                <w:sz w:val="20"/>
                <w:szCs w:val="20"/>
                <w:color w:val="auto"/>
              </w:rPr>
            </w:pPr>
            <w:r>
              <w:rPr>
                <w:rFonts w:ascii="Arial" w:cs="Arial" w:eastAsia="Arial" w:hAnsi="Arial"/>
                <w:sz w:val="12"/>
                <w:szCs w:val="12"/>
                <w:color w:val="auto"/>
              </w:rPr>
              <w:t>143</w:t>
            </w: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w w:val="88"/>
              </w:rPr>
              <w:t>$ 5,123,927</w:t>
            </w: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2"/>
                <w:szCs w:val="12"/>
                <w:color w:val="auto"/>
                <w:w w:val="85"/>
              </w:rPr>
              <w:t>$ 5,080,490</w:t>
            </w:r>
          </w:p>
        </w:tc>
        <w:tc>
          <w:tcPr>
            <w:tcW w:w="2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center"/>
              <w:ind w:left="23"/>
              <w:spacing w:after="0" w:line="122" w:lineRule="exact"/>
              <w:rPr>
                <w:sz w:val="20"/>
                <w:szCs w:val="20"/>
                <w:color w:val="auto"/>
              </w:rPr>
            </w:pPr>
            <w:r>
              <w:rPr>
                <w:rFonts w:ascii="Arial" w:cs="Arial" w:eastAsia="Arial" w:hAnsi="Arial"/>
                <w:sz w:val="12"/>
                <w:szCs w:val="12"/>
                <w:color w:val="auto"/>
                <w:w w:val="88"/>
              </w:rPr>
              <w:t>$ 3,999,093</w:t>
            </w:r>
          </w:p>
        </w:tc>
        <w:tc>
          <w:tcPr>
            <w:tcW w:w="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60"/>
              <w:spacing w:after="0" w:line="122" w:lineRule="exact"/>
              <w:rPr>
                <w:sz w:val="20"/>
                <w:szCs w:val="20"/>
                <w:color w:val="auto"/>
              </w:rPr>
            </w:pPr>
            <w:r>
              <w:rPr>
                <w:rFonts w:ascii="Arial" w:cs="Arial" w:eastAsia="Arial" w:hAnsi="Arial"/>
                <w:sz w:val="12"/>
                <w:szCs w:val="12"/>
                <w:color w:val="auto"/>
                <w:w w:val="85"/>
              </w:rPr>
              <w:t>2007 to 2026</w:t>
            </w:r>
          </w:p>
        </w:tc>
        <w:tc>
          <w:tcPr>
            <w:tcW w:w="22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Fixed: 6.5% to 30%</w:t>
            </w:r>
          </w:p>
        </w:tc>
        <w:tc>
          <w:tcPr>
            <w:tcW w:w="2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2"/>
                <w:szCs w:val="12"/>
                <w:color w:val="auto"/>
              </w:rPr>
              <w:t>Fixed: 6.5% to 30%</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Retail/Industrial,</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Variable:</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Variable:</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R&amp;D/Mixed</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LIBOR + 1.6%</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LIBOR + 1.6%</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Use/Hotel/</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 LIBOR + 7%</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to LIBOR + 7%</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Entertainment,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Leisure/Other</w:t>
            </w: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Arial" w:cs="Arial" w:eastAsia="Arial" w:hAnsi="Arial"/>
                <w:sz w:val="12"/>
                <w:szCs w:val="12"/>
                <w:color w:val="auto"/>
              </w:rPr>
              <w:t>Subordinate Mortgages(3)(4)(5)(6)</w:t>
            </w:r>
          </w:p>
        </w:tc>
        <w:tc>
          <w:tcPr>
            <w:tcW w:w="2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Office/Residential/</w:t>
            </w:r>
          </w:p>
        </w:tc>
        <w:tc>
          <w:tcPr>
            <w:tcW w:w="660" w:type="dxa"/>
            <w:vAlign w:val="bottom"/>
          </w:tcPr>
          <w:p>
            <w:pPr>
              <w:jc w:val="right"/>
              <w:ind w:right="23"/>
              <w:spacing w:after="0"/>
              <w:rPr>
                <w:sz w:val="20"/>
                <w:szCs w:val="20"/>
                <w:color w:val="auto"/>
              </w:rPr>
            </w:pPr>
            <w:r>
              <w:rPr>
                <w:rFonts w:ascii="Arial" w:cs="Arial" w:eastAsia="Arial" w:hAnsi="Arial"/>
                <w:sz w:val="12"/>
                <w:szCs w:val="12"/>
                <w:color w:val="auto"/>
              </w:rPr>
              <w:t>21</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592,269</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586,776</w:t>
            </w:r>
          </w:p>
        </w:tc>
        <w:tc>
          <w:tcPr>
            <w:tcW w:w="760" w:type="dxa"/>
            <w:vAlign w:val="bottom"/>
            <w:gridSpan w:val="3"/>
          </w:tcPr>
          <w:p>
            <w:pPr>
              <w:jc w:val="right"/>
              <w:ind w:right="80"/>
              <w:spacing w:after="0"/>
              <w:rPr>
                <w:sz w:val="20"/>
                <w:szCs w:val="20"/>
                <w:color w:val="auto"/>
              </w:rPr>
            </w:pPr>
            <w:r>
              <w:rPr>
                <w:rFonts w:ascii="Arial" w:cs="Arial" w:eastAsia="Arial" w:hAnsi="Arial"/>
                <w:sz w:val="12"/>
                <w:szCs w:val="12"/>
                <w:color w:val="auto"/>
              </w:rPr>
              <w:t>615,031</w:t>
            </w:r>
          </w:p>
        </w:tc>
        <w:tc>
          <w:tcPr>
            <w:tcW w:w="20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color w:val="auto"/>
              </w:rPr>
              <w:t>2007 to 2017</w:t>
            </w:r>
          </w:p>
        </w:tc>
        <w:tc>
          <w:tcPr>
            <w:tcW w:w="1220" w:type="dxa"/>
            <w:vAlign w:val="bottom"/>
          </w:tcPr>
          <w:p>
            <w:pPr>
              <w:spacing w:after="0"/>
              <w:rPr>
                <w:sz w:val="20"/>
                <w:szCs w:val="20"/>
                <w:color w:val="auto"/>
              </w:rPr>
            </w:pPr>
            <w:r>
              <w:rPr>
                <w:rFonts w:ascii="Arial" w:cs="Arial" w:eastAsia="Arial" w:hAnsi="Arial"/>
                <w:sz w:val="12"/>
                <w:szCs w:val="12"/>
                <w:color w:val="auto"/>
              </w:rPr>
              <w:t>Fixed: 5% to 10.5%</w:t>
            </w:r>
          </w:p>
        </w:tc>
        <w:tc>
          <w:tcPr>
            <w:tcW w:w="1480" w:type="dxa"/>
            <w:vAlign w:val="bottom"/>
            <w:gridSpan w:val="3"/>
          </w:tcPr>
          <w:p>
            <w:pPr>
              <w:ind w:left="220"/>
              <w:spacing w:after="0"/>
              <w:rPr>
                <w:sz w:val="20"/>
                <w:szCs w:val="20"/>
                <w:color w:val="auto"/>
              </w:rPr>
            </w:pPr>
            <w:r>
              <w:rPr>
                <w:rFonts w:ascii="Arial" w:cs="Arial" w:eastAsia="Arial" w:hAnsi="Arial"/>
                <w:sz w:val="12"/>
                <w:szCs w:val="12"/>
                <w:color w:val="auto"/>
              </w:rPr>
              <w:t>Fixed: 7.32% to 25%</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color w:val="auto"/>
              </w:rPr>
              <w:t>Retail/Mixed</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line="135" w:lineRule="exact"/>
              <w:rPr>
                <w:sz w:val="20"/>
                <w:szCs w:val="20"/>
                <w:color w:val="auto"/>
              </w:rPr>
            </w:pPr>
            <w:r>
              <w:rPr>
                <w:rFonts w:ascii="Arial" w:cs="Arial" w:eastAsia="Arial" w:hAnsi="Arial"/>
                <w:sz w:val="12"/>
                <w:szCs w:val="12"/>
                <w:color w:val="auto"/>
              </w:rPr>
              <w:t>Variable:</w:t>
            </w:r>
          </w:p>
        </w:tc>
        <w:tc>
          <w:tcPr>
            <w:tcW w:w="148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Variable: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color w:val="auto"/>
              </w:rPr>
              <w:t>Use/Hotel/</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line="135" w:lineRule="exact"/>
              <w:rPr>
                <w:sz w:val="20"/>
                <w:szCs w:val="20"/>
                <w:color w:val="auto"/>
              </w:rPr>
            </w:pPr>
            <w:r>
              <w:rPr>
                <w:rFonts w:ascii="Arial" w:cs="Arial" w:eastAsia="Arial" w:hAnsi="Arial"/>
                <w:sz w:val="12"/>
                <w:szCs w:val="12"/>
                <w:color w:val="auto"/>
              </w:rPr>
              <w:t>LIBOR + 2.05%</w:t>
            </w:r>
          </w:p>
        </w:tc>
        <w:tc>
          <w:tcPr>
            <w:tcW w:w="148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LIBOR + 2.05%</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color w:val="auto"/>
              </w:rPr>
              <w:t>Entertainment,</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line="135" w:lineRule="exact"/>
              <w:rPr>
                <w:sz w:val="20"/>
                <w:szCs w:val="20"/>
                <w:color w:val="auto"/>
              </w:rPr>
            </w:pPr>
            <w:r>
              <w:rPr>
                <w:rFonts w:ascii="Arial" w:cs="Arial" w:eastAsia="Arial" w:hAnsi="Arial"/>
                <w:sz w:val="12"/>
                <w:szCs w:val="12"/>
                <w:color w:val="auto"/>
              </w:rPr>
              <w:t>to LIBOR +7.75%</w:t>
            </w:r>
          </w:p>
        </w:tc>
        <w:tc>
          <w:tcPr>
            <w:tcW w:w="1480" w:type="dxa"/>
            <w:vAlign w:val="bottom"/>
            <w:gridSpan w:val="3"/>
          </w:tcPr>
          <w:p>
            <w:pPr>
              <w:ind w:left="220"/>
              <w:spacing w:after="0" w:line="135" w:lineRule="exact"/>
              <w:rPr>
                <w:sz w:val="20"/>
                <w:szCs w:val="20"/>
                <w:color w:val="auto"/>
              </w:rPr>
            </w:pPr>
            <w:r>
              <w:rPr>
                <w:rFonts w:ascii="Arial" w:cs="Arial" w:eastAsia="Arial" w:hAnsi="Arial"/>
                <w:sz w:val="12"/>
                <w:szCs w:val="12"/>
                <w:color w:val="auto"/>
              </w:rPr>
              <w:t>to LIBOR + 10%</w:t>
            </w:r>
          </w:p>
        </w:tc>
        <w:tc>
          <w:tcPr>
            <w:tcW w:w="0" w:type="dxa"/>
            <w:vAlign w:val="bottom"/>
          </w:tcPr>
          <w:p>
            <w:pPr>
              <w:spacing w:after="0"/>
              <w:rPr>
                <w:sz w:val="1"/>
                <w:szCs w:val="1"/>
                <w:color w:val="auto"/>
              </w:rPr>
            </w:pPr>
          </w:p>
        </w:tc>
      </w:tr>
      <w:tr>
        <w:trPr>
          <w:trHeight w:val="141"/>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Arial" w:cs="Arial" w:eastAsia="Arial" w:hAnsi="Arial"/>
                <w:sz w:val="12"/>
                <w:szCs w:val="12"/>
                <w:color w:val="auto"/>
              </w:rPr>
              <w:t>Leisure/Other</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Corporate/ Partnership</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8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Loans(3)(5)(6)</w:t>
            </w:r>
          </w:p>
        </w:tc>
        <w:tc>
          <w:tcPr>
            <w:tcW w:w="2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Office/Residential/</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2"/>
                <w:szCs w:val="12"/>
                <w:color w:val="auto"/>
              </w:rPr>
              <w:t>40</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1,506,285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1,498,782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1,347,249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2007 to 2046</w:t>
            </w:r>
          </w:p>
        </w:tc>
        <w:tc>
          <w:tcPr>
            <w:tcW w:w="1220" w:type="dxa"/>
            <w:vAlign w:val="bottom"/>
            <w:shd w:val="clear" w:color="auto" w:fill="CCEEFF"/>
          </w:tcPr>
          <w:p>
            <w:pPr>
              <w:spacing w:after="0"/>
              <w:rPr>
                <w:sz w:val="20"/>
                <w:szCs w:val="20"/>
                <w:color w:val="auto"/>
              </w:rPr>
            </w:pPr>
            <w:r>
              <w:rPr>
                <w:rFonts w:ascii="Arial" w:cs="Arial" w:eastAsia="Arial" w:hAnsi="Arial"/>
                <w:sz w:val="12"/>
                <w:szCs w:val="12"/>
                <w:color w:val="auto"/>
                <w:w w:val="99"/>
              </w:rPr>
              <w:t>Fixed: 8.98% to 17.5%</w:t>
            </w:r>
          </w:p>
        </w:tc>
        <w:tc>
          <w:tcPr>
            <w:tcW w:w="1480" w:type="dxa"/>
            <w:vAlign w:val="bottom"/>
            <w:gridSpan w:val="3"/>
            <w:shd w:val="clear" w:color="auto" w:fill="CCEEFF"/>
          </w:tcPr>
          <w:p>
            <w:pPr>
              <w:ind w:left="220"/>
              <w:spacing w:after="0"/>
              <w:rPr>
                <w:sz w:val="20"/>
                <w:szCs w:val="20"/>
                <w:color w:val="auto"/>
              </w:rPr>
            </w:pPr>
            <w:r>
              <w:rPr>
                <w:rFonts w:ascii="Arial" w:cs="Arial" w:eastAsia="Arial" w:hAnsi="Arial"/>
                <w:sz w:val="12"/>
                <w:szCs w:val="12"/>
                <w:color w:val="auto"/>
              </w:rPr>
              <w:t>Fixed: 8.98% to 17.5%</w:t>
            </w:r>
          </w:p>
        </w:tc>
        <w:tc>
          <w:tcPr>
            <w:tcW w:w="0" w:type="dxa"/>
            <w:vAlign w:val="bottom"/>
          </w:tcPr>
          <w:p>
            <w:pPr>
              <w:spacing w:after="0"/>
              <w:rPr>
                <w:sz w:val="1"/>
                <w:szCs w:val="1"/>
                <w:color w:val="auto"/>
              </w:rPr>
            </w:pPr>
          </w:p>
        </w:tc>
      </w:tr>
      <w:tr>
        <w:trPr>
          <w:trHeight w:val="129"/>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Retail/Industrial,</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Variable:</w:t>
            </w:r>
          </w:p>
        </w:tc>
        <w:tc>
          <w:tcPr>
            <w:tcW w:w="1480" w:type="dxa"/>
            <w:vAlign w:val="bottom"/>
            <w:gridSpan w:val="3"/>
            <w:shd w:val="clear" w:color="auto" w:fill="CCEEFF"/>
          </w:tcPr>
          <w:p>
            <w:pPr>
              <w:ind w:left="220"/>
              <w:spacing w:after="0" w:line="129" w:lineRule="exact"/>
              <w:rPr>
                <w:sz w:val="20"/>
                <w:szCs w:val="20"/>
                <w:color w:val="auto"/>
              </w:rPr>
            </w:pPr>
            <w:r>
              <w:rPr>
                <w:rFonts w:ascii="Arial" w:cs="Arial" w:eastAsia="Arial" w:hAnsi="Arial"/>
                <w:sz w:val="12"/>
                <w:szCs w:val="12"/>
                <w:color w:val="auto"/>
              </w:rPr>
              <w:t>Variable:</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R&amp;D/Mixed</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LIBOR + 0.86%</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LIBOR + 0.86%</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Use/Hotel/</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to LIBOR +7%</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to LIBOR + 14%</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Entertainment,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Leisure/Other</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120"/>
              <w:spacing w:after="0"/>
              <w:rPr>
                <w:sz w:val="20"/>
                <w:szCs w:val="20"/>
                <w:color w:val="auto"/>
              </w:rPr>
            </w:pPr>
            <w:r>
              <w:rPr>
                <w:rFonts w:ascii="Arial" w:cs="Arial" w:eastAsia="Arial" w:hAnsi="Arial"/>
                <w:sz w:val="12"/>
                <w:szCs w:val="12"/>
                <w:color w:val="auto"/>
              </w:rPr>
              <w:t>Total Loans</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7,166,048</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5,961,373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spacing w:after="0"/>
              <w:rPr>
                <w:sz w:val="20"/>
                <w:szCs w:val="20"/>
                <w:color w:val="auto"/>
              </w:rPr>
            </w:pPr>
            <w:r>
              <w:rPr>
                <w:rFonts w:ascii="Arial" w:cs="Arial" w:eastAsia="Arial" w:hAnsi="Arial"/>
                <w:sz w:val="12"/>
                <w:szCs w:val="12"/>
                <w:color w:val="auto"/>
              </w:rPr>
              <w:t>Reserve for Loan Losses</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(62,201)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(52,201)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840" w:type="dxa"/>
            <w:vAlign w:val="bottom"/>
            <w:tcBorders>
              <w:top w:val="single" w:sz="8" w:color="CCEEFF"/>
            </w:tcBorders>
          </w:tcPr>
          <w:p>
            <w:pPr>
              <w:ind w:left="120"/>
              <w:spacing w:after="0" w:line="129" w:lineRule="exact"/>
              <w:rPr>
                <w:sz w:val="20"/>
                <w:szCs w:val="20"/>
                <w:color w:val="auto"/>
              </w:rPr>
            </w:pPr>
            <w:r>
              <w:rPr>
                <w:rFonts w:ascii="Arial" w:cs="Arial" w:eastAsia="Arial" w:hAnsi="Arial"/>
                <w:sz w:val="12"/>
                <w:szCs w:val="12"/>
                <w:color w:val="auto"/>
              </w:rPr>
              <w:t>Total Loans, net</w:t>
            </w:r>
          </w:p>
        </w:tc>
        <w:tc>
          <w:tcPr>
            <w:tcW w:w="200" w:type="dxa"/>
            <w:vAlign w:val="bottom"/>
            <w:tcBorders>
              <w:top w:val="single" w:sz="8" w:color="CCEEFF"/>
            </w:tcBorders>
          </w:tcPr>
          <w:p>
            <w:pPr>
              <w:spacing w:after="0"/>
              <w:rPr>
                <w:sz w:val="11"/>
                <w:szCs w:val="11"/>
                <w:color w:val="auto"/>
              </w:rPr>
            </w:pPr>
          </w:p>
        </w:tc>
        <w:tc>
          <w:tcPr>
            <w:tcW w:w="10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6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7,103,847</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5,909,172</w:t>
            </w:r>
          </w:p>
        </w:tc>
        <w:tc>
          <w:tcPr>
            <w:tcW w:w="80" w:type="dxa"/>
            <w:vAlign w:val="bottom"/>
            <w:tcBorders>
              <w:top w:val="single" w:sz="8" w:color="CCEEFF"/>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2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Other Lending Investments—Securities(3)(5)(6)(7)</w:t>
            </w: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Residential/Retail/</w:t>
            </w:r>
          </w:p>
        </w:tc>
        <w:tc>
          <w:tcPr>
            <w:tcW w:w="660" w:type="dxa"/>
            <w:vAlign w:val="bottom"/>
            <w:shd w:val="clear" w:color="auto" w:fill="CCEEFF"/>
          </w:tcPr>
          <w:p>
            <w:pPr>
              <w:jc w:val="right"/>
              <w:ind w:right="23"/>
              <w:spacing w:after="0" w:line="135" w:lineRule="exact"/>
              <w:rPr>
                <w:sz w:val="20"/>
                <w:szCs w:val="20"/>
                <w:color w:val="auto"/>
              </w:rPr>
            </w:pPr>
            <w:r>
              <w:rPr>
                <w:rFonts w:ascii="Arial" w:cs="Arial" w:eastAsia="Arial" w:hAnsi="Arial"/>
                <w:sz w:val="12"/>
                <w:szCs w:val="12"/>
                <w:color w:val="auto"/>
              </w:rPr>
              <w:t>9</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616,479</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590,336</w:t>
            </w:r>
          </w:p>
        </w:tc>
        <w:tc>
          <w:tcPr>
            <w:tcW w:w="76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color w:val="auto"/>
              </w:rPr>
              <w:t>890,678</w:t>
            </w:r>
          </w:p>
        </w:tc>
        <w:tc>
          <w:tcPr>
            <w:tcW w:w="2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2"/>
                <w:szCs w:val="12"/>
                <w:color w:val="auto"/>
              </w:rPr>
              <w:t>2010 to 2023</w:t>
            </w: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Fixed: 6% to 9.25%</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Fixed: 6% to 17%</w:t>
            </w:r>
          </w:p>
        </w:tc>
        <w:tc>
          <w:tcPr>
            <w:tcW w:w="0" w:type="dxa"/>
            <w:vAlign w:val="bottom"/>
          </w:tcPr>
          <w:p>
            <w:pPr>
              <w:spacing w:after="0"/>
              <w:rPr>
                <w:sz w:val="1"/>
                <w:szCs w:val="1"/>
                <w:color w:val="auto"/>
              </w:rPr>
            </w:pPr>
          </w:p>
        </w:tc>
      </w:tr>
      <w:tr>
        <w:trPr>
          <w:trHeight w:val="129"/>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Industrial, R&amp;D/</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Variable:</w:t>
            </w:r>
          </w:p>
        </w:tc>
        <w:tc>
          <w:tcPr>
            <w:tcW w:w="1480" w:type="dxa"/>
            <w:vAlign w:val="bottom"/>
            <w:gridSpan w:val="3"/>
            <w:shd w:val="clear" w:color="auto" w:fill="CCEEFF"/>
          </w:tcPr>
          <w:p>
            <w:pPr>
              <w:ind w:left="220"/>
              <w:spacing w:after="0" w:line="129" w:lineRule="exact"/>
              <w:rPr>
                <w:sz w:val="20"/>
                <w:szCs w:val="20"/>
                <w:color w:val="auto"/>
              </w:rPr>
            </w:pPr>
            <w:r>
              <w:rPr>
                <w:rFonts w:ascii="Arial" w:cs="Arial" w:eastAsia="Arial" w:hAnsi="Arial"/>
                <w:sz w:val="12"/>
                <w:szCs w:val="12"/>
                <w:color w:val="auto"/>
              </w:rPr>
              <w:t>Variable:</w:t>
            </w: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spacing w:after="0" w:line="135" w:lineRule="exact"/>
              <w:rPr>
                <w:sz w:val="20"/>
                <w:szCs w:val="20"/>
                <w:color w:val="auto"/>
              </w:rPr>
            </w:pPr>
            <w:r>
              <w:rPr>
                <w:rFonts w:ascii="Arial" w:cs="Arial" w:eastAsia="Arial" w:hAnsi="Arial"/>
                <w:sz w:val="12"/>
                <w:szCs w:val="12"/>
                <w:color w:val="auto"/>
              </w:rPr>
              <w:t>Entertainment,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LIBOR + 2%</w:t>
            </w:r>
          </w:p>
        </w:tc>
        <w:tc>
          <w:tcPr>
            <w:tcW w:w="1480" w:type="dxa"/>
            <w:vAlign w:val="bottom"/>
            <w:gridSpan w:val="3"/>
            <w:shd w:val="clear" w:color="auto" w:fill="CCEEFF"/>
          </w:tcPr>
          <w:p>
            <w:pPr>
              <w:ind w:left="220"/>
              <w:spacing w:after="0" w:line="135" w:lineRule="exact"/>
              <w:rPr>
                <w:sz w:val="20"/>
                <w:szCs w:val="20"/>
                <w:color w:val="auto"/>
              </w:rPr>
            </w:pPr>
            <w:r>
              <w:rPr>
                <w:rFonts w:ascii="Arial" w:cs="Arial" w:eastAsia="Arial" w:hAnsi="Arial"/>
                <w:sz w:val="12"/>
                <w:szCs w:val="12"/>
                <w:color w:val="auto"/>
              </w:rPr>
              <w:t>LIBOR + 2%</w:t>
            </w:r>
          </w:p>
        </w:tc>
        <w:tc>
          <w:tcPr>
            <w:tcW w:w="0" w:type="dxa"/>
            <w:vAlign w:val="bottom"/>
          </w:tcPr>
          <w:p>
            <w:pPr>
              <w:spacing w:after="0"/>
              <w:rPr>
                <w:sz w:val="1"/>
                <w:szCs w:val="1"/>
                <w:color w:val="auto"/>
              </w:rPr>
            </w:pPr>
          </w:p>
        </w:tc>
      </w:tr>
      <w:tr>
        <w:trPr>
          <w:trHeight w:val="141"/>
        </w:trPr>
        <w:tc>
          <w:tcPr>
            <w:tcW w:w="28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Leisure/Other</w:t>
            </w:r>
          </w:p>
        </w:tc>
        <w:tc>
          <w:tcPr>
            <w:tcW w:w="6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 LIBOR + 5.63%</w:t>
            </w:r>
          </w:p>
        </w:tc>
        <w:tc>
          <w:tcPr>
            <w:tcW w:w="14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2"/>
                <w:szCs w:val="12"/>
                <w:color w:val="auto"/>
              </w:rPr>
              <w:t>to LIBOR + 5.63%</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Arial" w:cs="Arial" w:eastAsia="Arial" w:hAnsi="Arial"/>
                <w:sz w:val="12"/>
                <w:szCs w:val="12"/>
                <w:color w:val="auto"/>
              </w:rPr>
              <w:t>Total Loans and Other Lending Investments, net</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auto"/>
                <w:w w:val="85"/>
              </w:rPr>
              <w:t>$ 7,694,183</w:t>
            </w:r>
          </w:p>
        </w:tc>
        <w:tc>
          <w:tcPr>
            <w:tcW w:w="220" w:type="dxa"/>
            <w:vAlign w:val="bottom"/>
          </w:tcPr>
          <w:p>
            <w:pPr>
              <w:spacing w:after="0"/>
              <w:rPr>
                <w:sz w:val="17"/>
                <w:szCs w:val="17"/>
                <w:color w:val="auto"/>
              </w:rPr>
            </w:pPr>
          </w:p>
        </w:tc>
        <w:tc>
          <w:tcPr>
            <w:tcW w:w="680" w:type="dxa"/>
            <w:vAlign w:val="bottom"/>
            <w:gridSpan w:val="2"/>
          </w:tcPr>
          <w:p>
            <w:pPr>
              <w:jc w:val="center"/>
              <w:ind w:left="23"/>
              <w:spacing w:after="0"/>
              <w:rPr>
                <w:sz w:val="20"/>
                <w:szCs w:val="20"/>
                <w:color w:val="auto"/>
              </w:rPr>
            </w:pPr>
            <w:r>
              <w:rPr>
                <w:rFonts w:ascii="Arial" w:cs="Arial" w:eastAsia="Arial" w:hAnsi="Arial"/>
                <w:sz w:val="12"/>
                <w:szCs w:val="12"/>
                <w:color w:val="auto"/>
                <w:w w:val="88"/>
              </w:rPr>
              <w:t>$ 6,799,850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3893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Details (other than carrying values) are for loans outstanding as of June 30, 2007.</w:t>
      </w:r>
    </w:p>
    <w:p>
      <w:pPr>
        <w:spacing w:after="0" w:line="24" w:lineRule="exact"/>
        <w:rPr>
          <w:rFonts w:ascii="Arial" w:cs="Arial" w:eastAsia="Arial" w:hAnsi="Arial"/>
          <w:sz w:val="12"/>
          <w:szCs w:val="12"/>
          <w:color w:val="auto"/>
        </w:rPr>
      </w:pPr>
    </w:p>
    <w:p>
      <w:pPr>
        <w:ind w:left="360" w:right="240" w:hanging="352"/>
        <w:spacing w:after="0" w:line="267" w:lineRule="auto"/>
        <w:tabs>
          <w:tab w:leader="none" w:pos="352" w:val="left"/>
        </w:tabs>
        <w:numPr>
          <w:ilvl w:val="0"/>
          <w:numId w:val="4"/>
        </w:numPr>
        <w:rPr>
          <w:rFonts w:ascii="Arial" w:cs="Arial" w:eastAsia="Arial" w:hAnsi="Arial"/>
          <w:sz w:val="12"/>
          <w:szCs w:val="12"/>
          <w:color w:val="auto"/>
        </w:rPr>
      </w:pPr>
      <w:r>
        <w:rPr>
          <w:rFonts w:ascii="Arial" w:cs="Arial" w:eastAsia="Arial" w:hAnsi="Arial"/>
          <w:sz w:val="12"/>
          <w:szCs w:val="12"/>
          <w:color w:val="auto"/>
        </w:rPr>
        <w:t>Substantially all variable-rate loans are based on 30-day LIBOR and reprice monthly. The 30-day LIBOR on June 30, 2007 was 5.32%. As of June 30, 2007, nine loans with a combined carrying value of $259.7 million have a stated accrual rate that exceeds the stated pay rate.</w:t>
      </w: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Certain loans require fixed payments of principal resulting in partial principal amortization over the term of the loan with the remaining principal due at maturity.</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4"/>
        </w:numPr>
        <w:rPr>
          <w:rFonts w:ascii="Arial" w:cs="Arial" w:eastAsia="Arial" w:hAnsi="Arial"/>
          <w:sz w:val="11"/>
          <w:szCs w:val="11"/>
          <w:color w:val="auto"/>
        </w:rPr>
      </w:pPr>
      <w:r>
        <w:rPr>
          <w:rFonts w:ascii="Arial" w:cs="Arial" w:eastAsia="Arial" w:hAnsi="Arial"/>
          <w:sz w:val="11"/>
          <w:szCs w:val="11"/>
          <w:color w:val="auto"/>
        </w:rPr>
        <w:t>As of June 30, 2007, seven loans with a combined carrying value of $213.1 million are on non-accrual status. As of December 31, 2006, two loans with a combined carrying value of $61.5 million were on non-accrual status.</w:t>
      </w:r>
    </w:p>
    <w:p>
      <w:pPr>
        <w:spacing w:after="0" w:line="35" w:lineRule="exact"/>
        <w:rPr>
          <w:rFonts w:ascii="Arial" w:cs="Arial" w:eastAsia="Arial" w:hAnsi="Arial"/>
          <w:sz w:val="11"/>
          <w:szCs w:val="11"/>
          <w:color w:val="auto"/>
        </w:rPr>
      </w:pPr>
    </w:p>
    <w:p>
      <w:pPr>
        <w:ind w:left="360" w:right="100" w:hanging="352"/>
        <w:spacing w:after="0" w:line="267" w:lineRule="auto"/>
        <w:tabs>
          <w:tab w:leader="none" w:pos="352"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June 30, 2007, four loans with a combined carrying value of $84.7 million have stated accrual rates of up to 25%, however, no interest is due until their scheduled maturities ranging from 2009 to 2014. One Corporate/Partnership loan, with a carrying value of $54.5 million, has a stated accrual rate of 12.8% and no interest is due until its scheduled maturity in 2046.</w:t>
      </w:r>
    </w:p>
    <w:p>
      <w:pPr>
        <w:ind w:left="360" w:right="60" w:hanging="352"/>
        <w:spacing w:after="0" w:line="258" w:lineRule="auto"/>
        <w:tabs>
          <w:tab w:leader="none" w:pos="352"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June 30, 2007, includes foreign denominated loans with combined carrying values of approximately £153.6 million, €247.2 million, CAD 23.8 million and SEK 240.1 million. Amounts in table have been converted to U.S. dollars based on exchange rates in effect at June 30, 2007.</w:t>
      </w:r>
    </w:p>
    <w:p>
      <w:pPr>
        <w:ind w:left="360" w:hanging="352"/>
        <w:spacing w:after="0"/>
        <w:tabs>
          <w:tab w:leader="none" w:pos="36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Included in Other Lending Investments-Securities are $249.2 million of securities that mature in one to five years and $336.1 million of securities that mature in five to ten years.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121"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During the six months ended June 30, 2007 and 2006, respectively, the Company originated or acquired an aggregate of approximately $1.65 billion and $1.32 billion in loans and other lending investments, funded $765.3 million and $317.0 million under existing loan commitments, and received principal repayments of $1.39 billion and $971.1 million.</w:t>
      </w:r>
    </w:p>
    <w:p>
      <w:pPr>
        <w:sectPr>
          <w:pgSz w:w="11900" w:h="16838" w:orient="portrait"/>
          <w:cols w:equalWidth="0" w:num="1">
            <w:col w:w="11420"/>
          </w:cols>
          <w:pgMar w:left="240" w:top="125" w:right="239" w:bottom="0" w:gutter="0" w:footer="0" w:header="0"/>
        </w:sectPr>
      </w:pPr>
    </w:p>
    <w:bookmarkStart w:id="6" w:name="page7"/>
    <w:bookmarkEnd w:id="6"/>
    <w:p>
      <w:pPr>
        <w:ind w:right="100" w:firstLine="360"/>
        <w:spacing w:after="0" w:line="277" w:lineRule="auto"/>
        <w:rPr>
          <w:sz w:val="20"/>
          <w:szCs w:val="20"/>
          <w:color w:val="auto"/>
        </w:rPr>
      </w:pPr>
      <w:r>
        <w:rPr>
          <w:rFonts w:ascii="Arial" w:cs="Arial" w:eastAsia="Arial" w:hAnsi="Arial"/>
          <w:sz w:val="18"/>
          <w:szCs w:val="18"/>
          <w:color w:val="auto"/>
        </w:rPr>
        <w:t>As of June 30, 2007, the Company had 97 loans with unfunded commitments. The total unfunded commitment amount was approximately $3.43 billion, of which $3.41 billion was non-discretionary.</w:t>
      </w:r>
    </w:p>
    <w:p>
      <w:pPr>
        <w:spacing w:after="0" w:line="62"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The Company reflected provisions for loan losses of $5.0 million and $2.0 million in its results of operations during the three months ended June 30, 2007 and 2006, respectively, and $10.0 million and $3.0 million during the six months ended June 30, 2007 and 2006. These provisions represent increases in loan loss reserves based on management’s evaluation of general market conditions, the Company’s internal risk management policies and credit risk ratings system, industry loss experience, the likelihood of delinquencies or defaults, the credit quality of the underlying collateral and changes in the size of the loan portfolio. The Company does not have any specific reserves identified in accordance with Statement of Financial Accounting Standards No. 114, “Accounting by Creditors for Impairment of a Loan.” During the year ended December 31, 2006, the Company recorded total charge-offs of $8.7 million, related to three separate loans. No additional charge-offs have been recorded as of June 30, 2007.</w:t>
      </w:r>
    </w:p>
    <w:p>
      <w:pPr>
        <w:spacing w:after="0" w:line="70"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April 2007, under a consensual agreement with the borrower, the Company received title to property that served as collateral for a senior mortgage loan with a carrying value of $5.6 million. The loan was placed on NPL status in the fourth quarter of 2006, at which time, the Company assessed the loan for impairment and took a $3.0 million charge-off to write the loan down to the estimated fair value of the collateral. Upon receiving title to the property, the Company determined that the carrying value of the loan approximated the net recoverable value of the property and no further impairment or gain was recorded as a result of the transaction. The Company determined it will dispose of the property and has recorded its carrying value in “Assets held for sale,” in the Company’s Consolidated Balance Sheets.</w:t>
      </w:r>
    </w:p>
    <w:p>
      <w:pPr>
        <w:spacing w:after="0" w:line="85"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March 2007, under a consensual agreement with the borrower, the Company received title to property that served as the sole collateral for a senior mortgage loan with a carrying value of $157.0 million. The Company intends to hold the asset for use and has recorded the fair value of the property in “Corporate tenant lease assets, net” on the Company’s Consolidated Balance Sheet (see Note 5 for further detail). The Company determined that the fair value of the property and other net assets received approximated the net carrying value of the loan and no impairment or gain was recorded as a result of the transaction. In addition, the Company determined that a portion of the fair value of the building was attributable to intangible assets that were separately recorded in “Other investments,” on the Company’s Consolidated Balance Sheet (see Note 7 for further detail).</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7"/>
              </w:rPr>
              <w:t>Reserve for loan losses, December 31, 2005</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$ 46,876</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Additional provision for loan losses</w:t>
            </w:r>
          </w:p>
        </w:tc>
        <w:tc>
          <w:tcPr>
            <w:tcW w:w="34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3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(8,675)</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w w:val="87"/>
              </w:rPr>
              <w:t>Reserve for loan losses, December 31, 2006</w:t>
            </w:r>
          </w:p>
        </w:tc>
        <w:tc>
          <w:tcPr>
            <w:tcW w:w="28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Additional provision for loan losses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w w:val="99"/>
              </w:rPr>
              <w:t>Reserve for loan losses, June 30, 2007</w:t>
            </w:r>
          </w:p>
        </w:tc>
        <w:tc>
          <w:tcPr>
            <w:tcW w:w="28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$ 62,201</w:t>
            </w: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0" w:type="dxa"/>
            <w:vAlign w:val="bottom"/>
            <w:vMerge w:val="restart"/>
          </w:tcPr>
          <w:p>
            <w:pPr>
              <w:jc w:val="right"/>
              <w:ind w:right="2510"/>
              <w:spacing w:after="0"/>
              <w:rPr>
                <w:sz w:val="20"/>
                <w:szCs w:val="20"/>
                <w:color w:val="auto"/>
              </w:rPr>
            </w:pPr>
            <w:r>
              <w:rPr>
                <w:rFonts w:ascii="Arial" w:cs="Arial" w:eastAsia="Arial" w:hAnsi="Arial"/>
                <w:sz w:val="18"/>
                <w:szCs w:val="18"/>
                <w:color w:val="auto"/>
                <w:w w:val="89"/>
              </w:rPr>
              <w:t>11</w:t>
            </w: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30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23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 (Continued)</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carrying value of Other Lending Investment-Securities, as of June 30, 2007 includes $586.9 million of held to maturity investments with an aggregate fair value of $576.6 million and gross unrealized gains and losses of $27.2 million and $37.5 million, respectively. The carrying value also includes $3.4 million of available-for-sale securities recorded at fair value with an unrealized loss of $0.1 million recorded in accumulated other comprehensive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six months ended June 30, 2007 and 2006, respectively, the Company acquired an aggregate of approximately $168.7 million and $17.2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million in CTL assets and disposed of CTL assets for net proceeds of approximately $64.7 million and $21.9 million. In addition, in March 2007,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received title to property with a fair value of $156.8 million that served as collateral for a senior mortgage loan. The Company allocated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$120.4 million of this fair value to CTL assets and the remainder was allocated to CTL intangibles (see Note 4 and Note 7 for further discussion).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June 30, 2007 and December 31, 2006, the Company had unamortized intangible assets related to CTL purchases of approximately $74.8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$41.4 million, respectively, and included these in “Other investments” on the Company’s Consolidated Balance Sheets.</w:t>
      </w:r>
    </w:p>
    <w:p>
      <w:pPr>
        <w:spacing w:after="0" w:line="10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During the three months ended June 30, 2007, the Company sold four CTL assets for net proceeds of approximately $29.8 million and realized gains of approximately $5.4 million. During the three months ended June 30, 2006, the Company sold one CTL asset for net proceeds of $12.8 million and realized a gain of approximately $2.4 million. During the six months ended June 30, 2007, the Company disposed of six CTL assets for net proceeds of $64.7 million and recognized gains of approximately $6.8 million. During the six months ended June 30, 2006, the Company disposed of three CTL assets for net proceeds of $21.9 million and recognized gains of approximately $4.5 million.</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187"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1"/>
                <w:szCs w:val="11"/>
                <w:color w:val="auto"/>
              </w:rPr>
            </w:pPr>
          </w:p>
        </w:tc>
        <w:tc>
          <w:tcPr>
            <w:tcW w:w="10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0" w:type="dxa"/>
            <w:vAlign w:val="bottom"/>
            <w:gridSpan w:val="2"/>
          </w:tcPr>
          <w:p>
            <w:pPr>
              <w:jc w:val="center"/>
              <w:ind w:left="1416"/>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1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$ 2,926,077</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$ 2,670,424</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776,463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762,530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(378,354)</w:t>
            </w: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(348,160)</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Corporate tenant lease assets, net</w:t>
            </w:r>
          </w:p>
        </w:tc>
        <w:tc>
          <w:tcPr>
            <w:tcW w:w="15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$ 3,324,186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$ 3,084,794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Under certain leases, the Company receives reimbursements from customers for certain facility operating expenses including common area costs, insurance and real estate taxes. Customer expense reimbursements for the three months ended June 30, 2007 and 2006 were approximately $9.4 million and $6.5 million, respectively, and $16.3 million and $13.2 million for the six months ended June 30, 2007 and 2006, respectively, and are included as a reduction of “Operating costs—corporate tenant lease assets” on the Company’s Consolidated Statements of Operations.</w:t>
      </w:r>
    </w:p>
    <w:p>
      <w:pPr>
        <w:sectPr>
          <w:pgSz w:w="11900" w:h="16838" w:orient="portrait"/>
          <w:cols w:equalWidth="0" w:num="1">
            <w:col w:w="11460"/>
          </w:cols>
          <w:pgMar w:left="240" w:top="125" w:right="199" w:bottom="0" w:gutter="0" w:footer="0" w:header="0"/>
        </w:sectPr>
      </w:pPr>
    </w:p>
    <w:bookmarkStart w:id="7" w:name="page8"/>
    <w:bookmarkEnd w:id="7"/>
    <w:p>
      <w:pPr>
        <w:ind w:right="160" w:firstLine="360"/>
        <w:spacing w:after="0" w:line="264"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In addition, upon exercise of such expansion option agreements, the corporate customers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5—Corporate Tenant Lease Assets </w:t>
      </w:r>
      <w:r>
        <w:rPr>
          <w:rFonts w:ascii="Arial" w:cs="Arial" w:eastAsia="Arial" w:hAnsi="Arial"/>
          <w:sz w:val="17"/>
          <w:szCs w:val="17"/>
          <w:b w:val="1"/>
          <w:bCs w:val="1"/>
          <w:color w:val="auto"/>
        </w:rPr>
        <w:t>(Continued)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would be required to simultaneously extend their existing lease terms for additional periods ranging from six to ten years.</w:t>
      </w:r>
    </w:p>
    <w:p>
      <w:pPr>
        <w:spacing w:after="0" w:line="117"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As of June 30, 2007, the Company had $36.8 million of non-discretionary unfunded commitments related to seven CTL 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$15.6 million of non-discretionary unfunded commitments related to 15 existing customers in the form of tenant improvements which were negotiated between the Company and the customers at the commencement of the leases.</w:t>
      </w:r>
    </w:p>
    <w:p>
      <w:pPr>
        <w:spacing w:after="0" w:line="80" w:lineRule="exact"/>
        <w:rPr>
          <w:sz w:val="20"/>
          <w:szCs w:val="20"/>
          <w:color w:val="auto"/>
        </w:rPr>
      </w:pPr>
    </w:p>
    <w:p>
      <w:pPr>
        <w:ind w:right="340" w:firstLine="360"/>
        <w:spacing w:after="0" w:line="277" w:lineRule="auto"/>
        <w:rPr>
          <w:sz w:val="20"/>
          <w:szCs w:val="20"/>
          <w:color w:val="auto"/>
        </w:rPr>
      </w:pPr>
      <w:r>
        <w:rPr>
          <w:rFonts w:ascii="Arial" w:cs="Arial" w:eastAsia="Arial" w:hAnsi="Arial"/>
          <w:sz w:val="18"/>
          <w:szCs w:val="18"/>
          <w:color w:val="auto"/>
        </w:rPr>
        <w:t>The Company capitalized interest on build-to-suit CTL assets of approximately $0.5 million for the three months ended June 30, 2007 and 2006, and $1.2 million and $0.8 million for the six months ended June 30, 2007 and 2006, respectively.</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As of June 30, 2007, there were four CTL assets with an aggregate book value of $10.4 million classified as “Assets held for sale” on the Company’s Consolidated Balance Sheet. The Company sold one facility with a book value of $1.7 million on July 9, 2007 for net proceeds of approximately $2.8 million and realized a gain of approximately $1.1 million.</w:t>
      </w:r>
    </w:p>
    <w:p>
      <w:pPr>
        <w:spacing w:after="0" w:line="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13, 2006, the Company signed a lease termination agreement with a customer that occupied 12 facilities that were subject to separate cross-defaulted leases. Due to the termination, the Company cashed a $20.0 million letter of credit from the tenant and allocated it among each of the leases as a lease termination fee. Upon termination, the Company initially determined it would sell six of the facilities with terminated leases and designated those facilities as “Assets held for sale” on the Company’s Consolidated Balance Sheets as of June 30, 2006. In addition, the Company determined that the six facilities held for sale were impaired and recorded a $7.6 million charge.</w:t>
      </w:r>
    </w:p>
    <w:p>
      <w:pPr>
        <w:spacing w:after="0" w:line="8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subsequently reclassified three of the facilities to “Corporate tenant lease assets, net” on the Company’s Consolidated Balance Sheets after it was determined they would not be sold. The operating results of the three facilities subsequently moved out of held for sale are presented within income from continuing operations, including an impairment charge of $4.9 million in “Operating costs—corporate tenant lease assets,” and termination fees of $4.0 million in “Other income,” on the Company’s Consolidated Statements of Operations for the three and six months ended June 30, 2006.</w:t>
      </w:r>
    </w:p>
    <w:p>
      <w:pPr>
        <w:spacing w:after="0" w:line="4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operating results of three facilities still held for sale and one facility that was sold, including an impairment charge of $2.7 million and a net termination fee of $4.7 million, are included in “Income from discontinued operations” on the Company’s Consolidated Statements of Operations for the three and six months ended June 30,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6—Joint Ventures and Minority Interest</w:t>
      </w:r>
    </w:p>
    <w:p>
      <w:pPr>
        <w:spacing w:after="0" w:line="117" w:lineRule="exact"/>
        <w:rPr>
          <w:sz w:val="20"/>
          <w:szCs w:val="20"/>
          <w:color w:val="auto"/>
        </w:rPr>
      </w:pPr>
    </w:p>
    <w:p>
      <w:pPr>
        <w:ind w:right="440" w:firstLine="360"/>
        <w:spacing w:after="0" w:line="282" w:lineRule="auto"/>
        <w:rPr>
          <w:sz w:val="20"/>
          <w:szCs w:val="20"/>
          <w:color w:val="auto"/>
        </w:rPr>
      </w:pPr>
      <w:r>
        <w:rPr>
          <w:rFonts w:ascii="Arial" w:cs="Arial" w:eastAsia="Arial" w:hAnsi="Arial"/>
          <w:sz w:val="18"/>
          <w:szCs w:val="18"/>
          <w:b w:val="1"/>
          <w:bCs w:val="1"/>
          <w:color w:val="auto"/>
        </w:rPr>
        <w:t>Investments in unconsolidated joint ventures—</w:t>
      </w:r>
      <w:r>
        <w:rPr>
          <w:rFonts w:ascii="Arial" w:cs="Arial" w:eastAsia="Arial" w:hAnsi="Arial"/>
          <w:sz w:val="18"/>
          <w:szCs w:val="18"/>
          <w:color w:val="auto"/>
        </w:rPr>
        <w:t>Income or loss generated from the Company’s joint venture investments is included in “Equity in</w:t>
      </w:r>
      <w:r>
        <w:rPr>
          <w:rFonts w:ascii="Arial" w:cs="Arial" w:eastAsia="Arial" w:hAnsi="Arial"/>
          <w:sz w:val="18"/>
          <w:szCs w:val="18"/>
          <w:b w:val="1"/>
          <w:bCs w:val="1"/>
          <w:color w:val="auto"/>
        </w:rPr>
        <w:t xml:space="preserve"> </w:t>
      </w:r>
      <w:r>
        <w:rPr>
          <w:rFonts w:ascii="Arial" w:cs="Arial" w:eastAsia="Arial" w:hAnsi="Arial"/>
          <w:sz w:val="18"/>
          <w:szCs w:val="18"/>
          <w:color w:val="auto"/>
        </w:rPr>
        <w:t>(loss) earnings from joint ventures” on the Company’s Consolidated Statements of Operations.</w:t>
      </w:r>
    </w:p>
    <w:p>
      <w:pPr>
        <w:spacing w:after="0" w:line="58"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The Company has a 50% investment in Corporate Technology Centre Associates, LLC (“CTC”), whose external member is Corporate Technology Centre Partners, LLC. The Company’s carrying value 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6—Joint Ventures and Minority Interest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joint venture at June 30, 2007 was $4.5 million. The Company accounts for this investment under the equity method because the Company’s joint venture partner has certain participating rights that give it shared control over the joint venture.</w:t>
      </w:r>
    </w:p>
    <w:p>
      <w:pPr>
        <w:spacing w:after="0" w:line="62"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The Company has 47.5% investments in Oak Hill Advisors, L.P. and Oak Hill Credit Alpha MGP, 48.1% investments in OHSF GP Partners II LLC and OHSF GP Partners, LLC, and a 45.5% investment in Oak Hill Credit Opportunities MGP, LLC (collectively, “Oak Hill”). The Company’s carrying value in these ventures at June 30, 2007 was $186.9 million. The Company has determined that all of these entities are variable interest entities and that an external member is the primary beneficiary. As such, the Company accounts for these ventures under the equity method. Upon acquisition of the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As of June 30, 2007, the unamortized balance related to intangible assets for these investments was approximately $61.5 million.</w:t>
      </w:r>
    </w:p>
    <w:p>
      <w:pPr>
        <w:spacing w:after="0" w:line="59"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The Company, through its majority owned subsidiary TimberStar Operating Partnership, L.P. (“TimberStar”), has a 46.7% investment in TimberStar Southwest Holdco LLC (“TimberStar Southwest”). The Company’s carrying value in this joint venture at June 30, 2007 was $164.8 million. The joint venture’s carrying value for the timberlands owned at June 30, 2007 was $1.09 billion. The joint venture had total assets of $1.96 billion and total liabilities of $1.62 billion as of June 30, 2007 and a net loss of $18.1 million for the period ended June 30, 2007. Included in the liabilities is $1.60 billion of debt that is</w:t>
      </w:r>
    </w:p>
    <w:p>
      <w:pPr>
        <w:sectPr>
          <w:pgSz w:w="11900" w:h="16838" w:orient="portrait"/>
          <w:cols w:equalWidth="0" w:num="1">
            <w:col w:w="11420"/>
          </w:cols>
          <w:pgMar w:left="240" w:top="125" w:right="239" w:bottom="0" w:gutter="0" w:footer="0" w:header="0"/>
        </w:sectPr>
      </w:pPr>
    </w:p>
    <w:bookmarkStart w:id="8" w:name="page9"/>
    <w:bookmarkEnd w:id="8"/>
    <w:p>
      <w:pPr>
        <w:ind w:right="60"/>
        <w:spacing w:after="0" w:line="277" w:lineRule="auto"/>
        <w:rPr>
          <w:sz w:val="20"/>
          <w:szCs w:val="20"/>
          <w:color w:val="auto"/>
        </w:rPr>
      </w:pPr>
      <w:r>
        <w:rPr>
          <w:rFonts w:ascii="Arial" w:cs="Arial" w:eastAsia="Arial" w:hAnsi="Arial"/>
          <w:sz w:val="18"/>
          <w:szCs w:val="18"/>
          <w:color w:val="auto"/>
        </w:rPr>
        <w:t>non-recourse to the Company. The Company accounts for this investment under the equity method because the Company’s joint venture partners have certain participating rights giving them shared control over the venture.</w:t>
      </w:r>
    </w:p>
    <w:p>
      <w:pPr>
        <w:spacing w:after="0" w:line="6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June of 2007, the Company, through its Moor Park consolidated subsidiary (see minority interest below), closed on a 33% investment in Moor Park Newday Holdings Luxembourg S.a.r.l. (“Newday”). The Company’s carrying value in this venture at June 30, 2007 was $0.5 million. In addition to the equity, the Company made two loans to the joint venture totaling $36.2 million. These loans are recorded in “Other Investments” on the Company’s Consolidated Balance Sheets. The joint venture was created for a sale-leaseback acquisition of hotels in Germany and Holland. The Company has determined that this entity is a variable interest entity and that an external member is the primary beneficiary. As such, the Company accounts for this investment under the equity method.</w:t>
      </w:r>
    </w:p>
    <w:p>
      <w:pPr>
        <w:spacing w:after="0" w:line="85"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During the three months ended June 30, 2007, the Company also invested in two new joint ventures which it accounts for under the equity method. The Company’s carrying value in these ventures is $35.2 million as of June 30, 2007. In connection with one of these ventures, the Company has committed to funding an additional $85.0 million as of June 30, 2007.</w:t>
      </w:r>
    </w:p>
    <w:p>
      <w:pPr>
        <w:spacing w:after="0" w:line="69" w:lineRule="exact"/>
        <w:rPr>
          <w:sz w:val="20"/>
          <w:szCs w:val="20"/>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Minority Interest—</w:t>
      </w:r>
      <w:r>
        <w:rPr>
          <w:rFonts w:ascii="Arial" w:cs="Arial" w:eastAsia="Arial" w:hAnsi="Arial"/>
          <w:sz w:val="18"/>
          <w:szCs w:val="18"/>
          <w:color w:val="auto"/>
        </w:rPr>
        <w:t>Income or loss allocable to external partners in consolidated entities is included in “Minority interest in consolidated entities”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Consolidated Statements of Operations.</w:t>
      </w:r>
    </w:p>
    <w:p>
      <w:pPr>
        <w:spacing w:after="0" w:line="7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April 2007, the Company closed on a €100 million commitment in Moor Park Real Estate Partners II, L.P. Incorporated (“Moor Park”). Moor Park is a fund, managed by Moor Park Capital Partners LLP, that was created to invest in pan-European sale-leaseback, property company/operating company and other structured real estate transactions as a 33% owner along-side another fund. The Company determined that Moor Park is a variable interest entity and that the Company is the primary beneficiary,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6—Joint Ventures and Minority Interest (Continued)</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due to it owning 94% of the fund as of June 30, 2007. As such, the Company consolidates this entity for financial statement purposes and records the minority interest of the external partner in “Minority interest in consolidated entities” on the Company’s Consolidated Balance Sheets.</w:t>
      </w:r>
    </w:p>
    <w:p>
      <w:pPr>
        <w:spacing w:after="0" w:line="38"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As of June 30, 2007, the Company consolidates nine entities in which it either holds a majority interest or where it is a primary beneficiary under FIN 46R, and records the minority interest of the external partner(s) in “Minority interest in consolidated entities” on the Company’s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9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40" w:type="dxa"/>
            <w:vAlign w:val="bottom"/>
            <w:gridSpan w:val="2"/>
          </w:tcPr>
          <w:p>
            <w:pPr>
              <w:jc w:val="center"/>
              <w:ind w:left="814"/>
              <w:spacing w:after="0"/>
              <w:rPr>
                <w:sz w:val="20"/>
                <w:szCs w:val="20"/>
                <w:color w:val="auto"/>
              </w:rPr>
            </w:pPr>
            <w:r>
              <w:rPr>
                <w:rFonts w:ascii="Arial" w:cs="Arial" w:eastAsia="Arial" w:hAnsi="Arial"/>
                <w:sz w:val="14"/>
                <w:szCs w:val="14"/>
                <w:b w:val="1"/>
                <w:bCs w:val="1"/>
                <w:color w:val="auto"/>
                <w:w w:val="96"/>
              </w:rPr>
              <w:t>2007</w:t>
            </w:r>
          </w:p>
        </w:tc>
        <w:tc>
          <w:tcPr>
            <w:tcW w:w="1040" w:type="dxa"/>
            <w:vAlign w:val="bottom"/>
            <w:gridSpan w:val="3"/>
          </w:tcPr>
          <w:p>
            <w:pPr>
              <w:jc w:val="center"/>
              <w:ind w:left="194"/>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Strategic investments</w:t>
            </w:r>
          </w:p>
        </w:tc>
        <w:tc>
          <w:tcPr>
            <w:tcW w:w="9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$ 269,503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$ 213,348</w:t>
            </w: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Timber and timberlands, net of accumulated depletion</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144,224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146,910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CTL intangibles, net of accumulated amortization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74,824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41,358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2,190</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$ 490,741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$ 407,617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40" w:firstLine="360"/>
        <w:spacing w:after="0" w:line="277" w:lineRule="auto"/>
        <w:rPr>
          <w:sz w:val="20"/>
          <w:szCs w:val="20"/>
          <w:color w:val="auto"/>
        </w:rPr>
      </w:pPr>
      <w:r>
        <w:rPr>
          <w:rFonts w:ascii="Arial" w:cs="Arial" w:eastAsia="Arial" w:hAnsi="Arial"/>
          <w:sz w:val="18"/>
          <w:szCs w:val="18"/>
          <w:color w:val="auto"/>
        </w:rPr>
        <w:t>In March 2007, the Company received title to property that served as collateral for a senior mortgage loan and recorded CTL intangibles of approximately $36.4 million related to this property (see Note 4 for further detail).</w:t>
      </w:r>
    </w:p>
    <w:p>
      <w:pPr>
        <w:spacing w:after="0" w:line="35" w:lineRule="exact"/>
        <w:rPr>
          <w:sz w:val="20"/>
          <w:szCs w:val="20"/>
          <w:color w:val="auto"/>
        </w:rPr>
      </w:pPr>
    </w:p>
    <w:p>
      <w:pPr>
        <w:ind w:right="120" w:firstLine="360"/>
        <w:spacing w:after="0" w:line="274" w:lineRule="auto"/>
        <w:rPr>
          <w:sz w:val="20"/>
          <w:szCs w:val="20"/>
          <w:color w:val="auto"/>
        </w:rPr>
      </w:pPr>
      <w:r>
        <w:rPr>
          <w:rFonts w:ascii="Arial" w:cs="Arial" w:eastAsia="Arial" w:hAnsi="Arial"/>
          <w:sz w:val="17"/>
          <w:szCs w:val="17"/>
          <w:color w:val="auto"/>
        </w:rPr>
        <w:t>As of June 30, 2007, the Company has $269.5 million invested in 32 separate real estate related funds or other strategic investment opportunities within niche markets. Of these 32 investments, 17 or $143.9 million, are accounted for under the cost method. The remaining 15 investments, totaling</w:t>
      </w:r>
    </w:p>
    <w:p>
      <w:pPr>
        <w:ind w:right="40"/>
        <w:spacing w:after="0" w:line="261" w:lineRule="auto"/>
        <w:rPr>
          <w:sz w:val="20"/>
          <w:szCs w:val="20"/>
          <w:color w:val="auto"/>
        </w:rPr>
      </w:pPr>
      <w:r>
        <w:rPr>
          <w:rFonts w:ascii="Arial" w:cs="Arial" w:eastAsia="Arial" w:hAnsi="Arial"/>
          <w:sz w:val="18"/>
          <w:szCs w:val="18"/>
          <w:color w:val="auto"/>
        </w:rPr>
        <w:t>$125.6 million, are accounted for under the equity method. As of June 30, 2007, the Company had $43.2 million of non-discretionary unfunded commitments related to eight strategic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pacing w:after="0" w:line="17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1"/>
                <w:szCs w:val="11"/>
                <w:color w:val="auto"/>
              </w:rPr>
            </w:pPr>
          </w:p>
        </w:tc>
        <w:tc>
          <w:tcPr>
            <w:tcW w:w="96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680" w:type="dxa"/>
            <w:vAlign w:val="bottom"/>
          </w:tcPr>
          <w:p>
            <w:pPr>
              <w:spacing w:after="0"/>
              <w:rPr>
                <w:sz w:val="14"/>
                <w:szCs w:val="14"/>
                <w:color w:val="auto"/>
              </w:rPr>
            </w:pPr>
          </w:p>
        </w:tc>
        <w:tc>
          <w:tcPr>
            <w:tcW w:w="1800" w:type="dxa"/>
            <w:vAlign w:val="bottom"/>
            <w:gridSpan w:val="2"/>
          </w:tcPr>
          <w:p>
            <w:pPr>
              <w:jc w:val="center"/>
              <w:ind w:left="1073"/>
              <w:spacing w:after="0"/>
              <w:rPr>
                <w:sz w:val="20"/>
                <w:szCs w:val="20"/>
                <w:color w:val="auto"/>
              </w:rPr>
            </w:pPr>
            <w:r>
              <w:rPr>
                <w:rFonts w:ascii="Arial" w:cs="Arial" w:eastAsia="Arial" w:hAnsi="Arial"/>
                <w:sz w:val="14"/>
                <w:szCs w:val="14"/>
                <w:b w:val="1"/>
                <w:bCs w:val="1"/>
                <w:color w:val="auto"/>
                <w:w w:val="89"/>
              </w:rPr>
              <w:t>2007</w:t>
            </w:r>
          </w:p>
        </w:tc>
        <w:tc>
          <w:tcPr>
            <w:tcW w:w="100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financing fees, net</w:t>
            </w:r>
          </w:p>
        </w:tc>
        <w:tc>
          <w:tcPr>
            <w:tcW w:w="1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$ 16,326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$ 14,217</w:t>
            </w: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Leasing costs, net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14,284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13,294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Derivative assets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12,270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Corporate furniture, fixtures, and equipment, net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assets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14,934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18,020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expenses and other assets</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$ 78,063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$ 71,181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03"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03"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8—Other Assets and Other Liabilities </w:t>
      </w:r>
      <w:r>
        <w:rPr>
          <w:rFonts w:ascii="Arial" w:cs="Arial" w:eastAsia="Arial" w:hAnsi="Arial"/>
          <w:sz w:val="17"/>
          <w:szCs w:val="17"/>
          <w:b w:val="1"/>
          <w:bCs w:val="1"/>
          <w:color w:val="auto"/>
        </w:rPr>
        <w:t>(Continued)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5"/>
              <w:spacing w:after="0"/>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5"/>
              <w:spacing w:after="0" w:line="135"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1"/>
                <w:szCs w:val="11"/>
                <w:color w:val="auto"/>
              </w:rPr>
            </w:pPr>
          </w:p>
        </w:tc>
        <w:tc>
          <w:tcPr>
            <w:tcW w:w="9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84,954</w:t>
            </w:r>
          </w:p>
        </w:tc>
        <w:tc>
          <w:tcPr>
            <w:tcW w:w="120" w:type="dxa"/>
            <w:vAlign w:val="bottom"/>
            <w:tcBorders>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39,420</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20" w:type="dxa"/>
            <w:vAlign w:val="bottom"/>
            <w:tcBorders>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23,286</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Unearned operating lease payments</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w:t>
            </w:r>
          </w:p>
        </w:tc>
        <w:tc>
          <w:tcPr>
            <w:tcW w:w="120" w:type="dxa"/>
            <w:vAlign w:val="bottom"/>
            <w:tcBorders>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18,251</w:t>
            </w:r>
          </w:p>
        </w:tc>
        <w:tc>
          <w:tcPr>
            <w:tcW w:w="120" w:type="dxa"/>
            <w:vAlign w:val="bottom"/>
            <w:tcBorders>
              <w:bottom w:val="single" w:sz="8" w:color="CCEEFF"/>
            </w:tcBorders>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8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232,835</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200,957</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1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8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920" w:type="dxa"/>
            <w:vAlign w:val="bottom"/>
            <w:tcBorders>
              <w:bottom w:val="single" w:sz="8" w:color="010101"/>
            </w:tcBorders>
          </w:tcPr>
          <w:p>
            <w:pPr>
              <w:spacing w:after="0"/>
              <w:rPr>
                <w:sz w:val="24"/>
                <w:szCs w:val="24"/>
                <w:color w:val="auto"/>
              </w:rPr>
            </w:pPr>
          </w:p>
        </w:tc>
        <w:tc>
          <w:tcPr>
            <w:tcW w:w="488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9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12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As of June 30, 2007 and December 31, 2006, the Company has debt obligations under various arrangements with financial institutions as follows (in thousands):</w:t>
      </w:r>
    </w:p>
    <w:p>
      <w:pPr>
        <w:spacing w:after="0" w:line="15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Maximum</w:t>
            </w:r>
          </w:p>
        </w:tc>
        <w:tc>
          <w:tcPr>
            <w:tcW w:w="80" w:type="dxa"/>
            <w:vAlign w:val="bottom"/>
          </w:tcPr>
          <w:p>
            <w:pPr>
              <w:spacing w:after="0"/>
              <w:rPr>
                <w:sz w:val="14"/>
                <w:szCs w:val="14"/>
                <w:color w:val="auto"/>
              </w:rPr>
            </w:pPr>
          </w:p>
        </w:tc>
        <w:tc>
          <w:tcPr>
            <w:tcW w:w="1820" w:type="dxa"/>
            <w:vAlign w:val="bottom"/>
            <w:gridSpan w:val="8"/>
          </w:tcPr>
          <w:p>
            <w:pPr>
              <w:ind w:left="180"/>
              <w:spacing w:after="0"/>
              <w:rPr>
                <w:sz w:val="20"/>
                <w:szCs w:val="20"/>
                <w:color w:val="auto"/>
              </w:rPr>
            </w:pPr>
            <w:r>
              <w:rPr>
                <w:rFonts w:ascii="Arial" w:cs="Arial" w:eastAsia="Arial" w:hAnsi="Arial"/>
                <w:sz w:val="14"/>
                <w:szCs w:val="14"/>
                <w:b w:val="1"/>
                <w:bCs w:val="1"/>
                <w:color w:val="auto"/>
              </w:rPr>
              <w:t>Carrying Value as of</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Stated</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Scheduled</w:t>
            </w:r>
          </w:p>
        </w:tc>
      </w:tr>
      <w:tr>
        <w:trPr>
          <w:trHeight w:val="102"/>
        </w:trPr>
        <w:tc>
          <w:tcPr>
            <w:tcW w:w="2640" w:type="dxa"/>
            <w:vAlign w:val="bottom"/>
          </w:tcPr>
          <w:p>
            <w:pPr>
              <w:spacing w:after="0"/>
              <w:rPr>
                <w:sz w:val="8"/>
                <w:szCs w:val="8"/>
                <w:color w:val="auto"/>
              </w:rPr>
            </w:pPr>
          </w:p>
        </w:tc>
        <w:tc>
          <w:tcPr>
            <w:tcW w:w="840" w:type="dxa"/>
            <w:vAlign w:val="bottom"/>
            <w:gridSpan w:val="3"/>
          </w:tcPr>
          <w:p>
            <w:pPr>
              <w:jc w:val="center"/>
              <w:ind w:right="180"/>
              <w:spacing w:after="0" w:line="103" w:lineRule="exact"/>
              <w:rPr>
                <w:sz w:val="20"/>
                <w:szCs w:val="20"/>
                <w:color w:val="auto"/>
              </w:rPr>
            </w:pPr>
            <w:r>
              <w:rPr>
                <w:rFonts w:ascii="Arial" w:cs="Arial" w:eastAsia="Arial" w:hAnsi="Arial"/>
                <w:sz w:val="11"/>
                <w:szCs w:val="11"/>
                <w:b w:val="1"/>
                <w:bCs w:val="1"/>
                <w:color w:val="auto"/>
              </w:rPr>
              <w:t>Amount</w:t>
            </w: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gridSpan w:val="2"/>
          </w:tcPr>
          <w:p>
            <w:pPr>
              <w:jc w:val="right"/>
              <w:ind w:right="300"/>
              <w:spacing w:after="0" w:line="103" w:lineRule="exact"/>
              <w:rPr>
                <w:sz w:val="20"/>
                <w:szCs w:val="20"/>
                <w:color w:val="auto"/>
              </w:rPr>
            </w:pPr>
            <w:r>
              <w:rPr>
                <w:rFonts w:ascii="Arial" w:cs="Arial" w:eastAsia="Arial" w:hAnsi="Arial"/>
                <w:sz w:val="11"/>
                <w:szCs w:val="11"/>
                <w:b w:val="1"/>
                <w:bCs w:val="1"/>
                <w:color w:val="auto"/>
              </w:rPr>
              <w:t>June 30,</w:t>
            </w:r>
          </w:p>
        </w:tc>
        <w:tc>
          <w:tcPr>
            <w:tcW w:w="860" w:type="dxa"/>
            <w:vAlign w:val="bottom"/>
            <w:tcBorders>
              <w:top w:val="single" w:sz="8" w:color="auto"/>
            </w:tcBorders>
            <w:gridSpan w:val="5"/>
          </w:tcPr>
          <w:p>
            <w:pPr>
              <w:jc w:val="right"/>
              <w:ind w:right="40"/>
              <w:spacing w:after="0" w:line="103" w:lineRule="exact"/>
              <w:rPr>
                <w:sz w:val="20"/>
                <w:szCs w:val="20"/>
                <w:color w:val="auto"/>
              </w:rPr>
            </w:pPr>
            <w:r>
              <w:rPr>
                <w:rFonts w:ascii="Arial" w:cs="Arial" w:eastAsia="Arial" w:hAnsi="Arial"/>
                <w:sz w:val="11"/>
                <w:szCs w:val="11"/>
                <w:b w:val="1"/>
                <w:bCs w:val="1"/>
                <w:color w:val="auto"/>
              </w:rPr>
              <w:t>December 31,</w:t>
            </w:r>
          </w:p>
        </w:tc>
        <w:tc>
          <w:tcPr>
            <w:tcW w:w="160" w:type="dxa"/>
            <w:vAlign w:val="bottom"/>
          </w:tcPr>
          <w:p>
            <w:pPr>
              <w:spacing w:after="0"/>
              <w:rPr>
                <w:sz w:val="8"/>
                <w:szCs w:val="8"/>
                <w:color w:val="auto"/>
              </w:rPr>
            </w:pPr>
          </w:p>
        </w:tc>
        <w:tc>
          <w:tcPr>
            <w:tcW w:w="1720" w:type="dxa"/>
            <w:vAlign w:val="bottom"/>
            <w:gridSpan w:val="2"/>
          </w:tcPr>
          <w:p>
            <w:pPr>
              <w:jc w:val="center"/>
              <w:ind w:right="200"/>
              <w:spacing w:after="0" w:line="103" w:lineRule="exact"/>
              <w:rPr>
                <w:sz w:val="20"/>
                <w:szCs w:val="20"/>
                <w:color w:val="auto"/>
              </w:rPr>
            </w:pPr>
            <w:r>
              <w:rPr>
                <w:rFonts w:ascii="Arial" w:cs="Arial" w:eastAsia="Arial" w:hAnsi="Arial"/>
                <w:sz w:val="11"/>
                <w:szCs w:val="11"/>
                <w:b w:val="1"/>
                <w:bCs w:val="1"/>
                <w:color w:val="auto"/>
              </w:rPr>
              <w:t>Interest</w:t>
            </w:r>
          </w:p>
        </w:tc>
        <w:tc>
          <w:tcPr>
            <w:tcW w:w="1360" w:type="dxa"/>
            <w:vAlign w:val="bottom"/>
            <w:gridSpan w:val="2"/>
          </w:tcPr>
          <w:p>
            <w:pPr>
              <w:jc w:val="center"/>
              <w:ind w:right="80"/>
              <w:spacing w:after="0" w:line="103" w:lineRule="exact"/>
              <w:rPr>
                <w:sz w:val="20"/>
                <w:szCs w:val="20"/>
                <w:color w:val="auto"/>
              </w:rPr>
            </w:pPr>
            <w:r>
              <w:rPr>
                <w:rFonts w:ascii="Arial" w:cs="Arial" w:eastAsia="Arial" w:hAnsi="Arial"/>
                <w:sz w:val="11"/>
                <w:szCs w:val="11"/>
                <w:b w:val="1"/>
                <w:bCs w:val="1"/>
                <w:color w:val="auto"/>
              </w:rPr>
              <w:t>Maturity</w:t>
            </w:r>
          </w:p>
        </w:tc>
      </w:tr>
      <w:tr>
        <w:trPr>
          <w:trHeight w:val="161"/>
        </w:trPr>
        <w:tc>
          <w:tcPr>
            <w:tcW w:w="264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Available</w:t>
            </w:r>
          </w:p>
        </w:tc>
        <w:tc>
          <w:tcPr>
            <w:tcW w:w="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Rates(1)</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Date(1)</w:t>
            </w:r>
          </w:p>
        </w:tc>
      </w:tr>
      <w:tr>
        <w:trPr>
          <w:trHeight w:val="156"/>
        </w:trPr>
        <w:tc>
          <w:tcPr>
            <w:tcW w:w="26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Secured revolving credit facility:</w:t>
            </w: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Line of credit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LIBOR + 1%—2%(2)</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January 2009(3)</w:t>
            </w: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revolving credit facilities: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Line of credit(4)</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2,200,000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1,305,718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923,068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LIBOR + 0.525%(5)</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2"/>
              </w:rPr>
              <w:t>June 2011</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Line of credit(6)</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1,200,000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LIBOR + 0.525%(5)</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2"/>
              </w:rPr>
              <w:t>June 2012</w:t>
            </w:r>
          </w:p>
        </w:tc>
      </w:tr>
      <w:tr>
        <w:trPr>
          <w:trHeight w:val="196"/>
        </w:trPr>
        <w:tc>
          <w:tcPr>
            <w:tcW w:w="2640" w:type="dxa"/>
            <w:vAlign w:val="bottom"/>
            <w:tcBorders>
              <w:bottom w:val="single" w:sz="8" w:color="CCEEFF"/>
            </w:tcBorders>
          </w:tcPr>
          <w:p>
            <w:pPr>
              <w:ind w:left="140"/>
              <w:spacing w:after="0" w:line="153" w:lineRule="exact"/>
              <w:rPr>
                <w:sz w:val="20"/>
                <w:szCs w:val="20"/>
                <w:color w:val="auto"/>
              </w:rPr>
            </w:pPr>
            <w:r>
              <w:rPr>
                <w:rFonts w:ascii="Arial" w:cs="Arial" w:eastAsia="Arial" w:hAnsi="Arial"/>
                <w:sz w:val="14"/>
                <w:szCs w:val="14"/>
                <w:color w:val="auto"/>
              </w:rPr>
              <w:t>Total revolving credit facilities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3,900,000</w:t>
            </w: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64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96"/>
              </w:rPr>
              <w:t>1,305,718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580" w:type="dxa"/>
            <w:vAlign w:val="bottom"/>
            <w:tcBorders>
              <w:top w:val="single" w:sz="8" w:color="auto"/>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923,068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r>
      <w:tr>
        <w:trPr>
          <w:trHeight w:val="143"/>
        </w:trPr>
        <w:tc>
          <w:tcPr>
            <w:tcW w:w="264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Secured term loans: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Collateralized by CTL asset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125,202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127,648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5"/>
              </w:rPr>
              <w:t>7.44%</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April 2009</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Collateralized by CTL assets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137,946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141,978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6.8%—8.8%</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8"/>
              </w:rPr>
              <w:t>Various through 2026</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Collateralized by CTL asset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58,202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58,634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5"/>
              </w:rPr>
              <w:t>6.41%</w:t>
            </w:r>
          </w:p>
        </w:tc>
        <w:tc>
          <w:tcPr>
            <w:tcW w:w="1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84"/>
              </w:rPr>
              <w:t>January 2013</w:t>
            </w:r>
          </w:p>
        </w:tc>
      </w:tr>
      <w:tr>
        <w:trPr>
          <w:trHeight w:val="151"/>
        </w:trPr>
        <w:tc>
          <w:tcPr>
            <w:tcW w:w="26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w w:val="95"/>
              </w:rPr>
              <w:t>Collateralized by investments in corporate</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3"/>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bonds</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171,196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227,768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LIBOR + 0.22%—0.65%</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8"/>
              </w:rPr>
              <w:t>August 2007</w:t>
            </w:r>
          </w:p>
        </w:tc>
      </w:tr>
      <w:tr>
        <w:trPr>
          <w:trHeight w:val="156"/>
        </w:trPr>
        <w:tc>
          <w:tcPr>
            <w:tcW w:w="2640" w:type="dxa"/>
            <w:vAlign w:val="bottom"/>
          </w:tcPr>
          <w:p>
            <w:pPr>
              <w:ind w:left="140"/>
              <w:spacing w:after="0" w:line="153" w:lineRule="exact"/>
              <w:rPr>
                <w:sz w:val="20"/>
                <w:szCs w:val="20"/>
                <w:color w:val="auto"/>
              </w:rPr>
            </w:pPr>
            <w:r>
              <w:rPr>
                <w:rFonts w:ascii="Arial" w:cs="Arial" w:eastAsia="Arial" w:hAnsi="Arial"/>
                <w:sz w:val="14"/>
                <w:szCs w:val="14"/>
                <w:color w:val="auto"/>
              </w:rPr>
              <w:t>Total secured term loans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492,546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556,028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Debt premium</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6"/>
        </w:trPr>
        <w:tc>
          <w:tcPr>
            <w:tcW w:w="2640" w:type="dxa"/>
            <w:vAlign w:val="bottom"/>
          </w:tcPr>
          <w:p>
            <w:pPr>
              <w:ind w:left="140"/>
              <w:spacing w:after="0" w:line="153" w:lineRule="exact"/>
              <w:rPr>
                <w:sz w:val="20"/>
                <w:szCs w:val="20"/>
                <w:color w:val="auto"/>
              </w:rPr>
            </w:pPr>
            <w:r>
              <w:rPr>
                <w:rFonts w:ascii="Arial" w:cs="Arial" w:eastAsia="Arial" w:hAnsi="Arial"/>
                <w:sz w:val="14"/>
                <w:szCs w:val="14"/>
                <w:color w:val="auto"/>
              </w:rPr>
              <w:t>Total secured term loans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498,360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562,116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Unsecured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LIBOR + 0.34%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LIBOR + 0.34%</w:t>
            </w: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84"/>
              </w:rPr>
              <w:t>September 2009</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LIBOR + 0.35% Senior Notes(7)</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LIBOR + 0.35%</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2010</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LIBOR + 0.39%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LIBOR + 0.39%</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March 2008</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LIBOR + 0.55%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LIBOR + 0.55%</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2009</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LIBOR + 1.25%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LIBOR + 1.25%</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March 2007</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4.875%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4.875%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4"/>
              </w:rPr>
              <w:t>January 2009</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5.125%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5.125%</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April 2011</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5.15%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5.15%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2012</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5.375%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5.375%</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April 2010</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5.5% Senior Notes(7)</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2"/>
              </w:rPr>
              <w:t>June 2012</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5.65%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5"/>
              </w:rPr>
              <w:t>5.65%</w:t>
            </w:r>
          </w:p>
        </w:tc>
        <w:tc>
          <w:tcPr>
            <w:tcW w:w="18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84"/>
              </w:rPr>
              <w:t>September 2011</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5.7%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367,022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367,022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5.7%</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2014</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5.8%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5.8%</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March 2011</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5.85% Senior Notes(7)</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5.85%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2017</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5.875%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5.875%</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March 2016</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5.95%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889,669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5.95%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7"/>
              </w:rPr>
              <w:t>October 2013</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6%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December 2010</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6.05%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6.05%</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1"/>
              </w:rPr>
              <w:t>April 2015</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6.5% Senior Notes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6.5%</w:t>
            </w:r>
          </w:p>
        </w:tc>
        <w:tc>
          <w:tcPr>
            <w:tcW w:w="180" w:type="dxa"/>
            <w:vAlign w:val="bottom"/>
          </w:tcPr>
          <w:p>
            <w:pPr>
              <w:spacing w:after="0"/>
              <w:rPr>
                <w:sz w:val="14"/>
                <w:szCs w:val="14"/>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4"/>
                <w:szCs w:val="14"/>
                <w:color w:val="auto"/>
                <w:w w:val="86"/>
              </w:rPr>
              <w:t>December 2013</w:t>
            </w:r>
          </w:p>
        </w:tc>
      </w:tr>
      <w:tr>
        <w:trPr>
          <w:trHeight w:val="162"/>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 Senior Notes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1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9"/>
              </w:rPr>
              <w:t>March 2008</w:t>
            </w:r>
          </w:p>
        </w:tc>
      </w:tr>
      <w:tr>
        <w:trPr>
          <w:trHeight w:val="162"/>
        </w:trPr>
        <w:tc>
          <w:tcPr>
            <w:tcW w:w="26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8.75% Notes</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50,331</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50,331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85"/>
              </w:rPr>
              <w:t>8.75%</w:t>
            </w: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4"/>
                <w:szCs w:val="14"/>
                <w:color w:val="auto"/>
                <w:w w:val="88"/>
              </w:rPr>
              <w:t>August 2008</w:t>
            </w:r>
          </w:p>
        </w:tc>
      </w:tr>
      <w:tr>
        <w:trPr>
          <w:trHeight w:val="156"/>
        </w:trPr>
        <w:tc>
          <w:tcPr>
            <w:tcW w:w="264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Total unsecured notes</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7,217,022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86"/>
              </w:rPr>
              <w:t>6,367,022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Debt discount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(97,780)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(93,636)</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2640" w:type="dxa"/>
            <w:vAlign w:val="bottom"/>
            <w:shd w:val="clear" w:color="auto" w:fill="CCEEFF"/>
          </w:tcPr>
          <w:p>
            <w:pPr>
              <w:ind w:left="140"/>
              <w:spacing w:after="0" w:line="151" w:lineRule="exact"/>
              <w:rPr>
                <w:sz w:val="20"/>
                <w:szCs w:val="20"/>
                <w:color w:val="auto"/>
              </w:rPr>
            </w:pPr>
            <w:r>
              <w:rPr>
                <w:rFonts w:ascii="Arial" w:cs="Arial" w:eastAsia="Arial" w:hAnsi="Arial"/>
                <w:sz w:val="14"/>
                <w:szCs w:val="14"/>
                <w:color w:val="auto"/>
                <w:w w:val="92"/>
              </w:rPr>
              <w:t>Fair value adjustment to hedged items (see</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73"/>
        </w:trPr>
        <w:tc>
          <w:tcPr>
            <w:tcW w:w="2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Note 11)</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(34,281)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(23,137)</w:t>
            </w: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6"/>
        </w:trPr>
        <w:tc>
          <w:tcPr>
            <w:tcW w:w="2640" w:type="dxa"/>
            <w:vAlign w:val="bottom"/>
          </w:tcPr>
          <w:p>
            <w:pPr>
              <w:ind w:left="140"/>
              <w:spacing w:after="0" w:line="153" w:lineRule="exact"/>
              <w:rPr>
                <w:sz w:val="20"/>
                <w:szCs w:val="20"/>
                <w:color w:val="auto"/>
              </w:rPr>
            </w:pPr>
            <w:r>
              <w:rPr>
                <w:rFonts w:ascii="Arial" w:cs="Arial" w:eastAsia="Arial" w:hAnsi="Arial"/>
                <w:sz w:val="14"/>
                <w:szCs w:val="14"/>
                <w:color w:val="auto"/>
              </w:rPr>
              <w:t>Total unsecured notes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7,084,961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6,250,249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debt obligations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LIBOR + 1.5%</w:t>
            </w:r>
          </w:p>
        </w:tc>
        <w:tc>
          <w:tcPr>
            <w:tcW w:w="13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87"/>
              </w:rPr>
              <w:t>October 2035</w:t>
            </w:r>
          </w:p>
        </w:tc>
      </w:tr>
      <w:tr>
        <w:trPr>
          <w:trHeight w:val="162"/>
        </w:trPr>
        <w:tc>
          <w:tcPr>
            <w:tcW w:w="2640" w:type="dxa"/>
            <w:vAlign w:val="bottom"/>
          </w:tcPr>
          <w:p>
            <w:pPr>
              <w:ind w:left="140"/>
              <w:spacing w:after="0"/>
              <w:rPr>
                <w:sz w:val="20"/>
                <w:szCs w:val="20"/>
                <w:color w:val="auto"/>
              </w:rPr>
            </w:pPr>
            <w:r>
              <w:rPr>
                <w:rFonts w:ascii="Arial" w:cs="Arial" w:eastAsia="Arial" w:hAnsi="Arial"/>
                <w:sz w:val="14"/>
                <w:szCs w:val="14"/>
                <w:color w:val="auto"/>
              </w:rPr>
              <w:t>Debt discount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(1,980)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(1,996)</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2640" w:type="dxa"/>
            <w:vAlign w:val="bottom"/>
            <w:tcBorders>
              <w:top w:val="single" w:sz="8" w:color="CCEEFF"/>
            </w:tcBorders>
            <w:shd w:val="clear" w:color="auto" w:fill="CCEEFF"/>
          </w:tcPr>
          <w:p>
            <w:pPr>
              <w:ind w:left="140"/>
              <w:spacing w:after="0" w:line="153" w:lineRule="exact"/>
              <w:rPr>
                <w:sz w:val="20"/>
                <w:szCs w:val="20"/>
                <w:color w:val="auto"/>
              </w:rPr>
            </w:pPr>
            <w:r>
              <w:rPr>
                <w:rFonts w:ascii="Arial" w:cs="Arial" w:eastAsia="Arial" w:hAnsi="Arial"/>
                <w:sz w:val="14"/>
                <w:szCs w:val="14"/>
                <w:color w:val="auto"/>
              </w:rPr>
              <w:t>Total other debt obligations</w:t>
            </w: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98,020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98,004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b w:val="1"/>
                <w:bCs w:val="1"/>
                <w:color w:val="auto"/>
              </w:rPr>
              <w:t>Total debt obligations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6"/>
              </w:rPr>
              <w:t>8,987,059</w:t>
            </w:r>
          </w:p>
        </w:tc>
        <w:tc>
          <w:tcPr>
            <w:tcW w:w="1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86"/>
              </w:rPr>
              <w:t>7,833,437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40" w:top="162" w:right="199" w:bottom="474" w:gutter="0" w:footer="0" w:header="0"/>
        </w:sectPr>
      </w:pP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62" w:right="199" w:bottom="474" w:gutter="0" w:footer="0" w:header="0"/>
          <w:type w:val="continuous"/>
        </w:sectPr>
      </w:pPr>
    </w:p>
    <w:bookmarkStart w:id="10" w:name="page11"/>
    <w:bookmarkEnd w:id="10"/>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9" w:lineRule="exact"/>
        <w:rPr>
          <w:sz w:val="20"/>
          <w:szCs w:val="20"/>
          <w:color w:val="auto"/>
        </w:rPr>
      </w:pPr>
    </w:p>
    <w:p>
      <w:pPr>
        <w:ind w:left="360" w:right="80" w:hanging="352"/>
        <w:spacing w:after="0" w:line="225" w:lineRule="auto"/>
        <w:tabs>
          <w:tab w:leader="none" w:pos="3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interest rates and maturity dates are for debt outstanding as of June 30, 2007.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June 30, 2007 was 5.32%. The 30-day UK LIBOR, EURIBOR and Canadian LIBOR rates on June 30, 2007 were 5.92%, 4.12% and 4.48%, respectively. Other variable-rate debt obligations are based on 90-day LIBOR and reprice every three months. The 90-day LIBOR rate on June 30, 2007 was 5.36%.</w:t>
      </w:r>
    </w:p>
    <w:p>
      <w:pPr>
        <w:spacing w:after="0" w:line="2" w:lineRule="exact"/>
        <w:rPr>
          <w:rFonts w:ascii="Arial" w:cs="Arial" w:eastAsia="Arial" w:hAnsi="Arial"/>
          <w:sz w:val="14"/>
          <w:szCs w:val="14"/>
          <w:color w:val="auto"/>
        </w:rPr>
      </w:pPr>
    </w:p>
    <w:p>
      <w:pPr>
        <w:ind w:left="360" w:hanging="352"/>
        <w:spacing w:after="0" w:line="221"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ind w:left="360" w:hanging="352"/>
        <w:spacing w:after="0" w:line="221"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Maturity date reflects one-year “term-out” extension at the Company’s option.</w:t>
      </w:r>
    </w:p>
    <w:p>
      <w:pPr>
        <w:ind w:left="360" w:right="140" w:hanging="352"/>
        <w:spacing w:after="0" w:line="221" w:lineRule="auto"/>
        <w:tabs>
          <w:tab w:leader="none" w:pos="347"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June 30, 2007, the line of credit included foreign borrowings of £126.5 million, €309.5 million, and CAD 24.2 million. Amounts in the table have been converted to U.S. dollars based on exchange rates in effect at June 30, 2007.</w:t>
      </w:r>
    </w:p>
    <w:p>
      <w:pPr>
        <w:ind w:left="360" w:hanging="352"/>
        <w:spacing w:after="0" w:line="221"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This facility has an annual commitment fee of 0.125%.</w:t>
      </w:r>
    </w:p>
    <w:p>
      <w:pPr>
        <w:ind w:left="360" w:hanging="352"/>
        <w:spacing w:after="0" w:line="221" w:lineRule="auto"/>
        <w:tabs>
          <w:tab w:leader="none" w:pos="360"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26, 2007, the Company closed on an additional unsecured revolving credit facility with a maximum capacity of $1.20 billion.</w:t>
      </w:r>
    </w:p>
    <w:p>
      <w:pPr>
        <w:ind w:left="360" w:right="200" w:hanging="352"/>
        <w:spacing w:after="0" w:line="230" w:lineRule="auto"/>
        <w:tabs>
          <w:tab w:leader="none" w:pos="347"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March 9, 2007, the Company issued $300 million of 5.5% Senior Notes due 2012, $250 million of 5.85% Senior Notes due 2017 and $500 million of three-month LIBOR + 0.35% Senior Notes due 2010.</w:t>
      </w:r>
    </w:p>
    <w:p>
      <w:pPr>
        <w:spacing w:after="0" w:line="108"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Company’s primary source of short-term funds is an aggregate of $3.40 billion of available credit under its two committed unsecured revolving credit facilities, which includes the existing $2.20 billion facility, maturing in June 2011, as well as the new $1.20 billion facility, maturing in June 2012, entered into during the second quarter, as described further below. As of June 30, 2007, there was approximately $2.05 billion which was immediately available to draw under these facilities at the Company’s discretion. Both facilities remain fully available throughout their respective terms so long as the Company complies with certain financial covenants, all of which the Company was in compliance with as of June 30, 2007. In addition, the company has one $500.0 million secured revolving credit facility for which availability is based on percentage borrowing base calculations.</w:t>
      </w:r>
    </w:p>
    <w:p>
      <w:pPr>
        <w:spacing w:after="0" w:line="97"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On June 26, 2007, the Company completed an unsecured revolving credit facility with leading financial institutions having a maximum capacity of $1.20 billion. Commitments under this facility will mature on June 26, 2012. Borrowings under this credit agreement, which may be made in multiple currencies, will bear interest at a floating rate based upon one of several base rates which will vary depending upon the currency of the borrowing, plus a margin which adjusts upward or downward based upon the Company’s corporate credit rating. Non-US dollar borrowings under the facility will be initially guaranteed by subsidiaries of the Company that hold exclusively foreign assets. As of June 30, 2007, there were no outstanding borrowings under this facility and all $1.20 billion was immediately available to be drawn at the Company’s discretion.</w:t>
      </w:r>
    </w:p>
    <w:p>
      <w:pPr>
        <w:spacing w:after="0" w:line="97"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On June 26, 2007, the Company also amended and restated its $2.20 billion revolving credit agreement to conform various covenants and provisions to those in the new $1.20 billion revolving credit agreement. Non-US dollar borrowings under the amended and restated $2.20 billion revolving credit agreement will be initially guaranteed by subsidiaries of the Company that hold exclusively foreign assets.</w:t>
      </w:r>
    </w:p>
    <w:p>
      <w:pPr>
        <w:spacing w:after="0" w:line="100"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Also on June 26, 2007, the Company closed on a $2.0 billion short-term interim financing facility which will be used to fund a portion of the costs for the Company’s acquisition of the commercial real estate lending business and existing portfolio of Fremont General Corporation (see Note 17 for further detail). The company had no borrowings under this facility as of June 30, 2007.</w:t>
      </w:r>
    </w:p>
    <w:p>
      <w:pPr>
        <w:spacing w:after="0" w:line="100"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The Company’s debt obligations contain covenants that are both financial and non-financial in nature. Significant financial covenants include limitations on the Company’s ability to incur indebtedness beyond specified levels and a requirement to maintain specified ratios of unsecured indebtedness compared 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unencumbered assets. Based on the Company’s current credit ratings, the financial covenants in some series of the Company’s publicly held debt securities are not operative.</w:t>
      </w:r>
    </w:p>
    <w:p>
      <w:pPr>
        <w:spacing w:after="0" w:line="89"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the Company amended certain covenants in its 7% Senior Notes due 2008, 4.875% Senior Notes due 2009, 6% Senior Notes due 2010, 5.125% Senior Notes due 2011, 6.5% Senior Notes due 2013, and 5.7% Senior Notes due 2014 (collectively, the “Modified Notes”). Holders of approximately 95.43% of the aggregate principal amount of the Modified Notes consented to the solicitation. The purpose of the amendments was to conform most of the covenants to the covenants contained in the indentures governing the senior notes issued by the Company since it achieved an investment grade rating from S&amp;P, Moody’s and Fitch. In connection with the consent solicitation the Company paid an aggregate fee of $6.5 million to the consenting note holders, which will be amortized into interest expense over the remaining term of the Modified Notes. In addition, the Company incurred advisory and professional fees aggregating $2.4 million, which were recorded as expenses and included in “General and administrative” on the Company’s Consolidated Statement of Operations for the six months ended June 30, 2007.</w:t>
      </w:r>
    </w:p>
    <w:p>
      <w:pPr>
        <w:spacing w:after="0" w:line="58" w:lineRule="exact"/>
        <w:rPr>
          <w:sz w:val="20"/>
          <w:szCs w:val="20"/>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Significant non-financial covenants include a requirement in some series of its publicly-held debt securities that the Company offer to repurchase those securities at a premium if the Company undergoes a change of control. As of June 30, 2007, the Company believes it is in compliance with all financial and non-financial covenants on its debt obligations.</w:t>
      </w:r>
    </w:p>
    <w:p>
      <w:pPr>
        <w:spacing w:after="0" w:line="87"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i w:val="1"/>
          <w:iCs w:val="1"/>
          <w:color w:val="auto"/>
        </w:rPr>
        <w:t>Capital Markets Activity</w:t>
      </w:r>
      <w:r>
        <w:rPr>
          <w:rFonts w:ascii="Arial" w:cs="Arial" w:eastAsia="Arial" w:hAnsi="Arial"/>
          <w:sz w:val="18"/>
          <w:szCs w:val="18"/>
          <w:color w:val="auto"/>
        </w:rPr>
        <w:t>—During the six months ended June 30, 2007, the Company issued $300 million and $250 million aggregate principal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of fixed-rate Senior Notes bearing interest at annual rates of 5.5% and 5.85% and maturing in 2012 and 2017, respectively, and $500 million of variable-rate Senior Notes bearing interest at three-month LIBOR + 0.35% maturing in 2010. The Company primarily used the proceeds from the issuance of these securities to repay outstanding indebtedness under its unsecured revolving credit facility. In connection with this issuance, the Company settled forward starting interest rate swap agreements with notional amounts totaling $200 million and ten-year terms matching that of the $250 million Senior Notes due in 2017. The Company also entered into interest rate swap agreements to swap the fixed interest rate on the $300 million Senior Notes due in 2012 for a variable interest rate (see Note 11 for further detail on all hedging activity). In addition, the Company’s $200 million of LIBOR + 1.25% Senior Notes matured in March 2007.</w:t>
      </w:r>
    </w:p>
    <w:p>
      <w:pPr>
        <w:spacing w:after="0" w:line="84"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i w:val="1"/>
          <w:iCs w:val="1"/>
          <w:color w:val="auto"/>
        </w:rPr>
        <w:t>Other Financing Activity</w:t>
      </w:r>
      <w:r>
        <w:rPr>
          <w:rFonts w:ascii="Arial" w:cs="Arial" w:eastAsia="Arial" w:hAnsi="Arial"/>
          <w:sz w:val="16"/>
          <w:szCs w:val="16"/>
          <w:color w:val="auto"/>
        </w:rPr>
        <w:t>—On August 1, 2007, the Company’s term financing that was collateralized by corporate bonds matured and was extended for</w:t>
      </w:r>
      <w:r>
        <w:rPr>
          <w:rFonts w:ascii="Arial" w:cs="Arial" w:eastAsia="Arial" w:hAnsi="Arial"/>
          <w:sz w:val="16"/>
          <w:szCs w:val="16"/>
          <w:i w:val="1"/>
          <w:iCs w:val="1"/>
          <w:color w:val="auto"/>
        </w:rPr>
        <w:t xml:space="preserve"> </w:t>
      </w:r>
      <w:r>
        <w:rPr>
          <w:rFonts w:ascii="Arial" w:cs="Arial" w:eastAsia="Arial" w:hAnsi="Arial"/>
          <w:sz w:val="16"/>
          <w:szCs w:val="16"/>
          <w:color w:val="auto"/>
        </w:rPr>
        <w:t>one month to September 4, 2007 and the rate on the loan was increased to LIBOR + 0.55% to 0.85% from LIBOR + 0.22% to 0.65%. The carrying value of</w:t>
      </w:r>
    </w:p>
    <w:p>
      <w:pPr>
        <w:sectPr>
          <w:pgSz w:w="11900" w:h="16840" w:orient="portrait"/>
          <w:cols w:equalWidth="0" w:num="1">
            <w:col w:w="11420"/>
          </w:cols>
          <w:pgMar w:left="240" w:top="162"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corporate bonds securing the borrowing totaled $139.8 million on August 1,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2007, future scheduled maturities of outstanding long-term debt obligations are as follows (in thousands)(1):</w:t>
      </w:r>
    </w:p>
    <w:p>
      <w:pPr>
        <w:spacing w:after="0" w:line="127"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six months)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171,196</w:t>
            </w:r>
          </w:p>
        </w:tc>
        <w:tc>
          <w:tcPr>
            <w:tcW w:w="100" w:type="dxa"/>
            <w:vAlign w:val="bottom"/>
            <w:shd w:val="clear" w:color="auto" w:fill="CCEEFF"/>
          </w:tcPr>
          <w:p>
            <w:pPr>
              <w:spacing w:after="0"/>
              <w:rPr>
                <w:sz w:val="17"/>
                <w:szCs w:val="17"/>
                <w:color w:val="auto"/>
              </w:rPr>
            </w:pP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8"/>
                <w:szCs w:val="18"/>
                <w:color w:val="auto"/>
              </w:rPr>
              <w:t>2008</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635,331</w:t>
            </w:r>
          </w:p>
        </w:tc>
        <w:tc>
          <w:tcPr>
            <w:tcW w:w="100" w:type="dxa"/>
            <w:vAlign w:val="bottom"/>
          </w:tcPr>
          <w:p>
            <w:pPr>
              <w:spacing w:after="0"/>
              <w:rPr>
                <w:sz w:val="16"/>
                <w:szCs w:val="16"/>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2009</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1,216,754</w:t>
            </w:r>
          </w:p>
        </w:tc>
        <w:tc>
          <w:tcPr>
            <w:tcW w:w="100" w:type="dxa"/>
            <w:vAlign w:val="bottom"/>
            <w:shd w:val="clear" w:color="auto" w:fill="CCEEFF"/>
          </w:tcPr>
          <w:p>
            <w:pPr>
              <w:spacing w:after="0"/>
              <w:rPr>
                <w:sz w:val="16"/>
                <w:szCs w:val="16"/>
                <w:color w:val="auto"/>
              </w:rPr>
            </w:pP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8"/>
                <w:szCs w:val="18"/>
                <w:color w:val="auto"/>
              </w:rPr>
              <w:t>2010</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1,105,607</w:t>
            </w:r>
          </w:p>
        </w:tc>
        <w:tc>
          <w:tcPr>
            <w:tcW w:w="100" w:type="dxa"/>
            <w:vAlign w:val="bottom"/>
          </w:tcPr>
          <w:p>
            <w:pPr>
              <w:spacing w:after="0"/>
              <w:rPr>
                <w:sz w:val="16"/>
                <w:szCs w:val="16"/>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2011</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2,336,859</w:t>
            </w:r>
          </w:p>
        </w:tc>
        <w:tc>
          <w:tcPr>
            <w:tcW w:w="100" w:type="dxa"/>
            <w:vAlign w:val="bottom"/>
            <w:shd w:val="clear" w:color="auto" w:fill="CCEEFF"/>
          </w:tcPr>
          <w:p>
            <w:pPr>
              <w:spacing w:after="0"/>
              <w:rPr>
                <w:sz w:val="16"/>
                <w:szCs w:val="16"/>
                <w:color w:val="auto"/>
              </w:rPr>
            </w:pP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8"/>
                <w:szCs w:val="18"/>
                <w:color w:val="auto"/>
              </w:rPr>
              <w:t>2012</w:t>
            </w: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6"/>
                <w:szCs w:val="16"/>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2,649,539</w:t>
            </w:r>
          </w:p>
        </w:tc>
        <w:tc>
          <w:tcPr>
            <w:tcW w:w="100" w:type="dxa"/>
            <w:vAlign w:val="bottom"/>
            <w:shd w:val="clear" w:color="auto" w:fill="CCEEFF"/>
          </w:tcPr>
          <w:p>
            <w:pPr>
              <w:spacing w:after="0"/>
              <w:rPr>
                <w:sz w:val="16"/>
                <w:szCs w:val="16"/>
                <w:color w:val="auto"/>
              </w:rPr>
            </w:pPr>
          </w:p>
        </w:tc>
      </w:tr>
      <w:tr>
        <w:trPr>
          <w:trHeight w:val="183"/>
        </w:trPr>
        <w:tc>
          <w:tcPr>
            <w:tcW w:w="5860" w:type="dxa"/>
            <w:vAlign w:val="bottom"/>
          </w:tcPr>
          <w:p>
            <w:pPr>
              <w:spacing w:after="0" w:line="182" w:lineRule="exact"/>
              <w:rPr>
                <w:sz w:val="20"/>
                <w:szCs w:val="20"/>
                <w:color w:val="auto"/>
              </w:rPr>
            </w:pPr>
            <w:r>
              <w:rPr>
                <w:rFonts w:ascii="Arial" w:cs="Arial" w:eastAsia="Arial" w:hAnsi="Arial"/>
                <w:sz w:val="18"/>
                <w:szCs w:val="18"/>
                <w:color w:val="auto"/>
              </w:rPr>
              <w:t>Total principal maturities</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9,115,286</w:t>
            </w:r>
          </w:p>
        </w:tc>
        <w:tc>
          <w:tcPr>
            <w:tcW w:w="100" w:type="dxa"/>
            <w:vAlign w:val="bottom"/>
          </w:tcPr>
          <w:p>
            <w:pPr>
              <w:spacing w:after="0"/>
              <w:rPr>
                <w:sz w:val="15"/>
                <w:szCs w:val="15"/>
                <w:color w:val="auto"/>
              </w:rPr>
            </w:pPr>
          </w:p>
        </w:tc>
      </w:tr>
      <w:tr>
        <w:trPr>
          <w:trHeight w:val="189"/>
        </w:trPr>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Unamortized debt discounts/premiums, net</w:t>
            </w:r>
          </w:p>
        </w:tc>
        <w:tc>
          <w:tcPr>
            <w:tcW w:w="9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(93,946)</w:t>
            </w:r>
          </w:p>
        </w:tc>
      </w:tr>
      <w:tr>
        <w:trPr>
          <w:trHeight w:val="189"/>
        </w:trPr>
        <w:tc>
          <w:tcPr>
            <w:tcW w:w="5860" w:type="dxa"/>
            <w:vAlign w:val="bottom"/>
          </w:tcPr>
          <w:p>
            <w:pPr>
              <w:spacing w:after="0" w:line="189" w:lineRule="exact"/>
              <w:rPr>
                <w:sz w:val="20"/>
                <w:szCs w:val="20"/>
                <w:color w:val="auto"/>
              </w:rPr>
            </w:pPr>
            <w:r>
              <w:rPr>
                <w:rFonts w:ascii="Arial" w:cs="Arial" w:eastAsia="Arial" w:hAnsi="Arial"/>
                <w:sz w:val="18"/>
                <w:szCs w:val="18"/>
                <w:color w:val="auto"/>
              </w:rPr>
              <w:t>Fair value adjustment to hedged items (see Note 11)</w:t>
            </w:r>
          </w:p>
        </w:tc>
        <w:tc>
          <w:tcPr>
            <w:tcW w:w="9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(34,281)</w:t>
            </w:r>
          </w:p>
        </w:tc>
      </w:tr>
      <w:tr>
        <w:trPr>
          <w:trHeight w:val="183"/>
        </w:trPr>
        <w:tc>
          <w:tcPr>
            <w:tcW w:w="58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debt obligations</w:t>
            </w:r>
          </w:p>
        </w:tc>
        <w:tc>
          <w:tcPr>
            <w:tcW w:w="8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8,987,059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the Company’s option.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3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i w:val="1"/>
          <w:iCs w:val="1"/>
          <w:color w:val="auto"/>
        </w:rPr>
        <w:t>DRIP/Stock Purchase Plan</w:t>
      </w:r>
      <w:r>
        <w:rPr>
          <w:rFonts w:ascii="Arial" w:cs="Arial" w:eastAsia="Arial" w:hAnsi="Arial"/>
          <w:sz w:val="16"/>
          <w:szCs w:val="16"/>
          <w:color w:val="auto"/>
        </w:rPr>
        <w:t>—During the three months ended June 30, 2007 and 2006, the Company issued a total of approximately 12,400 and 19,000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its Common Stock, respectively, and during the six months ended June 30, 2007 and 2006, the Company issued a total of approximately 19,800 and 31,000 shares of its Common Stock, respectively, through the dividend reinvestment and direct stock purchase plans. Net proceeds during the three months ended June 30, 2007 and 2006 were approximately $0.6 million and $0.7 million, respectively, and $0.9 million and $1.2 million during the six months ended June 30, 2007 and 2006, respectively. There are approximately 2.1 million shares available for issuance under the plan as of June 30, 2007.</w:t>
      </w:r>
    </w:p>
    <w:p>
      <w:pPr>
        <w:spacing w:after="0" w:line="5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The Company did not repurchase any shares under the stock repurchase program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2007 and 2006. Subsequent to June 30, 2007, the Company repurchased 300,000 of its outstanding Common stock for $10.0 million at an average cost per share of $33.47.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w:t>
      </w:r>
    </w:p>
    <w:p>
      <w:pPr>
        <w:spacing w:after="0" w:line="13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color w:val="auto"/>
        </w:rPr>
        <w:t>Risk management—</w:t>
      </w:r>
      <w:r>
        <w:rPr>
          <w:rFonts w:ascii="Arial" w:cs="Arial" w:eastAsia="Arial" w:hAnsi="Arial"/>
          <w:sz w:val="18"/>
          <w:szCs w:val="18"/>
          <w:color w:val="auto"/>
        </w:rPr>
        <w:t>In the normal course of its on-going business operations, the Company encounters economic risk. There are three main components</w:t>
      </w:r>
      <w:r>
        <w:rPr>
          <w:rFonts w:ascii="Arial" w:cs="Arial" w:eastAsia="Arial" w:hAnsi="Arial"/>
          <w:sz w:val="18"/>
          <w:szCs w:val="18"/>
          <w:b w:val="1"/>
          <w:bCs w:val="1"/>
          <w:color w:val="auto"/>
        </w:rPr>
        <w:t xml:space="preserve"> </w:t>
      </w:r>
      <w:r>
        <w:rPr>
          <w:rFonts w:ascii="Arial" w:cs="Arial" w:eastAsia="Arial" w:hAnsi="Arial"/>
          <w:sz w:val="18"/>
          <w:szCs w:val="18"/>
          <w:color w:val="auto"/>
        </w:rPr>
        <w:t>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that results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117" w:lineRule="exact"/>
        <w:rPr>
          <w:sz w:val="20"/>
          <w:szCs w:val="20"/>
          <w:color w:val="auto"/>
        </w:rPr>
      </w:pPr>
    </w:p>
    <w:p>
      <w:pPr>
        <w:ind w:firstLine="360"/>
        <w:spacing w:after="0" w:line="256" w:lineRule="auto"/>
        <w:rPr>
          <w:sz w:val="20"/>
          <w:szCs w:val="20"/>
          <w:color w:val="auto"/>
        </w:rPr>
      </w:pPr>
      <w:r>
        <w:rPr>
          <w:rFonts w:ascii="Arial" w:cs="Arial" w:eastAsia="Arial" w:hAnsi="Arial"/>
          <w:sz w:val="18"/>
          <w:szCs w:val="18"/>
          <w:b w:val="1"/>
          <w:bCs w:val="1"/>
          <w:color w:val="auto"/>
        </w:rPr>
        <w:t>Use of derivative financial instruments</w:t>
      </w:r>
      <w:r>
        <w:rPr>
          <w:rFonts w:ascii="Arial" w:cs="Arial" w:eastAsia="Arial" w:hAnsi="Arial"/>
          <w:sz w:val="18"/>
          <w:szCs w:val="18"/>
          <w:color w:val="auto"/>
        </w:rPr>
        <w:t>—As of June 30, 2007, the Company has forward-starting interest rate swaps to hedge variability in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on $250.0 million of debt forecasted to be issued in 2008. The Company also has interest rate swaps that hedge the change in fair value associated with $1.25 billion of existing fixed-rate debt. The effect of these hedges is reflected on the Company’s Consolidated Balance Sheet as a $34.3 million adjustment to the hedged debt obligations. The Company also has a foreign currency derivative to hedge the exposure to foreign exchange rate movements related to a loan originated in Swedish Krona. This derivative was not designated as a hedge under SFAS No. 133, therefore, changes in fair value are recorded in the Company’s Consolidated Statements of Operations.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214"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3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Notional Amount</w:t>
            </w: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4"/>
                <w:szCs w:val="14"/>
                <w:color w:val="auto"/>
              </w:rPr>
            </w:pPr>
          </w:p>
        </w:tc>
        <w:tc>
          <w:tcPr>
            <w:tcW w:w="8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r>
      <w:tr>
        <w:trPr>
          <w:trHeight w:val="135"/>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r>
      <w:tr>
        <w:trPr>
          <w:trHeight w:val="135"/>
        </w:trPr>
        <w:tc>
          <w:tcPr>
            <w:tcW w:w="3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440"/>
              <w:spacing w:after="0" w:line="135" w:lineRule="exact"/>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1"/>
                <w:szCs w:val="11"/>
                <w:color w:val="auto"/>
              </w:rPr>
            </w:pPr>
          </w:p>
        </w:tc>
        <w:tc>
          <w:tcPr>
            <w:tcW w:w="118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6"/>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3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2007</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2006</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hedges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450,000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12,270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(34,281)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(23,137)</w:t>
            </w:r>
          </w:p>
        </w:tc>
        <w:tc>
          <w:tcPr>
            <w:tcW w:w="80" w:type="dxa"/>
            <w:vAlign w:val="bottom"/>
            <w:shd w:val="clear" w:color="auto" w:fill="CCEEFF"/>
          </w:tcPr>
          <w:p>
            <w:pPr>
              <w:spacing w:after="0"/>
              <w:rPr>
                <w:sz w:val="18"/>
                <w:szCs w:val="18"/>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interest rate swaps</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1,500,000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1,400,000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(22,011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(13,957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00"/>
          </w:cols>
          <w:pgMar w:left="240" w:top="125" w:right="259" w:bottom="0" w:gutter="0" w:footer="0" w:header="0"/>
        </w:sectPr>
      </w:pPr>
    </w:p>
    <w:bookmarkStart w:id="12" w:name="page13"/>
    <w:bookmarkEnd w:id="12"/>
    <w:p>
      <w:pPr>
        <w:ind w:left="360"/>
        <w:spacing w:after="0"/>
        <w:rPr>
          <w:sz w:val="20"/>
          <w:szCs w:val="20"/>
          <w:color w:val="auto"/>
        </w:rPr>
      </w:pPr>
      <w:r>
        <w:rPr>
          <w:rFonts w:ascii="Arial" w:cs="Arial" w:eastAsia="Arial" w:hAnsi="Arial"/>
          <w:sz w:val="18"/>
          <w:szCs w:val="18"/>
          <w:color w:val="auto"/>
        </w:rPr>
        <w:t>The following table presents the Company’s foreign currency derivatives outstanding as of June 30, 2007 (in thousands):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Notional</w:t>
            </w: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Notional</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Notional</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Type</w:t>
            </w:r>
          </w:p>
        </w:tc>
        <w:tc>
          <w:tcPr>
            <w:tcW w:w="128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(USD</w:t>
            </w:r>
          </w:p>
        </w:tc>
        <w:tc>
          <w:tcPr>
            <w:tcW w:w="11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2920" w:type="dxa"/>
            <w:vAlign w:val="bottom"/>
            <w:gridSpan w:val="2"/>
            <w:vMerge w:val="continue"/>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Currency</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Equivalent)</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0"/>
              </w:rPr>
              <w:t>SEK 246,677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Swedish Krona</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$ 36,072</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July 16, 2007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80" w:firstLine="360"/>
        <w:spacing w:after="0" w:line="272" w:lineRule="auto"/>
        <w:rPr>
          <w:sz w:val="20"/>
          <w:szCs w:val="20"/>
          <w:color w:val="auto"/>
        </w:rPr>
      </w:pPr>
      <w:r>
        <w:rPr>
          <w:rFonts w:ascii="Arial" w:cs="Arial" w:eastAsia="Arial" w:hAnsi="Arial"/>
          <w:sz w:val="17"/>
          <w:szCs w:val="17"/>
          <w:color w:val="auto"/>
        </w:rPr>
        <w:t>During the six months ended June 30, 2007, the Company settled three forward starting interest rate swap agreements, which were designated as cash-flow hedges, with notional amounts totaling $200 million, ten-year terms and rates from 4.740% to 4.745% in connection with the Company’s issuance of $250 million of Senior Notes due in 2017. The $4.5 million settlement value received for these forward starting swaps is being amortized as a reduction to “Interest expense” on the Company’s Consolidated Statements of Operations through the maturity of the Senior Notes due in 2017. Additionally, the Company entered into interest rate swap agreements, designated as fair-value hedges, with notional amounts totaling $300 million and variable interest rates that reset quarterly based on three-month LIBOR. These swap agreements exchanged the 5.5% fixed-rate interest payments on the Company’s $300 million Senior Notes due in 2012 for variable-rate interest payments based on three-month LIBOR + 0.5365%.</w:t>
      </w:r>
    </w:p>
    <w:p>
      <w:pPr>
        <w:spacing w:after="0" w:line="70"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At June 30, 2007, derivatives with a fair value of $12.3 million were included in other assets and derivatives with a fair value of $34.3 million were included in other liabilities.</w:t>
      </w:r>
    </w:p>
    <w:p>
      <w:pPr>
        <w:spacing w:after="0" w:line="85" w:lineRule="exact"/>
        <w:rPr>
          <w:sz w:val="20"/>
          <w:szCs w:val="20"/>
          <w:color w:val="auto"/>
        </w:rPr>
      </w:pPr>
    </w:p>
    <w:p>
      <w:pPr>
        <w:ind w:right="280" w:firstLine="360"/>
        <w:spacing w:after="0" w:line="347" w:lineRule="auto"/>
        <w:rPr>
          <w:sz w:val="20"/>
          <w:szCs w:val="20"/>
          <w:color w:val="auto"/>
        </w:rPr>
      </w:pPr>
      <w:r>
        <w:rPr>
          <w:rFonts w:ascii="Arial" w:cs="Arial" w:eastAsia="Arial" w:hAnsi="Arial"/>
          <w:sz w:val="16"/>
          <w:szCs w:val="16"/>
          <w:b w:val="1"/>
          <w:bCs w:val="1"/>
          <w:color w:val="auto"/>
        </w:rPr>
        <w:t>Credit risk concentrations</w:t>
      </w:r>
      <w:r>
        <w:rPr>
          <w:rFonts w:ascii="Arial" w:cs="Arial" w:eastAsia="Arial" w:hAnsi="Arial"/>
          <w:sz w:val="16"/>
          <w:szCs w:val="16"/>
          <w:color w:val="auto"/>
        </w:rPr>
        <w:t>—Concentrations of credit risks arise when a number of borrowers or customers related to the Company’s investments are</w:t>
      </w:r>
      <w:r>
        <w:rPr>
          <w:rFonts w:ascii="Arial" w:cs="Arial" w:eastAsia="Arial" w:hAnsi="Arial"/>
          <w:sz w:val="16"/>
          <w:szCs w:val="16"/>
          <w:b w:val="1"/>
          <w:bCs w:val="1"/>
          <w:color w:val="auto"/>
        </w:rPr>
        <w:t xml:space="preserve"> </w:t>
      </w:r>
      <w:r>
        <w:rPr>
          <w:rFonts w:ascii="Arial" w:cs="Arial" w:eastAsia="Arial" w:hAnsi="Arial"/>
          <w:sz w:val="16"/>
          <w:szCs w:val="16"/>
          <w:color w:val="auto"/>
        </w:rPr>
        <w:t>engaged in similar business activities, or activities in the same geographic region, or have similar economic features that would cause their ability to meet</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100"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Substantially all of the Company’s CTL assets (including those held by joint ventures) and loans and other lending investments are collateralized by facilities located in the United States, with California (14.4%) and Florida (10.4%) representing the only significant concentration (greater than 10.0%) as of June 30, 2007. The Company’s investments also contain significant concentrations in the following asset types as of June 30, 2007: apartment/residential (21.7%), office-CTL (14.5%), retail (13.0%) and industrial/R&amp;D (11.1%).</w:t>
      </w:r>
    </w:p>
    <w:p>
      <w:pPr>
        <w:spacing w:after="0" w:line="79" w:lineRule="exact"/>
        <w:rPr>
          <w:sz w:val="20"/>
          <w:szCs w:val="20"/>
          <w:color w:val="auto"/>
        </w:rPr>
      </w:pPr>
    </w:p>
    <w:p>
      <w:pPr>
        <w:ind w:right="360" w:firstLine="360"/>
        <w:spacing w:after="0" w:line="257"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2006 Long-Term Incentive Plan (the “Plan”) is designed to provide equity-based incentive compensation for officers, key employees,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directors, consultants and advisers of the Company. This Plan was effective May 31, 2006 and replaces the original 1996 Long-Term Incentive Plan.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2007, options to purchase approximately 1.0 million shares of Common Stock were outstanding and approximately 774,000 shares of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outstanding. Many of these options and restricted stock units were issued under the original 1996 Long-Term Incentive Plan and, therefore, a total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4.0 million shares remain available for awards under the Plan as of June 30, 2007. The Company recorded $3.9 million and $1.7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expense in “General and administrative” costs on the Company’s Consolidated Statements of Operations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2007 and 2006, respectively, and $8.3 million and $3.0 million for the six months ended June 30, 2007 and 2006, respectively.</w:t>
      </w:r>
    </w:p>
    <w:p>
      <w:pPr>
        <w:spacing w:after="0" w:line="103"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Changes in options outstanding during the six months ended June 30, 2007, are as follows (shares and aggregate intrinsic value in thousands, except for weighted average strike price):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vMerge w:val="restart"/>
          </w:tcPr>
          <w:p>
            <w:pPr>
              <w:jc w:val="center"/>
              <w:ind w:right="240"/>
              <w:spacing w:after="0" w:line="145"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jc w:val="center"/>
              <w:ind w:right="280"/>
              <w:spacing w:after="0" w:line="145" w:lineRule="exact"/>
              <w:rPr>
                <w:sz w:val="20"/>
                <w:szCs w:val="20"/>
                <w:color w:val="auto"/>
              </w:rPr>
            </w:pPr>
            <w:r>
              <w:rPr>
                <w:rFonts w:ascii="Arial" w:cs="Arial" w:eastAsia="Arial" w:hAnsi="Arial"/>
                <w:sz w:val="14"/>
                <w:szCs w:val="14"/>
                <w:b w:val="1"/>
                <w:bCs w:val="1"/>
                <w:color w:val="auto"/>
                <w:w w:val="99"/>
              </w:rPr>
              <w:t>Intrinsic</w:t>
            </w: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9"/>
              </w:rPr>
              <w:t>Employees</w:t>
            </w:r>
          </w:p>
        </w:tc>
        <w:tc>
          <w:tcPr>
            <w:tcW w:w="220" w:type="dxa"/>
            <w:vAlign w:val="bottom"/>
          </w:tcPr>
          <w:p>
            <w:pPr>
              <w:spacing w:after="0"/>
              <w:rPr>
                <w:sz w:val="8"/>
                <w:szCs w:val="8"/>
                <w:color w:val="auto"/>
              </w:rPr>
            </w:pPr>
          </w:p>
        </w:tc>
        <w:tc>
          <w:tcPr>
            <w:tcW w:w="1180" w:type="dxa"/>
            <w:vAlign w:val="bottom"/>
            <w:gridSpan w:val="4"/>
          </w:tcPr>
          <w:p>
            <w:pPr>
              <w:jc w:val="center"/>
              <w:ind w:right="220"/>
              <w:spacing w:after="0" w:line="102" w:lineRule="exact"/>
              <w:rPr>
                <w:sz w:val="20"/>
                <w:szCs w:val="20"/>
                <w:color w:val="auto"/>
              </w:rPr>
            </w:pPr>
            <w:r>
              <w:rPr>
                <w:rFonts w:ascii="Arial" w:cs="Arial" w:eastAsia="Arial" w:hAnsi="Arial"/>
                <w:sz w:val="11"/>
                <w:szCs w:val="11"/>
                <w:b w:val="1"/>
                <w:bCs w:val="1"/>
                <w:color w:val="auto"/>
              </w:rPr>
              <w:t>Non-Employee</w:t>
            </w:r>
          </w:p>
        </w:tc>
        <w:tc>
          <w:tcPr>
            <w:tcW w:w="6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0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Directors</w:t>
            </w:r>
          </w:p>
        </w:tc>
        <w:tc>
          <w:tcPr>
            <w:tcW w:w="680" w:type="dxa"/>
            <w:vAlign w:val="bottom"/>
            <w:gridSpan w:val="4"/>
            <w:vMerge w:val="continue"/>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Strike Price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540" w:type="dxa"/>
            <w:vAlign w:val="bottom"/>
          </w:tcPr>
          <w:p>
            <w:pPr>
              <w:spacing w:after="0"/>
              <w:rPr>
                <w:sz w:val="15"/>
                <w:szCs w:val="15"/>
                <w:color w:val="auto"/>
              </w:rPr>
            </w:pPr>
          </w:p>
        </w:tc>
        <w:tc>
          <w:tcPr>
            <w:tcW w:w="31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Options Outstanding, December 31,</w:t>
            </w:r>
          </w:p>
        </w:tc>
        <w:tc>
          <w:tcPr>
            <w:tcW w:w="2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right w:val="single" w:sz="8" w:color="CCEEFF"/>
            </w:tcBorders>
            <w:shd w:val="clear" w:color="auto" w:fill="CCEEFF"/>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3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center"/>
              <w:ind w:left="516"/>
              <w:spacing w:after="0"/>
              <w:rPr>
                <w:sz w:val="20"/>
                <w:szCs w:val="20"/>
                <w:color w:val="auto"/>
              </w:rPr>
            </w:pPr>
            <w:r>
              <w:rPr>
                <w:rFonts w:ascii="Arial" w:cs="Arial" w:eastAsia="Arial" w:hAnsi="Arial"/>
                <w:sz w:val="18"/>
                <w:szCs w:val="18"/>
                <w:color w:val="auto"/>
                <w:w w:val="89"/>
              </w:rPr>
              <w:t>90</w:t>
            </w: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$ 17.62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3140" w:type="dxa"/>
            <w:vAlign w:val="bottom"/>
          </w:tcPr>
          <w:p>
            <w:pPr>
              <w:ind w:left="180"/>
              <w:spacing w:after="0"/>
              <w:rPr>
                <w:sz w:val="20"/>
                <w:szCs w:val="20"/>
                <w:color w:val="auto"/>
              </w:rPr>
            </w:pPr>
            <w:r>
              <w:rPr>
                <w:rFonts w:ascii="Arial" w:cs="Arial" w:eastAsia="Arial" w:hAnsi="Arial"/>
                <w:sz w:val="18"/>
                <w:szCs w:val="18"/>
                <w:color w:val="auto"/>
              </w:rPr>
              <w:t>Exercised in 2007</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$ 18.90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June 30, 2007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759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90</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$ 17.42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ind w:right="424"/>
              <w:spacing w:after="0"/>
              <w:rPr>
                <w:sz w:val="20"/>
                <w:szCs w:val="20"/>
                <w:color w:val="auto"/>
              </w:rPr>
            </w:pPr>
            <w:r>
              <w:rPr>
                <w:rFonts w:ascii="Arial" w:cs="Arial" w:eastAsia="Arial" w:hAnsi="Arial"/>
                <w:sz w:val="18"/>
                <w:szCs w:val="18"/>
                <w:color w:val="auto"/>
                <w:w w:val="98"/>
              </w:rPr>
              <w:t>27,674</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vMerge w:val="restart"/>
          </w:tcPr>
          <w:p>
            <w:pPr>
              <w:jc w:val="right"/>
              <w:ind w:right="116"/>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5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12—Stock-Based Compensation Plans and Employee Benefits </w:t>
      </w:r>
      <w:r>
        <w:rPr>
          <w:rFonts w:ascii="Arial" w:cs="Arial" w:eastAsia="Arial" w:hAnsi="Arial"/>
          <w:sz w:val="15"/>
          <w:szCs w:val="15"/>
          <w:b w:val="1"/>
          <w:bCs w:val="1"/>
          <w:color w:val="auto"/>
        </w:rPr>
        <w:t>(Continued)</w:t>
      </w:r>
    </w:p>
    <w:p>
      <w:pPr>
        <w:sectPr>
          <w:pgSz w:w="11900" w:h="16838" w:orient="portrait"/>
          <w:cols w:equalWidth="0" w:num="1">
            <w:col w:w="11460"/>
          </w:cols>
          <w:pgMar w:left="240" w:top="125" w:right="199" w:bottom="0" w:gutter="0" w:footer="0" w:header="0"/>
          <w:type w:val="continuous"/>
        </w:sectPr>
      </w:pPr>
    </w:p>
    <w:bookmarkStart w:id="13" w:name="page14"/>
    <w:bookmarkEnd w:id="13"/>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June 30, 2007 (in thousands):</w:t>
      </w:r>
    </w:p>
    <w:p>
      <w:pPr>
        <w:spacing w:after="0" w:line="187"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3400" w:type="dxa"/>
            <w:vAlign w:val="bottom"/>
            <w:gridSpan w:val="3"/>
            <w:vMerge w:val="continue"/>
          </w:tcPr>
          <w:p>
            <w:pPr>
              <w:spacing w:after="0"/>
              <w:rPr>
                <w:sz w:val="11"/>
                <w:szCs w:val="11"/>
                <w:color w:val="auto"/>
              </w:rPr>
            </w:pPr>
          </w:p>
        </w:tc>
        <w:tc>
          <w:tcPr>
            <w:tcW w:w="128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8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62"/>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Price</w:t>
            </w:r>
          </w:p>
        </w:tc>
        <w:tc>
          <w:tcPr>
            <w:tcW w:w="12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and Exercisable</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$14.72</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$26.97</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$55.39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Company has not issued any options since 2003. Cash received from option exercises during the three and six months ended June 30, 2007 was approximately $1.2 million and $1.5 million, respectively. The intrinsic value of options exercised during the three and six months ended June 30, 2007 was $1.9 million and $2.1 million, respectively. Future charges may be taken to the extent of additional option grants, which are at the discretion of the Board of Directors.</w:t>
      </w:r>
    </w:p>
    <w:p>
      <w:pPr>
        <w:spacing w:after="0" w:line="79"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Changes in non-vested restricted stock units during the six months ended June 30, 2007, are as follows (shares and aggregate intrinsic value in thousands):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4"/>
                <w:szCs w:val="14"/>
                <w:color w:val="auto"/>
              </w:rPr>
            </w:pP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860" w:type="dxa"/>
            <w:vAlign w:val="bottom"/>
            <w:gridSpan w:val="4"/>
            <w:vMerge w:val="continue"/>
          </w:tcPr>
          <w:p>
            <w:pPr>
              <w:spacing w:after="0"/>
              <w:rPr>
                <w:sz w:val="11"/>
                <w:szCs w:val="11"/>
                <w:color w:val="auto"/>
              </w:rPr>
            </w:pP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1"/>
                <w:szCs w:val="11"/>
                <w:color w:val="auto"/>
              </w:rPr>
            </w:pPr>
          </w:p>
        </w:tc>
        <w:tc>
          <w:tcPr>
            <w:tcW w:w="80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680" w:type="dxa"/>
            <w:vAlign w:val="bottom"/>
            <w:gridSpan w:val="3"/>
            <w:vMerge w:val="continue"/>
          </w:tcPr>
          <w:p>
            <w:pPr>
              <w:spacing w:after="0"/>
              <w:rPr>
                <w:sz w:val="14"/>
                <w:szCs w:val="14"/>
                <w:color w:val="auto"/>
              </w:rPr>
            </w:pPr>
          </w:p>
        </w:tc>
        <w:tc>
          <w:tcPr>
            <w:tcW w:w="8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of Shares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 Share</w:t>
            </w:r>
          </w:p>
        </w:tc>
        <w:tc>
          <w:tcPr>
            <w:tcW w:w="60" w:type="dxa"/>
            <w:vAlign w:val="bottom"/>
          </w:tcPr>
          <w:p>
            <w:pPr>
              <w:spacing w:after="0"/>
              <w:rPr>
                <w:sz w:val="14"/>
                <w:szCs w:val="14"/>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2006</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rPr>
              <w:t>$ 37.27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258"/>
              <w:spacing w:after="0"/>
              <w:rPr>
                <w:sz w:val="20"/>
                <w:szCs w:val="20"/>
                <w:color w:val="auto"/>
              </w:rPr>
            </w:pPr>
            <w:r>
              <w:rPr>
                <w:rFonts w:ascii="Arial" w:cs="Arial" w:eastAsia="Arial" w:hAnsi="Arial"/>
                <w:sz w:val="18"/>
                <w:szCs w:val="18"/>
                <w:color w:val="auto"/>
              </w:rPr>
              <w:t>49.10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(187)</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38.71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180" w:type="dxa"/>
            <w:vAlign w:val="bottom"/>
          </w:tcPr>
          <w:p>
            <w:pPr>
              <w:jc w:val="right"/>
              <w:ind w:right="258"/>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June 30, 2007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$44.73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$ 34,290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firstLine="360"/>
        <w:spacing w:after="0" w:line="273" w:lineRule="auto"/>
        <w:rPr>
          <w:sz w:val="20"/>
          <w:szCs w:val="20"/>
          <w:color w:val="auto"/>
        </w:rPr>
      </w:pPr>
      <w:r>
        <w:rPr>
          <w:rFonts w:ascii="Arial" w:cs="Arial" w:eastAsia="Arial" w:hAnsi="Arial"/>
          <w:sz w:val="17"/>
          <w:szCs w:val="17"/>
          <w:color w:val="auto"/>
        </w:rPr>
        <w:t>During the six months ended June 30, 2007, the Company granted 535,286 restricted stock units to employees that vest proportionately over three years on the anniversary date of the initial grant of which 487,566 units remain outstanding as of June 30, 2007. During the years ended December 31, 2006, 2005 and 2004, the Company granted restricted stock units to employees that vest proportionately over three years on the anniversary date of the initial grant of which 254,608 units, 30,451 units, and 882 units, respectively, remain outstanding as of June 30, 2007. The unvested restricted stock units granted after January 1, 2006, are paid dividends as dividends are paid on shares of the Company’s Common Stock and these dividends are accounted for in a manner consistent with the Company’s Common Stock dividends, as a reduction to retained earnings.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121" w:lineRule="exact"/>
        <w:rPr>
          <w:sz w:val="20"/>
          <w:szCs w:val="20"/>
          <w:color w:val="auto"/>
        </w:rPr>
      </w:pPr>
    </w:p>
    <w:p>
      <w:pPr>
        <w:ind w:right="320" w:firstLine="360"/>
        <w:spacing w:after="0" w:line="302" w:lineRule="auto"/>
        <w:rPr>
          <w:sz w:val="20"/>
          <w:szCs w:val="20"/>
          <w:color w:val="auto"/>
        </w:rPr>
      </w:pPr>
      <w:r>
        <w:rPr>
          <w:rFonts w:ascii="Arial" w:cs="Arial" w:eastAsia="Arial" w:hAnsi="Arial"/>
          <w:sz w:val="16"/>
          <w:szCs w:val="16"/>
          <w:color w:val="auto"/>
        </w:rPr>
        <w:t>For accounting purposes, the Company measures compensation costs for these units as of the date of the grant and expenses such amounts against earnings, either at the grant date (if no vesting period exists) or ratably over the respective vesting/service period. Such amounts appear on the Company’s Consolidated Statements of Operations in “General and administrative.” As of June 30, 2007, there was $28.7 million of total unrecognized compensation cost related to non-vested restricted stock units. That cost is expected to be recognized over the remaining vesting/service period for the respective grants.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Company’s High Performance Unit (HPU) program and Senior Executive HPU program are performance-based 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2006. As of June 30, 2007, the 2007 and 2008 plans under both the HPU Program and Senior Executive HPU Program have valuation dates that have not yet occurred. If at the end of the three-year valuation periods ending on December 31, 2007 and December 31, 2008, the total rate of shareholder return on the Company’s common stock exceeds certain performance thresholds, the HPU participants and Senior Executive HPU participants will receive cash distributions in the nature of dividends payable on a calculated equivalent amount of our common stock, as defined by the plan documents, after the respective valuation dates. However, if the total rate of shareholder return for the relevant valuation period does not exceed these performance thresholds, then the HPU shares only have a nominal value.</w:t>
      </w:r>
    </w:p>
    <w:p>
      <w:pPr>
        <w:spacing w:after="0" w:line="58"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2007 and 2008 plans under the HPU Program each have 5,000 shares of High Performance Common Stock and had aggregate initial purchase prices of $0.6 million and $0.8 million, respectively. As of June 30, 2007, the Company had received net contributions of $0.5 million and $0.7 million under the 2007 and 2008 plans, respectively.</w:t>
      </w:r>
    </w:p>
    <w:p>
      <w:pPr>
        <w:spacing w:after="0" w:line="73"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The 2007 and 2008 plans under the Senior Executive HPU Program each have 5,000 shares of High Performance Common Stock and had aggregate initial purchase prices of $0.4 million and $0.5 million, respectively. As of June 30, 2007, the Company had received net contributions of $0.4 million and $0.5 million under the 2007 and 2008 plans, respectively.</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discontinued further issuances under its HPU and Senior Executive HPU programs.</w:t>
      </w:r>
    </w:p>
    <w:p>
      <w:pPr>
        <w:sectPr>
          <w:pgSz w:w="11900" w:h="16838" w:orient="portrait"/>
          <w:cols w:equalWidth="0" w:num="1">
            <w:col w:w="11420"/>
          </w:cols>
          <w:pgMar w:left="240" w:top="125" w:right="239" w:bottom="46" w:gutter="0" w:footer="0" w:header="0"/>
        </w:sectPr>
      </w:pPr>
    </w:p>
    <w:bookmarkStart w:id="14" w:name="page15"/>
    <w:bookmarkEnd w:id="14"/>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The Company made gross contributions to the savings and retirement plan (the “401(k) Plan”) of approximately $0.1 million for each of the three months ended June 30, 2007 and 2006, and $0.7 million and $0.5 million for the six months ended June 30, 2007 and 2006,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2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who purchased high performance common stock units under the Company’s High Performance Unit Program.</w:t>
      </w: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13—Earnings Per Share </w:t>
      </w:r>
      <w:r>
        <w:rPr>
          <w:rFonts w:ascii="Arial" w:cs="Arial" w:eastAsia="Arial" w:hAnsi="Arial"/>
          <w:sz w:val="17"/>
          <w:szCs w:val="17"/>
          <w:b w:val="1"/>
          <w:bCs w:val="1"/>
          <w:color w:val="auto"/>
        </w:rPr>
        <w:t>(Continued)</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presents a reconciliation of the numerators and denominators of the basic and diluted EPS calculations for the three and six months ended June 30, 2007 and 2006, for common shares, respectively (in thousands, except per share data):</w:t>
      </w:r>
    </w:p>
    <w:p>
      <w:pPr>
        <w:spacing w:after="0" w:line="13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For the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6"/>
              </w:rPr>
              <w:t>For the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7"/>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6"/>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08"/>
              <w:spacing w:after="0" w:line="129"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Income from continuing operations.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103,404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84,708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195,335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168,280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Preferred dividend requirements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(10,580)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(10,580)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(21,160)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9"/>
              </w:rPr>
              <w:t>(21,160)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spacing w:after="0" w:line="143" w:lineRule="exact"/>
              <w:rPr>
                <w:sz w:val="20"/>
                <w:szCs w:val="20"/>
                <w:color w:val="auto"/>
              </w:rPr>
            </w:pPr>
            <w:r>
              <w:rPr>
                <w:rFonts w:ascii="Arial" w:cs="Arial" w:eastAsia="Arial" w:hAnsi="Arial"/>
                <w:sz w:val="14"/>
                <w:szCs w:val="14"/>
                <w:color w:val="auto"/>
                <w:w w:val="97"/>
              </w:rPr>
              <w:t>Net income allocable to common shareholders and HPU holders before income from</w:t>
            </w: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140" w:type="dxa"/>
            <w:vAlign w:val="bottom"/>
            <w:vMerge w:val="continue"/>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92,824</w:t>
            </w:r>
          </w:p>
        </w:tc>
        <w:tc>
          <w:tcPr>
            <w:tcW w:w="12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74,128</w:t>
            </w:r>
          </w:p>
        </w:tc>
        <w:tc>
          <w:tcPr>
            <w:tcW w:w="12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174,175</w:t>
            </w:r>
          </w:p>
        </w:tc>
        <w:tc>
          <w:tcPr>
            <w:tcW w:w="140" w:type="dxa"/>
            <w:vAlign w:val="bottom"/>
            <w:shd w:val="clear" w:color="auto" w:fill="CCEEFF"/>
          </w:tcPr>
          <w:p>
            <w:pPr>
              <w:spacing w:after="0"/>
              <w:rPr>
                <w:sz w:val="10"/>
                <w:szCs w:val="10"/>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147,120</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discontinued operations and gain from discontinued operations, net</w:t>
            </w:r>
          </w:p>
        </w:tc>
        <w:tc>
          <w:tcPr>
            <w:tcW w:w="20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allocable to common shares: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Numerator for basic earnings per share:</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tcPr>
          <w:p>
            <w:pPr>
              <w:spacing w:after="0" w:line="143" w:lineRule="exact"/>
              <w:rPr>
                <w:sz w:val="20"/>
                <w:szCs w:val="20"/>
                <w:color w:val="auto"/>
              </w:rPr>
            </w:pPr>
            <w:r>
              <w:rPr>
                <w:rFonts w:ascii="Arial" w:cs="Arial" w:eastAsia="Arial" w:hAnsi="Arial"/>
                <w:sz w:val="14"/>
                <w:szCs w:val="14"/>
                <w:color w:val="auto"/>
                <w:w w:val="94"/>
              </w:rPr>
              <w:t>Income allocable to common shareholders before income from discontinued operations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and gain from discontinued operations, net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90,790</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72,317</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170,359</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143,524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Income from discontinued operations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Gain from discontinued operations, net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6,630</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allocable to common shareholders</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96,325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77,966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178,014</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153,480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spacing w:after="0"/>
              <w:rPr>
                <w:sz w:val="20"/>
                <w:szCs w:val="20"/>
                <w:color w:val="auto"/>
              </w:rPr>
            </w:pPr>
            <w:r>
              <w:rPr>
                <w:rFonts w:ascii="Arial" w:cs="Arial" w:eastAsia="Arial" w:hAnsi="Arial"/>
                <w:sz w:val="14"/>
                <w:szCs w:val="14"/>
                <w:color w:val="auto"/>
              </w:rPr>
              <w:t>Numerator for diluted earnings per share:</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5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4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w w:val="94"/>
              </w:rPr>
              <w:t>Income allocable to common shareholders before income from discontinued operations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gain from discontinued operations, net(1)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90,836</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72,361</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170,449</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143,612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Income from discontinued operations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3,355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Gain from discontinued operations, net</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income allocable to common shareholders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96,372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78,012</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178,105</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153,571</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Denominator:</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w w:val="96"/>
              </w:rPr>
              <w:t>Weighted average common shares outstanding for basic earnings per common share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126,753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113,282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126,723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0"/>
              </w:rPr>
              <w:t>113,263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3"/>
              </w:rPr>
              <w:t>Add: effect of assumed shares issued under treasury stock method for stock options and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shares.</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Add: effect of joint venture shares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w w:val="95"/>
              </w:rPr>
              <w:t>Weighted average common shares outstanding for diluted earnings per common share</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127,963</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114,404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127,915</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114,381</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common share:</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4"/>
              </w:rPr>
              <w:t>Income allocable to common shareholders before income from discontinued operations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gain from discontinued operations, net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0.64</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Income from discontinued operations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Gain from discontinued operations, net</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income allocable to common shareholders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0.76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0.69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40" w:type="dxa"/>
            <w:vAlign w:val="bottom"/>
          </w:tcPr>
          <w:p>
            <w:pPr>
              <w:spacing w:after="0" w:line="143" w:lineRule="exact"/>
              <w:rPr>
                <w:sz w:val="20"/>
                <w:szCs w:val="20"/>
                <w:color w:val="auto"/>
              </w:rPr>
            </w:pPr>
            <w:r>
              <w:rPr>
                <w:rFonts w:ascii="Arial" w:cs="Arial" w:eastAsia="Arial" w:hAnsi="Arial"/>
                <w:sz w:val="14"/>
                <w:szCs w:val="14"/>
                <w:color w:val="auto"/>
                <w:w w:val="94"/>
              </w:rPr>
              <w:t>Income allocable to common shareholders before income from discontinued operations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120"/>
              <w:spacing w:after="0"/>
              <w:rPr>
                <w:sz w:val="20"/>
                <w:szCs w:val="20"/>
                <w:color w:val="auto"/>
              </w:rPr>
            </w:pPr>
            <w:r>
              <w:rPr>
                <w:rFonts w:ascii="Arial" w:cs="Arial" w:eastAsia="Arial" w:hAnsi="Arial"/>
                <w:sz w:val="14"/>
                <w:szCs w:val="14"/>
                <w:color w:val="auto"/>
              </w:rPr>
              <w:t>and gain from discontinued operations, net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0.71</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0.63</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4"/>
                <w:szCs w:val="14"/>
                <w:color w:val="auto"/>
              </w:rPr>
              <w:t>Income from discontinued operations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Gain from discontinued operations, net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Net income allocable to common shareholders</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0.75</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0.68</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1.39</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140" w:hanging="352"/>
        <w:spacing w:after="0" w:line="253" w:lineRule="auto"/>
        <w:tabs>
          <w:tab w:leader="none" w:pos="343"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June 30, 2007 and 2006, includes the allocable portion of $28 of joint venture income. For the six months ended June 30, 2007 and 2006, includes the allocable portion of $56 of joint venture income.</w:t>
      </w:r>
    </w:p>
    <w:p>
      <w:pPr>
        <w:sectPr>
          <w:pgSz w:w="11900" w:h="16838" w:orient="portrait"/>
          <w:cols w:equalWidth="0" w:num="1">
            <w:col w:w="11280"/>
          </w:cols>
          <w:pgMar w:left="240" w:top="125" w:right="379" w:bottom="55" w:gutter="0" w:footer="0" w:header="0"/>
        </w:sect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125" w:right="379" w:bottom="55" w:gutter="0" w:footer="0" w:header="0"/>
          <w:type w:val="continuous"/>
        </w:sectPr>
      </w:pPr>
    </w:p>
    <w:bookmarkStart w:id="15" w:name="page16"/>
    <w:bookmarkEnd w:id="15"/>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As more fully described in Note 12, HPU shares are sold to employees as part of a performance-based employee compensation plan. As of June 30, 2007 the 2002-2005 HPU plans have vested, however, the 2005 plan did not meet the required performance thresholds to fund. Therefore, the Company redeemed the HPU shares from it’s employees. The 2002-2004 plans each have 5,000 shares outstanding. The shares in each plan receive dividends based on a common stock equivalent that is separately determined for each plan depending on the Company’s performance during a three-year valuation period. These HPU Shares are treated as a separate class of common stock under EITF-03-06. The following table presents a reconciliation of the numerators and denominators of the basic and diluted EPS calculations for the three and six months ended June 30, 2007 and 2006 for HPU shares, respectively (in thousands, except per share data):</w:t>
      </w:r>
    </w:p>
    <w:p>
      <w:pPr>
        <w:spacing w:after="0" w:line="15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w w:val="92"/>
              </w:rPr>
              <w:t>For the</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96"/>
              </w:rPr>
              <w:t>For the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4"/>
          </w:tcPr>
          <w:p>
            <w:pPr>
              <w:jc w:val="center"/>
              <w:ind w:right="19"/>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52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60"/>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w w:val="96"/>
              </w:rPr>
              <w:t>2006</w:t>
            </w: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81"/>
              <w:spacing w:after="0" w:line="129"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2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Earnings allocable to High Performance Units</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6"/>
                <w:szCs w:val="16"/>
                <w:color w:val="auto"/>
              </w:rPr>
              <w:t>Numerator for basic earnings per HPU share: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522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6"/>
              </w:rPr>
              <w:t>Income allocable to high performance units before income from discontinued</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operations and gain from discontinued operations, net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6"/>
                <w:szCs w:val="16"/>
                <w:color w:val="auto"/>
              </w:rPr>
              <w:t>Income from discontinued operations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6</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23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Gain from discontinued operations, net</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117</w:t>
            </w:r>
          </w:p>
        </w:tc>
        <w:tc>
          <w:tcPr>
            <w:tcW w:w="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148</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111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income allocable to high performance units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2,157</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1,953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3,987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3,846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220" w:type="dxa"/>
            <w:vAlign w:val="bottom"/>
            <w:shd w:val="clear" w:color="auto" w:fill="CCEEFF"/>
          </w:tcPr>
          <w:p>
            <w:pPr>
              <w:spacing w:after="0" w:line="156" w:lineRule="exact"/>
              <w:rPr>
                <w:sz w:val="20"/>
                <w:szCs w:val="20"/>
                <w:color w:val="auto"/>
              </w:rPr>
            </w:pPr>
            <w:r>
              <w:rPr>
                <w:rFonts w:ascii="Arial" w:cs="Arial" w:eastAsia="Arial" w:hAnsi="Arial"/>
                <w:sz w:val="16"/>
                <w:szCs w:val="16"/>
                <w:color w:val="auto"/>
              </w:rPr>
              <w:t>Numerator for diluted earnings per HPU share:</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20" w:type="dxa"/>
            <w:vAlign w:val="bottom"/>
          </w:tcPr>
          <w:p>
            <w:pPr>
              <w:spacing w:after="0" w:line="152" w:lineRule="exact"/>
              <w:rPr>
                <w:sz w:val="20"/>
                <w:szCs w:val="20"/>
                <w:color w:val="auto"/>
              </w:rPr>
            </w:pPr>
            <w:r>
              <w:rPr>
                <w:rFonts w:ascii="Arial" w:cs="Arial" w:eastAsia="Arial" w:hAnsi="Arial"/>
                <w:sz w:val="16"/>
                <w:szCs w:val="16"/>
                <w:color w:val="auto"/>
                <w:w w:val="96"/>
              </w:rPr>
              <w:t>Income allocable to high performance units before income from discontinued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20" w:type="dxa"/>
            <w:vAlign w:val="bottom"/>
          </w:tcPr>
          <w:p>
            <w:pPr>
              <w:ind w:left="160"/>
              <w:spacing w:after="0"/>
              <w:rPr>
                <w:sz w:val="20"/>
                <w:szCs w:val="20"/>
                <w:color w:val="auto"/>
              </w:rPr>
            </w:pPr>
            <w:r>
              <w:rPr>
                <w:rFonts w:ascii="Arial" w:cs="Arial" w:eastAsia="Arial" w:hAnsi="Arial"/>
                <w:sz w:val="16"/>
                <w:szCs w:val="16"/>
                <w:color w:val="auto"/>
              </w:rPr>
              <w:t>operations and gain from discontinued operations, net(1)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2,016</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1,795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3,782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Income from discontinued operations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23</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Gain from discontinued operations, net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116</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57</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147</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110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income allocable to high performance units</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2,138</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1,935</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3,952</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3,811</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color w:val="auto"/>
              </w:rPr>
              <w:t>Denominator:</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220" w:type="dxa"/>
            <w:vAlign w:val="bottom"/>
            <w:shd w:val="clear" w:color="auto" w:fill="CCEEFF"/>
          </w:tcPr>
          <w:p>
            <w:pPr>
              <w:spacing w:after="0" w:line="152" w:lineRule="exact"/>
              <w:rPr>
                <w:sz w:val="20"/>
                <w:szCs w:val="20"/>
                <w:color w:val="auto"/>
              </w:rPr>
            </w:pPr>
            <w:r>
              <w:rPr>
                <w:rFonts w:ascii="Arial" w:cs="Arial" w:eastAsia="Arial" w:hAnsi="Arial"/>
                <w:sz w:val="16"/>
                <w:szCs w:val="16"/>
                <w:color w:val="auto"/>
                <w:w w:val="96"/>
              </w:rPr>
              <w:t>Weighted average High Performance Units outstanding for basic and diluted</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earnings per share</w:t>
            </w:r>
          </w:p>
        </w:tc>
        <w:tc>
          <w:tcPr>
            <w:tcW w:w="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6"/>
                <w:szCs w:val="16"/>
                <w:b w:val="1"/>
                <w:bCs w:val="1"/>
                <w:color w:val="auto"/>
              </w:rPr>
              <w:t>Basic earnings per HPU share:</w:t>
            </w: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522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w w:val="96"/>
              </w:rPr>
              <w:t>Income allocable to high performance units before income from discontinued</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5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operations and gain from discontinued operations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135.60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120.73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254.40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239.73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tcPr>
          <w:p>
            <w:pPr>
              <w:spacing w:after="0" w:line="176" w:lineRule="exact"/>
              <w:rPr>
                <w:sz w:val="20"/>
                <w:szCs w:val="20"/>
                <w:color w:val="auto"/>
              </w:rPr>
            </w:pPr>
            <w:r>
              <w:rPr>
                <w:rFonts w:ascii="Arial" w:cs="Arial" w:eastAsia="Arial" w:hAnsi="Arial"/>
                <w:sz w:val="16"/>
                <w:szCs w:val="16"/>
                <w:color w:val="auto"/>
              </w:rPr>
              <w:t>Income from discontinued operations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76" w:lineRule="exact"/>
              <w:rPr>
                <w:sz w:val="20"/>
                <w:szCs w:val="20"/>
                <w:color w:val="auto"/>
              </w:rPr>
            </w:pPr>
            <w:r>
              <w:rPr>
                <w:rFonts w:ascii="Arial" w:cs="Arial" w:eastAsia="Arial" w:hAnsi="Arial"/>
                <w:sz w:val="16"/>
                <w:szCs w:val="16"/>
                <w:color w:val="auto"/>
              </w:rPr>
              <w:t>0.40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5.60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6"/>
                <w:szCs w:val="16"/>
                <w:color w:val="auto"/>
              </w:rPr>
              <w:t>1.53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9.27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Gain from discontinued operations, net</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7.80</w:t>
            </w:r>
          </w:p>
        </w:tc>
        <w:tc>
          <w:tcPr>
            <w:tcW w:w="2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3.87</w:t>
            </w: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9.87</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7.40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Net income allocable to high performance units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143.80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5"/>
              </w:rPr>
              <w:t>130.20</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3"/>
              </w:rPr>
              <w:t>265.80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5"/>
              </w:rPr>
              <w:t>256.40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earnings per HPU share: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5220" w:type="dxa"/>
            <w:vAlign w:val="bottom"/>
          </w:tcPr>
          <w:p>
            <w:pPr>
              <w:spacing w:after="0" w:line="152" w:lineRule="exact"/>
              <w:rPr>
                <w:sz w:val="20"/>
                <w:szCs w:val="20"/>
                <w:color w:val="auto"/>
              </w:rPr>
            </w:pPr>
            <w:r>
              <w:rPr>
                <w:rFonts w:ascii="Arial" w:cs="Arial" w:eastAsia="Arial" w:hAnsi="Arial"/>
                <w:sz w:val="16"/>
                <w:szCs w:val="16"/>
                <w:color w:val="auto"/>
                <w:w w:val="96"/>
              </w:rPr>
              <w:t>Income allocable to common shareholders before income from discontinued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5220" w:type="dxa"/>
            <w:vAlign w:val="bottom"/>
          </w:tcPr>
          <w:p>
            <w:pPr>
              <w:ind w:left="160"/>
              <w:spacing w:after="0"/>
              <w:rPr>
                <w:sz w:val="20"/>
                <w:szCs w:val="20"/>
                <w:color w:val="auto"/>
              </w:rPr>
            </w:pPr>
            <w:r>
              <w:rPr>
                <w:rFonts w:ascii="Arial" w:cs="Arial" w:eastAsia="Arial" w:hAnsi="Arial"/>
                <w:sz w:val="16"/>
                <w:szCs w:val="16"/>
                <w:color w:val="auto"/>
              </w:rPr>
              <w:t>operations and gain from discontinued operations</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134.40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119.67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252.13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237.60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Income from discontinued operations</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0.40</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5.53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9.13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2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Gain from discontinued operations, net</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7.73</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3.80</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9.80</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7.34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income allocable to high performance units</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142.53</w:t>
            </w:r>
          </w:p>
        </w:tc>
        <w:tc>
          <w:tcPr>
            <w:tcW w:w="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5"/>
              </w:rPr>
              <w:t>129.00</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3"/>
              </w:rPr>
              <w:t>263.47</w:t>
            </w:r>
          </w:p>
        </w:tc>
        <w:tc>
          <w:tcPr>
            <w:tcW w:w="1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5"/>
              </w:rPr>
              <w:t>254.07</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280" w:hanging="352"/>
        <w:spacing w:after="0" w:line="253" w:lineRule="auto"/>
        <w:tabs>
          <w:tab w:leader="none" w:pos="343"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June 30, 2007 and 2006, includes the allocable portion of $28 of joint venture income. For the six months ended June 30, 2007 and 2006, includes the allocable portion of $56 of joint venture income.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and six months ended June 30, 2007 and 2006, the following shares were antidilutive (in thousands):</w:t>
      </w:r>
    </w:p>
    <w:p>
      <w:pPr>
        <w:spacing w:after="0" w:line="187"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For the</w:t>
            </w:r>
          </w:p>
        </w:tc>
        <w:tc>
          <w:tcPr>
            <w:tcW w:w="400" w:type="dxa"/>
            <w:vAlign w:val="bottom"/>
          </w:tcPr>
          <w:p>
            <w:pPr>
              <w:spacing w:after="0"/>
              <w:rPr>
                <w:sz w:val="14"/>
                <w:szCs w:val="14"/>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6"/>
              </w:rPr>
              <w:t>For the</w:t>
            </w:r>
          </w:p>
        </w:tc>
      </w:tr>
      <w:tr>
        <w:trPr>
          <w:trHeight w:val="135"/>
        </w:trPr>
        <w:tc>
          <w:tcPr>
            <w:tcW w:w="5080" w:type="dxa"/>
            <w:vAlign w:val="bottom"/>
          </w:tcPr>
          <w:p>
            <w:pPr>
              <w:spacing w:after="0"/>
              <w:rPr>
                <w:sz w:val="11"/>
                <w:szCs w:val="11"/>
                <w:color w:val="auto"/>
              </w:rPr>
            </w:pPr>
          </w:p>
        </w:tc>
        <w:tc>
          <w:tcPr>
            <w:tcW w:w="142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Three Months</w:t>
            </w:r>
          </w:p>
        </w:tc>
        <w:tc>
          <w:tcPr>
            <w:tcW w:w="132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Six Months</w:t>
            </w:r>
          </w:p>
        </w:tc>
      </w:tr>
      <w:tr>
        <w:trPr>
          <w:trHeight w:val="162"/>
        </w:trPr>
        <w:tc>
          <w:tcPr>
            <w:tcW w:w="5080" w:type="dxa"/>
            <w:vAlign w:val="bottom"/>
          </w:tcPr>
          <w:p>
            <w:pPr>
              <w:spacing w:after="0"/>
              <w:rPr>
                <w:sz w:val="14"/>
                <w:szCs w:val="14"/>
                <w:color w:val="auto"/>
              </w:rPr>
            </w:pPr>
          </w:p>
        </w:tc>
        <w:tc>
          <w:tcPr>
            <w:tcW w:w="14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Ended June 30,</w:t>
            </w:r>
          </w:p>
        </w:tc>
        <w:tc>
          <w:tcPr>
            <w:tcW w:w="13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Ended June 30,</w:t>
            </w:r>
          </w:p>
        </w:tc>
      </w:tr>
      <w:tr>
        <w:trPr>
          <w:trHeight w:val="129"/>
        </w:trPr>
        <w:tc>
          <w:tcPr>
            <w:tcW w:w="5080" w:type="dxa"/>
            <w:vAlign w:val="bottom"/>
          </w:tcPr>
          <w:p>
            <w:pPr>
              <w:spacing w:after="0"/>
              <w:rPr>
                <w:sz w:val="11"/>
                <w:szCs w:val="11"/>
                <w:color w:val="auto"/>
              </w:rPr>
            </w:pPr>
          </w:p>
        </w:tc>
        <w:tc>
          <w:tcPr>
            <w:tcW w:w="480" w:type="dxa"/>
            <w:vAlign w:val="bottom"/>
            <w:tcBorders>
              <w:top w:val="single" w:sz="8" w:color="auto"/>
            </w:tcBorders>
          </w:tcPr>
          <w:p>
            <w:pPr>
              <w:jc w:val="right"/>
              <w:ind w:right="24"/>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tcBorders>
              <w:top w:val="single" w:sz="8" w:color="auto"/>
            </w:tcBorders>
            <w:gridSpan w:val="3"/>
          </w:tcPr>
          <w:p>
            <w:pPr>
              <w:jc w:val="right"/>
              <w:ind w:right="30"/>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8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14—Comprehensive Income</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Total comprehensive income was $118.3 million and $108.0 million for the three months ended June 30, 2007 and 2006, respectively, and $208.7 million and $212.9 million for the six months ended June 30, 2007 and 2006, respectively. The primary components of comprehensive income, other than net income, consist of amounts attributable to the adoption and continued application of SFAS No. 133 to the Company’s cash flow hedges and changes in the fair value of the Company’s available-for-sale investments. The reconciliation to comprehensive income is as follows (in thousands):</w:t>
      </w:r>
    </w:p>
    <w:p>
      <w:pPr>
        <w:spacing w:after="0" w:line="119"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For the</w:t>
            </w:r>
          </w:p>
        </w:tc>
        <w:tc>
          <w:tcPr>
            <w:tcW w:w="540" w:type="dxa"/>
            <w:vAlign w:val="bottom"/>
          </w:tcPr>
          <w:p>
            <w:pPr>
              <w:spacing w:after="0"/>
              <w:rPr>
                <w:sz w:val="13"/>
                <w:szCs w:val="13"/>
                <w:color w:val="auto"/>
              </w:rPr>
            </w:pPr>
          </w:p>
        </w:tc>
        <w:tc>
          <w:tcPr>
            <w:tcW w:w="116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For the</w:t>
            </w:r>
          </w:p>
        </w:tc>
      </w:tr>
      <w:tr>
        <w:trPr>
          <w:trHeight w:val="135"/>
        </w:trPr>
        <w:tc>
          <w:tcPr>
            <w:tcW w:w="18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Three Months Ended</w:t>
            </w:r>
          </w:p>
        </w:tc>
        <w:tc>
          <w:tcPr>
            <w:tcW w:w="17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Six Months Ended</w:t>
            </w:r>
          </w:p>
        </w:tc>
      </w:tr>
      <w:tr>
        <w:trPr>
          <w:trHeight w:val="162"/>
        </w:trPr>
        <w:tc>
          <w:tcPr>
            <w:tcW w:w="540" w:type="dxa"/>
            <w:vAlign w:val="bottom"/>
          </w:tcPr>
          <w:p>
            <w:pPr>
              <w:spacing w:after="0"/>
              <w:rPr>
                <w:sz w:val="14"/>
                <w:szCs w:val="14"/>
                <w:color w:val="auto"/>
              </w:rPr>
            </w:pPr>
          </w:p>
        </w:tc>
        <w:tc>
          <w:tcPr>
            <w:tcW w:w="13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1160" w:type="dxa"/>
            <w:vAlign w:val="bottom"/>
          </w:tcPr>
          <w:p>
            <w:pPr>
              <w:jc w:val="center"/>
              <w:ind w:right="488"/>
              <w:spacing w:after="0"/>
              <w:rPr>
                <w:sz w:val="20"/>
                <w:szCs w:val="20"/>
                <w:color w:val="auto"/>
              </w:rPr>
            </w:pPr>
            <w:r>
              <w:rPr>
                <w:rFonts w:ascii="Arial" w:cs="Arial" w:eastAsia="Arial" w:hAnsi="Arial"/>
                <w:sz w:val="14"/>
                <w:szCs w:val="14"/>
                <w:b w:val="1"/>
                <w:bCs w:val="1"/>
                <w:color w:val="auto"/>
                <w:w w:val="92"/>
              </w:rPr>
              <w:t>June 30,</w:t>
            </w:r>
          </w:p>
        </w:tc>
      </w:tr>
      <w:tr>
        <w:trPr>
          <w:trHeight w:val="130"/>
        </w:trPr>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2007</w:t>
            </w:r>
          </w:p>
        </w:tc>
        <w:tc>
          <w:tcPr>
            <w:tcW w:w="1120" w:type="dxa"/>
            <w:vAlign w:val="bottom"/>
            <w:tcBorders>
              <w:top w:val="single" w:sz="8" w:color="auto"/>
            </w:tcBorders>
          </w:tcPr>
          <w:p>
            <w:pPr>
              <w:jc w:val="right"/>
              <w:ind w:right="148"/>
              <w:spacing w:after="0" w:line="131"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b w:val="1"/>
                <w:bCs w:val="1"/>
                <w:color w:val="auto"/>
              </w:rPr>
              <w:t>2007</w:t>
            </w:r>
          </w:p>
        </w:tc>
        <w:tc>
          <w:tcPr>
            <w:tcW w:w="1160" w:type="dxa"/>
            <w:vAlign w:val="bottom"/>
            <w:tcBorders>
              <w:top w:val="single" w:sz="8" w:color="auto"/>
            </w:tcBorders>
          </w:tcPr>
          <w:p>
            <w:pPr>
              <w:jc w:val="right"/>
              <w:ind w:right="168"/>
              <w:spacing w:after="0" w:line="131" w:lineRule="exact"/>
              <w:rPr>
                <w:sz w:val="20"/>
                <w:szCs w:val="20"/>
                <w:color w:val="auto"/>
              </w:rPr>
            </w:pPr>
            <w:r>
              <w:rPr>
                <w:rFonts w:ascii="Arial" w:cs="Arial" w:eastAsia="Arial" w:hAnsi="Arial"/>
                <w:sz w:val="14"/>
                <w:szCs w:val="14"/>
                <w:b w:val="1"/>
                <w:bCs w:val="1"/>
                <w:color w:val="auto"/>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-635</wp:posOffset>
            </wp:positionV>
            <wp:extent cx="534289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2890" cy="137160"/>
                    </a:xfrm>
                    <a:prstGeom prst="rect">
                      <a:avLst/>
                    </a:prstGeom>
                    <a:noFill/>
                  </pic:spPr>
                </pic:pic>
              </a:graphicData>
            </a:graphic>
          </wp:anchor>
        </w:drawing>
      </w:r>
    </w:p>
    <w:p>
      <w:pPr>
        <w:sectPr>
          <w:pgSz w:w="11900" w:h="16849" w:orient="portrait"/>
          <w:cols w:equalWidth="0" w:num="1">
            <w:col w:w="11420"/>
          </w:cols>
          <w:pgMar w:left="240" w:top="405" w:right="239" w:bottom="0" w:gutter="0" w:footer="0" w:header="0"/>
        </w:sectPr>
      </w:pPr>
    </w:p>
    <w:p>
      <w:pPr>
        <w:ind w:left="1500"/>
        <w:spacing w:after="0"/>
        <w:tabs>
          <w:tab w:leader="none" w:pos="6220" w:val="left"/>
          <w:tab w:leader="none" w:pos="7160" w:val="left"/>
          <w:tab w:leader="none" w:pos="8100" w:val="left"/>
          <w:tab w:leader="none" w:pos="90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8"/>
          <w:szCs w:val="18"/>
          <w:color w:val="auto"/>
        </w:rPr>
        <w:t>$ 109,062</w:t>
        <w:tab/>
        <w:t>$  90,499</w:t>
        <w:tab/>
        <w:t>$ 203,161</w:t>
      </w:r>
      <w:r>
        <w:rPr>
          <w:sz w:val="20"/>
          <w:szCs w:val="20"/>
          <w:color w:val="auto"/>
        </w:rPr>
        <w:tab/>
      </w:r>
      <w:r>
        <w:rPr>
          <w:rFonts w:ascii="Arial" w:cs="Arial" w:eastAsia="Arial" w:hAnsi="Arial"/>
          <w:sz w:val="16"/>
          <w:szCs w:val="16"/>
          <w:color w:val="auto"/>
        </w:rPr>
        <w:t>$ 178,486</w:t>
      </w:r>
    </w:p>
    <w:p>
      <w:pPr>
        <w:sectPr>
          <w:pgSz w:w="11900" w:h="16849" w:orient="portrait"/>
          <w:cols w:equalWidth="0" w:num="1">
            <w:col w:w="11420"/>
          </w:cols>
          <w:pgMar w:left="240" w:top="405" w:right="239" w:bottom="0" w:gutter="0" w:footer="0" w:header="0"/>
          <w:type w:val="continuous"/>
        </w:sectPr>
      </w:pPr>
    </w:p>
    <w:bookmarkStart w:id="16" w:name="page17"/>
    <w:bookmarkEnd w:id="16"/>
    <w:tbl>
      <w:tblPr>
        <w:tblLayout w:type="fixed"/>
        <w:tblInd w:w="1500" w:type="dxa"/>
        <w:tblCellMar>
          <w:top w:w="0" w:type="dxa"/>
          <w:left w:w="0" w:type="dxa"/>
          <w:bottom w:w="0" w:type="dxa"/>
          <w:right w:w="0" w:type="dxa"/>
        </w:tblCellMar>
      </w:tblPr>
      <w:tr>
        <w:trPr>
          <w:trHeight w:val="217"/>
        </w:trPr>
        <w:tc>
          <w:tcPr>
            <w:tcW w:w="45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Reclassification of (gains)/losses on securities into earnings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upon realization</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(2,554)</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188"/>
        </w:trPr>
        <w:tc>
          <w:tcPr>
            <w:tcW w:w="4520" w:type="dxa"/>
            <w:vAlign w:val="bottom"/>
          </w:tcPr>
          <w:p>
            <w:pPr>
              <w:spacing w:after="0" w:line="189" w:lineRule="exact"/>
              <w:rPr>
                <w:sz w:val="20"/>
                <w:szCs w:val="20"/>
                <w:color w:val="auto"/>
              </w:rPr>
            </w:pPr>
            <w:r>
              <w:rPr>
                <w:rFonts w:ascii="Arial" w:cs="Arial" w:eastAsia="Arial" w:hAnsi="Arial"/>
                <w:sz w:val="18"/>
                <w:szCs w:val="18"/>
                <w:color w:val="auto"/>
              </w:rPr>
              <w:t>Reclassification of (gains)/losses on ineffective cash</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520" w:type="dxa"/>
            <w:vAlign w:val="bottom"/>
          </w:tcPr>
          <w:p>
            <w:pPr>
              <w:ind w:left="180"/>
              <w:spacing w:after="0"/>
              <w:rPr>
                <w:sz w:val="20"/>
                <w:szCs w:val="20"/>
                <w:color w:val="auto"/>
              </w:rPr>
            </w:pPr>
            <w:r>
              <w:rPr>
                <w:rFonts w:ascii="Arial" w:cs="Arial" w:eastAsia="Arial" w:hAnsi="Arial"/>
                <w:sz w:val="18"/>
                <w:szCs w:val="18"/>
                <w:color w:val="auto"/>
              </w:rPr>
              <w:t>flow hedges into earnings</w:t>
            </w: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8"/>
        </w:trPr>
        <w:tc>
          <w:tcPr>
            <w:tcW w:w="4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Reclassification of (gains)/losses on qualifying cash</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flow hedges into earnings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(1,545)</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(2,749)</w:t>
            </w:r>
          </w:p>
        </w:tc>
      </w:tr>
      <w:tr>
        <w:trPr>
          <w:trHeight w:val="203"/>
        </w:trPr>
        <w:tc>
          <w:tcPr>
            <w:tcW w:w="4520" w:type="dxa"/>
            <w:vAlign w:val="bottom"/>
          </w:tcPr>
          <w:p>
            <w:pPr>
              <w:spacing w:after="0" w:line="202" w:lineRule="exact"/>
              <w:rPr>
                <w:sz w:val="20"/>
                <w:szCs w:val="20"/>
                <w:color w:val="auto"/>
              </w:rPr>
            </w:pPr>
            <w:r>
              <w:rPr>
                <w:rFonts w:ascii="Arial" w:cs="Arial" w:eastAsia="Arial" w:hAnsi="Arial"/>
                <w:sz w:val="18"/>
                <w:szCs w:val="18"/>
                <w:color w:val="auto"/>
                <w:w w:val="95"/>
              </w:rPr>
              <w:t>Unrealized gains/(losses) on available-for-sale investments</w:t>
            </w:r>
          </w:p>
        </w:tc>
        <w:tc>
          <w:tcPr>
            <w:tcW w:w="11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(279)</w:t>
            </w: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(318)</w:t>
            </w:r>
          </w:p>
        </w:tc>
        <w:tc>
          <w:tcPr>
            <w:tcW w:w="104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(589)</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7"/>
                <w:szCs w:val="17"/>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gains/(losses) on cash flow hedges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9,789</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19,316</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36,551</w:t>
            </w:r>
          </w:p>
        </w:tc>
        <w:tc>
          <w:tcPr>
            <w:tcW w:w="100" w:type="dxa"/>
            <w:vAlign w:val="bottom"/>
            <w:shd w:val="clear" w:color="auto" w:fill="CCEEFF"/>
          </w:tcPr>
          <w:p>
            <w:pPr>
              <w:spacing w:after="0"/>
              <w:rPr>
                <w:sz w:val="17"/>
                <w:szCs w:val="17"/>
                <w:color w:val="auto"/>
              </w:rPr>
            </w:pPr>
          </w:p>
        </w:tc>
      </w:tr>
      <w:tr>
        <w:trPr>
          <w:trHeight w:val="196"/>
        </w:trPr>
        <w:tc>
          <w:tcPr>
            <w:tcW w:w="4520" w:type="dxa"/>
            <w:vAlign w:val="bottom"/>
          </w:tcPr>
          <w:p>
            <w:pPr>
              <w:spacing w:after="0" w:line="196" w:lineRule="exact"/>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$ 118,273</w:t>
            </w:r>
          </w:p>
        </w:tc>
        <w:tc>
          <w:tcPr>
            <w:tcW w:w="2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$ 107,952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$ 208,689</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$ 212,895</w:t>
            </w:r>
          </w:p>
        </w:tc>
        <w:tc>
          <w:tcPr>
            <w:tcW w:w="10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20" w:firstLine="360"/>
        <w:spacing w:after="0" w:line="334" w:lineRule="auto"/>
        <w:rPr>
          <w:sz w:val="20"/>
          <w:szCs w:val="20"/>
          <w:color w:val="auto"/>
        </w:rPr>
      </w:pPr>
      <w:r>
        <w:rPr>
          <w:rFonts w:ascii="Arial" w:cs="Arial" w:eastAsia="Arial" w:hAnsi="Arial"/>
          <w:sz w:val="16"/>
          <w:szCs w:val="16"/>
          <w:color w:val="auto"/>
        </w:rPr>
        <w:t>Unrealized gains/(losses) on available-for-sale investments and cash flow hedges are recorded as adjustments to shareholders’ equity through “Accumulated other comprehensive income” on the Company’s Consolidated Balance Sheets and are not included in net income unless realized.</w:t>
      </w:r>
    </w:p>
    <w:p>
      <w:pPr>
        <w:spacing w:after="0" w:line="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of June 30, 2007 and December 31, 2006, accumulated other comprehensive income reflected in the Company’s shareholders’ equity is comprised of the following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December 31,</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36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Unrealized gains on securities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4,136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8"/>
                <w:szCs w:val="18"/>
                <w:color w:val="auto"/>
                <w:w w:val="91"/>
              </w:rPr>
              <w:t>Unrealized losses on hedges held by joint venture</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98"/>
              </w:rPr>
              <w:t>(3,540)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(4,674)</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Unrealized gains on cash flow hedges</w:t>
            </w:r>
          </w:p>
        </w:tc>
        <w:tc>
          <w:tcPr>
            <w:tcW w:w="2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25,031</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17,494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3660" w:type="dxa"/>
            <w:vAlign w:val="bottom"/>
          </w:tcPr>
          <w:p>
            <w:pPr>
              <w:spacing w:after="0" w:line="182" w:lineRule="exact"/>
              <w:rPr>
                <w:sz w:val="20"/>
                <w:szCs w:val="20"/>
                <w:color w:val="auto"/>
              </w:rPr>
            </w:pPr>
            <w:r>
              <w:rPr>
                <w:rFonts w:ascii="Arial" w:cs="Arial" w:eastAsia="Arial" w:hAnsi="Arial"/>
                <w:sz w:val="18"/>
                <w:szCs w:val="18"/>
                <w:color w:val="auto"/>
              </w:rPr>
              <w:t>Accumulated other comprehensive income</w:t>
            </w:r>
          </w:p>
        </w:tc>
        <w:tc>
          <w:tcPr>
            <w:tcW w:w="2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22,484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16,956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140" w:type="dxa"/>
            <w:vAlign w:val="bottom"/>
            <w:vMerge w:val="restart"/>
          </w:tcPr>
          <w:p>
            <w:pPr>
              <w:jc w:val="right"/>
              <w:ind w:right="179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8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880" w:type="dxa"/>
            <w:vAlign w:val="bottom"/>
            <w:tcBorders>
              <w:bottom w:val="single" w:sz="8" w:color="010101"/>
            </w:tcBorders>
          </w:tcPr>
          <w:p>
            <w:pPr>
              <w:spacing w:after="0"/>
              <w:rPr>
                <w:sz w:val="24"/>
                <w:szCs w:val="24"/>
                <w:color w:val="auto"/>
              </w:rPr>
            </w:pPr>
          </w:p>
        </w:tc>
        <w:tc>
          <w:tcPr>
            <w:tcW w:w="3660" w:type="dxa"/>
            <w:vAlign w:val="bottom"/>
            <w:tcBorders>
              <w:bottom w:val="single" w:sz="8" w:color="010101"/>
            </w:tcBorders>
          </w:tcPr>
          <w:p>
            <w:pPr>
              <w:spacing w:after="0"/>
              <w:rPr>
                <w:sz w:val="24"/>
                <w:szCs w:val="24"/>
                <w:color w:val="auto"/>
              </w:rPr>
            </w:pPr>
          </w:p>
        </w:tc>
        <w:tc>
          <w:tcPr>
            <w:tcW w:w="2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54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The Company must also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in certain circumstances, the Company may generate operating cash flow in excess of its dividends or, alternatively, may be required to borrow to make sufficient dividend payments.</w:t>
      </w:r>
    </w:p>
    <w:p>
      <w:pPr>
        <w:spacing w:after="0" w:line="80"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The Company declared a dividend aggregating $104.6 million, or $0.825 per share of Common Stock during the six months ended June 30, 2007. This dividend, paid on April 30, 2007, was applicable to the three months ended March 31, 2007 and payable to shareholders of record and holders of certain share equivalents on April 16, 2007. On July 2, 2007, the Company declared a dividend of approximately $104.6 million or $0.825 per common share applicable to the second quarter and payable to shareholders of record and holders of certain share equivalents on July 16, 2007. The Company also declared and paid dividends aggregating $4.0 million, $5.5 million, $3.9 million, $3.1 million and $4.7 million, respectively, on its Series D, E, F, G, and I preferred stock, respectively, during the six months ended June 30, 2007. There are no dividend arrearages on any of the preferred shares currently outstanding.</w:t>
      </w:r>
    </w:p>
    <w:p>
      <w:pPr>
        <w:spacing w:after="0" w:line="57"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during the six months ended June 30, 2007, the Company paid dividends of $0.7 million, $0.8 million and $0.8 million to the unit holders in the 2002, 2003 and 2004 HPU Plans, respectively. In connection with the common dividend declared on July 2, 2007, the Company will pay dividends of $0.7 million, $0.8 million, and $0.8 million to the unit holders in the 2002, 2003 and 2004 HPU Plans, respectively.</w:t>
      </w:r>
    </w:p>
    <w:p>
      <w:pPr>
        <w:spacing w:after="0" w:line="50"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The Company also pays dividends on outstanding restricted stock units that were granted to employees after January 1, 2006, in the same amount per unit and on the same distribution dates as the Company’s common stock. Therefore, in connection with the common dividend declared during the six months ended June 30, 2007, the Company paid dividends of $0.6 million to employees based on 744,391 restricted stock units outstanding as of the record date. In connection with the common dividend declared on July 2, 2007, the Company will pay dividends of $0.8 million to employees based on 919,935 restricted stock units outstanding as of the record date.</w:t>
      </w:r>
    </w:p>
    <w:p>
      <w:pPr>
        <w:spacing w:after="0" w:line="8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The exact amount of future quarterly dividends to common shareholders will be determined by the Board of Directors based on the Company’s actual and expected operations for the fiscal year and the Company’s overall liquidity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121"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The Company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121"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The Real Estate Lending segment includes all of the Company’s activities related to senior and mezzanine real estate debt and senior and mezzanine corporate capital investment activities and the financing thereof. These include a dedicated management team for real estate lending origination, acquisition</w:t>
      </w:r>
    </w:p>
    <w:p>
      <w:pPr>
        <w:sectPr>
          <w:pgSz w:w="11900" w:h="16838" w:orient="portrait"/>
          <w:cols w:equalWidth="0" w:num="1">
            <w:col w:w="11460"/>
          </w:cols>
          <w:pgMar w:left="240" w:top="139" w:right="19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and servicing.</w:t>
      </w:r>
    </w:p>
    <w:p>
      <w:pPr>
        <w:spacing w:after="0" w:line="77"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CTL facilities. This includes a dedicated management team for the acquisition and management of our corporate tenant lease facilities.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79" w:lineRule="exact"/>
        <w:rPr>
          <w:sz w:val="20"/>
          <w:szCs w:val="20"/>
          <w:color w:val="auto"/>
        </w:rPr>
      </w:pPr>
    </w:p>
    <w:tbl>
      <w:tblPr>
        <w:tblLayout w:type="fixed"/>
        <w:tblInd w:w="1480" w:type="dxa"/>
        <w:tblCellMar>
          <w:top w:w="0" w:type="dxa"/>
          <w:left w:w="0" w:type="dxa"/>
          <w:bottom w:w="0" w:type="dxa"/>
          <w:right w:w="0" w:type="dxa"/>
        </w:tblCellMar>
      </w:tblPr>
      <w:tr>
        <w:trPr>
          <w:trHeight w:val="53"/>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Corporate</w:t>
            </w:r>
          </w:p>
        </w:tc>
        <w:tc>
          <w:tcPr>
            <w:tcW w:w="80" w:type="dxa"/>
            <w:vAlign w:val="bottom"/>
          </w:tcPr>
          <w:p>
            <w:pPr>
              <w:spacing w:after="0"/>
              <w:rPr>
                <w:sz w:val="4"/>
                <w:szCs w:val="4"/>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Borders>
              <w:lef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Tenant</w:t>
            </w: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1"/>
              <w:spacing w:after="0"/>
              <w:rPr>
                <w:sz w:val="20"/>
                <w:szCs w:val="20"/>
                <w:color w:val="auto"/>
              </w:rPr>
            </w:pPr>
            <w:r>
              <w:rPr>
                <w:rFonts w:ascii="Arial" w:cs="Arial" w:eastAsia="Arial" w:hAnsi="Arial"/>
                <w:sz w:val="14"/>
                <w:szCs w:val="14"/>
                <w:b w:val="1"/>
                <w:bCs w:val="1"/>
                <w:color w:val="auto"/>
                <w:w w:val="99"/>
              </w:rPr>
              <w:t>Lending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Leasing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Other(1)</w:t>
            </w:r>
          </w:p>
        </w:tc>
        <w:tc>
          <w:tcPr>
            <w:tcW w:w="1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60" w:type="dxa"/>
            <w:vAlign w:val="bottom"/>
            <w:tcBorders>
              <w:top w:val="single" w:sz="8" w:color="CCEEFF"/>
              <w:bottom w:val="single" w:sz="8" w:color="auto"/>
            </w:tcBorders>
            <w:gridSpan w:val="5"/>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9"/>
              </w:rPr>
              <w:t>Three months ended June 30, 2007</w:t>
            </w: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left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spacing w:after="0" w:line="163" w:lineRule="exact"/>
              <w:rPr>
                <w:sz w:val="20"/>
                <w:szCs w:val="20"/>
                <w:color w:val="auto"/>
              </w:rPr>
            </w:pPr>
            <w:r>
              <w:rPr>
                <w:rFonts w:ascii="Arial" w:cs="Arial" w:eastAsia="Arial" w:hAnsi="Arial"/>
                <w:sz w:val="18"/>
                <w:szCs w:val="18"/>
                <w:color w:val="auto"/>
              </w:rPr>
              <w:t>Total revenues(2)</w:t>
            </w:r>
          </w:p>
        </w:tc>
        <w:tc>
          <w:tcPr>
            <w:tcW w:w="46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63" w:lineRule="exact"/>
              <w:rPr>
                <w:sz w:val="20"/>
                <w:szCs w:val="20"/>
                <w:color w:val="auto"/>
              </w:rPr>
            </w:pPr>
            <w:r>
              <w:rPr>
                <w:rFonts w:ascii="Arial" w:cs="Arial" w:eastAsia="Arial" w:hAnsi="Arial"/>
                <w:sz w:val="18"/>
                <w:szCs w:val="18"/>
                <w:color w:val="auto"/>
              </w:rPr>
              <w:t>223,950</w:t>
            </w:r>
          </w:p>
        </w:tc>
        <w:tc>
          <w:tcPr>
            <w:tcW w:w="30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63" w:lineRule="exact"/>
              <w:rPr>
                <w:sz w:val="20"/>
                <w:szCs w:val="20"/>
                <w:color w:val="auto"/>
              </w:rPr>
            </w:pPr>
            <w:r>
              <w:rPr>
                <w:rFonts w:ascii="Arial" w:cs="Arial" w:eastAsia="Arial" w:hAnsi="Arial"/>
                <w:sz w:val="18"/>
                <w:szCs w:val="18"/>
                <w:color w:val="auto"/>
              </w:rPr>
              <w:t>86,382</w:t>
            </w:r>
          </w:p>
        </w:tc>
        <w:tc>
          <w:tcPr>
            <w:tcW w:w="120" w:type="dxa"/>
            <w:vAlign w:val="bottom"/>
          </w:tcPr>
          <w:p>
            <w:pPr>
              <w:spacing w:after="0"/>
              <w:rPr>
                <w:sz w:val="14"/>
                <w:szCs w:val="14"/>
                <w:color w:val="auto"/>
              </w:rPr>
            </w:pPr>
          </w:p>
        </w:tc>
        <w:tc>
          <w:tcPr>
            <w:tcW w:w="180" w:type="dxa"/>
            <w:vAlign w:val="bottom"/>
            <w:gridSpan w:val="2"/>
          </w:tcPr>
          <w:p>
            <w:pPr>
              <w:jc w:val="right"/>
              <w:spacing w:after="0" w:line="16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7,016</w:t>
            </w:r>
          </w:p>
        </w:tc>
        <w:tc>
          <w:tcPr>
            <w:tcW w:w="120" w:type="dxa"/>
            <w:vAlign w:val="bottom"/>
          </w:tcPr>
          <w:p>
            <w:pPr>
              <w:spacing w:after="0"/>
              <w:rPr>
                <w:sz w:val="14"/>
                <w:szCs w:val="14"/>
                <w:color w:val="auto"/>
              </w:rPr>
            </w:pPr>
          </w:p>
        </w:tc>
        <w:tc>
          <w:tcPr>
            <w:tcW w:w="240" w:type="dxa"/>
            <w:vAlign w:val="bottom"/>
            <w:tcBorders>
              <w:left w:val="single" w:sz="8" w:color="auto"/>
            </w:tcBorders>
            <w:gridSpan w:val="2"/>
          </w:tcPr>
          <w:p>
            <w:pPr>
              <w:jc w:val="right"/>
              <w:ind w:right="20"/>
              <w:spacing w:after="0" w:line="16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63" w:lineRule="exact"/>
              <w:rPr>
                <w:sz w:val="20"/>
                <w:szCs w:val="20"/>
                <w:color w:val="auto"/>
              </w:rPr>
            </w:pPr>
            <w:r>
              <w:rPr>
                <w:rFonts w:ascii="Arial" w:cs="Arial" w:eastAsia="Arial" w:hAnsi="Arial"/>
                <w:sz w:val="18"/>
                <w:szCs w:val="18"/>
                <w:color w:val="auto"/>
              </w:rPr>
              <w:t>317,348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shd w:val="clear" w:color="auto" w:fill="CCEEFF"/>
          </w:tcPr>
          <w:p>
            <w:pPr>
              <w:spacing w:after="0" w:line="149" w:lineRule="exact"/>
              <w:rPr>
                <w:sz w:val="20"/>
                <w:szCs w:val="20"/>
                <w:color w:val="auto"/>
              </w:rPr>
            </w:pPr>
            <w:r>
              <w:rPr>
                <w:rFonts w:ascii="Arial" w:cs="Arial" w:eastAsia="Arial" w:hAnsi="Arial"/>
                <w:sz w:val="17"/>
                <w:szCs w:val="17"/>
                <w:color w:val="auto"/>
              </w:rPr>
              <w:t>Equity in (loss)/earnings from joint ventures and</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2"/>
                <w:szCs w:val="12"/>
                <w:color w:val="auto"/>
              </w:rPr>
            </w:pPr>
          </w:p>
        </w:tc>
        <w:tc>
          <w:tcPr>
            <w:tcW w:w="12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unconsolidated subsidiaries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spacing w:after="0" w:line="176" w:lineRule="exact"/>
              <w:rPr>
                <w:sz w:val="20"/>
                <w:szCs w:val="20"/>
                <w:color w:val="auto"/>
              </w:rPr>
            </w:pPr>
            <w:r>
              <w:rPr>
                <w:rFonts w:ascii="Arial" w:cs="Arial" w:eastAsia="Arial" w:hAnsi="Arial"/>
                <w:sz w:val="18"/>
                <w:szCs w:val="18"/>
                <w:color w:val="auto"/>
              </w:rPr>
              <w:t>Total operating and interest expense(3)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7,839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34,676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171,342</w:t>
            </w: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213,857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operating income(4)</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216,111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51,596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5"/>
              </w:rPr>
              <w:t>(164,318)</w:t>
            </w: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103,389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 June 30, 2006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 revenues(2)</w:t>
            </w:r>
          </w:p>
        </w:tc>
        <w:tc>
          <w:tcPr>
            <w:tcW w:w="1160" w:type="dxa"/>
            <w:vAlign w:val="bottom"/>
            <w:tcBorders>
              <w:top w:val="single" w:sz="8" w:color="CCEEFF"/>
            </w:tcBorders>
            <w:gridSpan w:val="2"/>
            <w:shd w:val="clear" w:color="auto" w:fill="CCEEFF"/>
          </w:tcPr>
          <w:p>
            <w:pPr>
              <w:spacing w:after="0"/>
              <w:rPr>
                <w:sz w:val="14"/>
                <w:szCs w:val="14"/>
                <w:color w:val="auto"/>
              </w:rPr>
            </w:pPr>
          </w:p>
        </w:tc>
        <w:tc>
          <w:tcPr>
            <w:tcW w:w="46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145,387</w:t>
            </w: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88,218</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4,482</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left w:val="single" w:sz="8" w:color="auto"/>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238,087</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spacing w:after="0" w:line="149" w:lineRule="exact"/>
              <w:rPr>
                <w:sz w:val="20"/>
                <w:szCs w:val="20"/>
                <w:color w:val="auto"/>
              </w:rPr>
            </w:pPr>
            <w:r>
              <w:rPr>
                <w:rFonts w:ascii="Arial" w:cs="Arial" w:eastAsia="Arial" w:hAnsi="Arial"/>
                <w:sz w:val="17"/>
                <w:szCs w:val="17"/>
                <w:color w:val="auto"/>
              </w:rPr>
              <w:t>Equity in (loss)/earnings from joint ventures 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unconsolidated subsidiaries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Total operating and interest expense(3)</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3,024</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34,668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115,633</w:t>
            </w:r>
          </w:p>
        </w:tc>
        <w:tc>
          <w:tcPr>
            <w:tcW w:w="12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153,325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spacing w:after="0" w:line="176" w:lineRule="exact"/>
              <w:rPr>
                <w:sz w:val="20"/>
                <w:szCs w:val="20"/>
                <w:color w:val="auto"/>
              </w:rPr>
            </w:pPr>
            <w:r>
              <w:rPr>
                <w:rFonts w:ascii="Arial" w:cs="Arial" w:eastAsia="Arial" w:hAnsi="Arial"/>
                <w:sz w:val="18"/>
                <w:szCs w:val="18"/>
                <w:color w:val="auto"/>
              </w:rPr>
              <w:t>Net operating income(4)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142,363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53,443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5"/>
              </w:rPr>
              <w:t>(110,277)</w:t>
            </w: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85,529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6"/>
              </w:rPr>
              <w:t>Six months ended June 30, 2007</w:t>
            </w:r>
          </w:p>
        </w:tc>
        <w:tc>
          <w:tcPr>
            <w:tcW w:w="1380" w:type="dxa"/>
            <w:vAlign w:val="bottom"/>
            <w:tcBorders>
              <w:bottom w:val="single" w:sz="8" w:color="CCEEFF"/>
            </w:tcBorders>
            <w:gridSpan w:val="3"/>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left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spacing w:after="0" w:line="170" w:lineRule="exact"/>
              <w:rPr>
                <w:sz w:val="20"/>
                <w:szCs w:val="20"/>
                <w:color w:val="auto"/>
              </w:rPr>
            </w:pPr>
            <w:r>
              <w:rPr>
                <w:rFonts w:ascii="Arial" w:cs="Arial" w:eastAsia="Arial" w:hAnsi="Arial"/>
                <w:sz w:val="18"/>
                <w:szCs w:val="18"/>
                <w:color w:val="auto"/>
              </w:rPr>
              <w:t>Total revenues (2)</w:t>
            </w:r>
          </w:p>
        </w:tc>
        <w:tc>
          <w:tcPr>
            <w:tcW w:w="4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426,627</w:t>
            </w:r>
          </w:p>
        </w:tc>
        <w:tc>
          <w:tcPr>
            <w:tcW w:w="3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168,544</w:t>
            </w:r>
          </w:p>
        </w:tc>
        <w:tc>
          <w:tcPr>
            <w:tcW w:w="120" w:type="dxa"/>
            <w:vAlign w:val="bottom"/>
          </w:tcPr>
          <w:p>
            <w:pPr>
              <w:spacing w:after="0"/>
              <w:rPr>
                <w:sz w:val="14"/>
                <w:szCs w:val="14"/>
                <w:color w:val="auto"/>
              </w:rPr>
            </w:pPr>
          </w:p>
        </w:tc>
        <w:tc>
          <w:tcPr>
            <w:tcW w:w="18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12,824</w:t>
            </w:r>
          </w:p>
        </w:tc>
        <w:tc>
          <w:tcPr>
            <w:tcW w:w="120" w:type="dxa"/>
            <w:vAlign w:val="bottom"/>
          </w:tcPr>
          <w:p>
            <w:pPr>
              <w:spacing w:after="0"/>
              <w:rPr>
                <w:sz w:val="14"/>
                <w:szCs w:val="14"/>
                <w:color w:val="auto"/>
              </w:rPr>
            </w:pPr>
          </w:p>
        </w:tc>
        <w:tc>
          <w:tcPr>
            <w:tcW w:w="240" w:type="dxa"/>
            <w:vAlign w:val="bottom"/>
            <w:tcBorders>
              <w:left w:val="single" w:sz="8" w:color="auto"/>
            </w:tcBorders>
            <w:gridSpan w:val="2"/>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607,995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shd w:val="clear" w:color="auto" w:fill="CCEEFF"/>
          </w:tcPr>
          <w:p>
            <w:pPr>
              <w:spacing w:after="0" w:line="149" w:lineRule="exact"/>
              <w:rPr>
                <w:sz w:val="20"/>
                <w:szCs w:val="20"/>
                <w:color w:val="auto"/>
              </w:rPr>
            </w:pPr>
            <w:r>
              <w:rPr>
                <w:rFonts w:ascii="Arial" w:cs="Arial" w:eastAsia="Arial" w:hAnsi="Arial"/>
                <w:sz w:val="17"/>
                <w:szCs w:val="17"/>
                <w:color w:val="auto"/>
              </w:rPr>
              <w:t>Equity in (loss)/earnings from joint ventures and</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(1,233)</w:t>
            </w:r>
          </w:p>
        </w:tc>
        <w:tc>
          <w:tcPr>
            <w:tcW w:w="120" w:type="dxa"/>
            <w:vAlign w:val="bottom"/>
            <w:tcBorders>
              <w:lef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gridSpan w:val="6"/>
            <w:shd w:val="clear" w:color="auto" w:fill="CCEEFF"/>
          </w:tcPr>
          <w:p>
            <w:pPr>
              <w:ind w:left="140"/>
              <w:spacing w:after="0" w:line="202" w:lineRule="exact"/>
              <w:rPr>
                <w:sz w:val="20"/>
                <w:szCs w:val="20"/>
                <w:color w:val="auto"/>
              </w:rPr>
            </w:pPr>
            <w:r>
              <w:rPr>
                <w:rFonts w:ascii="Arial" w:cs="Arial" w:eastAsia="Arial" w:hAnsi="Arial"/>
                <w:sz w:val="18"/>
                <w:szCs w:val="18"/>
                <w:color w:val="auto"/>
              </w:rPr>
              <w:t>unconsolidated subsidiaries</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2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spacing w:after="0" w:line="176" w:lineRule="exact"/>
              <w:rPr>
                <w:sz w:val="20"/>
                <w:szCs w:val="20"/>
                <w:color w:val="auto"/>
              </w:rPr>
            </w:pPr>
            <w:r>
              <w:rPr>
                <w:rFonts w:ascii="Arial" w:cs="Arial" w:eastAsia="Arial" w:hAnsi="Arial"/>
                <w:sz w:val="18"/>
                <w:szCs w:val="18"/>
                <w:color w:val="auto"/>
              </w:rPr>
              <w:t>Total operating and interest expense(3)</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15,947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65,874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329,965</w:t>
            </w: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411,786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Net operating income(4)</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410,680</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102,450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5"/>
              </w:rPr>
              <w:t>(318,374)</w:t>
            </w: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194,756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Six months ended June 30, 2006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Total revenues(2)</w:t>
            </w:r>
          </w:p>
        </w:tc>
        <w:tc>
          <w:tcPr>
            <w:tcW w:w="1380" w:type="dxa"/>
            <w:vAlign w:val="bottom"/>
            <w:tcBorders>
              <w:top w:val="single" w:sz="8" w:color="CCEEFF"/>
            </w:tcBorders>
            <w:gridSpan w:val="3"/>
            <w:shd w:val="clear" w:color="auto" w:fill="CCEEFF"/>
          </w:tcPr>
          <w:p>
            <w:pPr>
              <w:spacing w:after="0"/>
              <w:rPr>
                <w:sz w:val="14"/>
                <w:szCs w:val="14"/>
                <w:color w:val="auto"/>
              </w:rPr>
            </w:pPr>
          </w:p>
        </w:tc>
        <w:tc>
          <w:tcPr>
            <w:tcW w:w="46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279,925</w:t>
            </w:r>
          </w:p>
        </w:tc>
        <w:tc>
          <w:tcPr>
            <w:tcW w:w="30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169,974</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9,361</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left w:val="single" w:sz="8" w:color="auto"/>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459,260</w:t>
            </w: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spacing w:after="0" w:line="149" w:lineRule="exact"/>
              <w:rPr>
                <w:sz w:val="20"/>
                <w:szCs w:val="20"/>
                <w:color w:val="auto"/>
              </w:rPr>
            </w:pPr>
            <w:r>
              <w:rPr>
                <w:rFonts w:ascii="Arial" w:cs="Arial" w:eastAsia="Arial" w:hAnsi="Arial"/>
                <w:sz w:val="17"/>
                <w:szCs w:val="17"/>
                <w:color w:val="auto"/>
              </w:rPr>
              <w:t>Equity in (loss)/earnings from joint ventures and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2"/>
                <w:szCs w:val="12"/>
                <w:color w:val="auto"/>
              </w:rPr>
            </w:pPr>
          </w:p>
        </w:tc>
        <w:tc>
          <w:tcPr>
            <w:tcW w:w="1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0" w:type="dxa"/>
            <w:vAlign w:val="bottom"/>
            <w:gridSpan w:val="6"/>
          </w:tcPr>
          <w:p>
            <w:pPr>
              <w:ind w:left="140"/>
              <w:spacing w:after="0" w:line="202" w:lineRule="exact"/>
              <w:rPr>
                <w:sz w:val="20"/>
                <w:szCs w:val="20"/>
                <w:color w:val="auto"/>
              </w:rPr>
            </w:pPr>
            <w:r>
              <w:rPr>
                <w:rFonts w:ascii="Arial" w:cs="Arial" w:eastAsia="Arial" w:hAnsi="Arial"/>
                <w:sz w:val="18"/>
                <w:szCs w:val="18"/>
                <w:color w:val="auto"/>
              </w:rPr>
              <w:t>unconsolidated subsidiaries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Total operating and interest expense(3)</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4,811</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63,933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222,220</w:t>
            </w:r>
          </w:p>
        </w:tc>
        <w:tc>
          <w:tcPr>
            <w:tcW w:w="12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290,964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spacing w:after="0" w:line="176" w:lineRule="exact"/>
              <w:rPr>
                <w:sz w:val="20"/>
                <w:szCs w:val="20"/>
                <w:color w:val="auto"/>
              </w:rPr>
            </w:pPr>
            <w:r>
              <w:rPr>
                <w:rFonts w:ascii="Arial" w:cs="Arial" w:eastAsia="Arial" w:hAnsi="Arial"/>
                <w:sz w:val="18"/>
                <w:szCs w:val="18"/>
                <w:color w:val="auto"/>
              </w:rPr>
              <w:t>Net operating income(4)</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275,114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105,824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5"/>
              </w:rPr>
              <w:t>(211,589)</w:t>
            </w: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169,349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6"/>
              </w:rPr>
              <w:t>As of June 30, 2007</w:t>
            </w:r>
          </w:p>
        </w:tc>
        <w:tc>
          <w:tcPr>
            <w:tcW w:w="2340" w:type="dxa"/>
            <w:vAlign w:val="bottom"/>
            <w:tcBorders>
              <w:bottom w:val="single" w:sz="8" w:color="CCEEFF"/>
            </w:tcBorders>
            <w:gridSpan w:val="5"/>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left w:val="single" w:sz="8" w:color="auto"/>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spacing w:after="0" w:line="170" w:lineRule="exact"/>
              <w:rPr>
                <w:sz w:val="20"/>
                <w:szCs w:val="20"/>
                <w:color w:val="auto"/>
              </w:rPr>
            </w:pPr>
            <w:r>
              <w:rPr>
                <w:rFonts w:ascii="Arial" w:cs="Arial" w:eastAsia="Arial" w:hAnsi="Arial"/>
                <w:sz w:val="18"/>
                <w:szCs w:val="18"/>
                <w:color w:val="auto"/>
              </w:rPr>
              <w:t>Total long-lived assets(5)</w:t>
            </w:r>
          </w:p>
        </w:tc>
        <w:tc>
          <w:tcPr>
            <w:tcW w:w="46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w w:val="89"/>
              </w:rPr>
              <w:t>7,694,183</w:t>
            </w:r>
          </w:p>
        </w:tc>
        <w:tc>
          <w:tcPr>
            <w:tcW w:w="30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w w:val="92"/>
              </w:rPr>
              <w:t>3,324,186</w:t>
            </w:r>
          </w:p>
        </w:tc>
        <w:tc>
          <w:tcPr>
            <w:tcW w:w="120" w:type="dxa"/>
            <w:vAlign w:val="bottom"/>
          </w:tcPr>
          <w:p>
            <w:pPr>
              <w:spacing w:after="0"/>
              <w:rPr>
                <w:sz w:val="14"/>
                <w:szCs w:val="14"/>
                <w:color w:val="auto"/>
              </w:rPr>
            </w:pPr>
          </w:p>
        </w:tc>
        <w:tc>
          <w:tcPr>
            <w:tcW w:w="180" w:type="dxa"/>
            <w:vAlign w:val="bottom"/>
            <w:gridSpan w:val="2"/>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144,208</w:t>
            </w:r>
          </w:p>
        </w:tc>
        <w:tc>
          <w:tcPr>
            <w:tcW w:w="120" w:type="dxa"/>
            <w:vAlign w:val="bottom"/>
          </w:tcPr>
          <w:p>
            <w:pPr>
              <w:spacing w:after="0"/>
              <w:rPr>
                <w:sz w:val="14"/>
                <w:szCs w:val="14"/>
                <w:color w:val="auto"/>
              </w:rPr>
            </w:pPr>
          </w:p>
        </w:tc>
        <w:tc>
          <w:tcPr>
            <w:tcW w:w="240" w:type="dxa"/>
            <w:vAlign w:val="bottom"/>
            <w:tcBorders>
              <w:left w:val="single" w:sz="8" w:color="auto"/>
            </w:tcBorders>
            <w:gridSpan w:val="2"/>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w w:val="90"/>
              </w:rPr>
              <w:t>11,162,577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9"/>
              </w:rPr>
              <w:t>7,799,419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2"/>
              </w:rPr>
              <w:t>3,608,328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914,583</w:t>
            </w:r>
          </w:p>
        </w:tc>
        <w:tc>
          <w:tcPr>
            <w:tcW w:w="120" w:type="dxa"/>
            <w:vAlign w:val="bottom"/>
            <w:shd w:val="clear" w:color="auto" w:fill="CCEEFF"/>
          </w:tcPr>
          <w:p>
            <w:pPr>
              <w:spacing w:after="0"/>
              <w:rPr>
                <w:sz w:val="15"/>
                <w:szCs w:val="15"/>
                <w:color w:val="auto"/>
              </w:rPr>
            </w:pPr>
          </w:p>
        </w:tc>
        <w:tc>
          <w:tcPr>
            <w:tcW w:w="120" w:type="dxa"/>
            <w:vAlign w:val="bottom"/>
            <w:tcBorders>
              <w:lef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12,322,330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40" w:type="dxa"/>
            <w:vAlign w:val="bottom"/>
            <w:gridSpan w:val="8"/>
          </w:tcPr>
          <w:p>
            <w:pPr>
              <w:spacing w:after="0"/>
              <w:rPr>
                <w:sz w:val="20"/>
                <w:szCs w:val="20"/>
                <w:color w:val="auto"/>
              </w:rPr>
            </w:pPr>
            <w:r>
              <w:rPr>
                <w:rFonts w:ascii="Arial" w:cs="Arial" w:eastAsia="Arial" w:hAnsi="Arial"/>
                <w:sz w:val="18"/>
                <w:szCs w:val="18"/>
                <w:b w:val="1"/>
                <w:bCs w:val="1"/>
                <w:color w:val="auto"/>
              </w:rPr>
              <w:t>As of December 31, 2006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1"/>
              </w:rPr>
              <w:t>Total long-lived assets(5)</w:t>
            </w:r>
          </w:p>
        </w:tc>
        <w:tc>
          <w:tcPr>
            <w:tcW w:w="1940" w:type="dxa"/>
            <w:vAlign w:val="bottom"/>
            <w:gridSpan w:val="4"/>
            <w:shd w:val="clear" w:color="auto" w:fill="CCEEFF"/>
          </w:tcPr>
          <w:p>
            <w:pPr>
              <w:spacing w:after="0"/>
              <w:rPr>
                <w:sz w:val="14"/>
                <w:szCs w:val="14"/>
                <w:color w:val="auto"/>
              </w:rPr>
            </w:pPr>
          </w:p>
        </w:tc>
        <w:tc>
          <w:tcPr>
            <w:tcW w:w="46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6,799,850</w:t>
            </w:r>
          </w:p>
        </w:tc>
        <w:tc>
          <w:tcPr>
            <w:tcW w:w="30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2"/>
              </w:rPr>
              <w:t>3,084,794</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146,502</w:t>
            </w:r>
          </w:p>
        </w:tc>
        <w:tc>
          <w:tcPr>
            <w:tcW w:w="120" w:type="dxa"/>
            <w:vAlign w:val="bottom"/>
            <w:shd w:val="clear" w:color="auto" w:fill="CCEEFF"/>
          </w:tcPr>
          <w:p>
            <w:pPr>
              <w:spacing w:after="0"/>
              <w:rPr>
                <w:sz w:val="14"/>
                <w:szCs w:val="14"/>
                <w:color w:val="auto"/>
              </w:rPr>
            </w:pPr>
          </w:p>
        </w:tc>
        <w:tc>
          <w:tcPr>
            <w:tcW w:w="240" w:type="dxa"/>
            <w:vAlign w:val="bottom"/>
            <w:tcBorders>
              <w:left w:val="single" w:sz="8" w:color="auto"/>
            </w:tcBorders>
            <w:gridSpan w:val="2"/>
            <w:shd w:val="clear" w:color="auto" w:fill="CCEEFF"/>
          </w:tcPr>
          <w:p>
            <w:pPr>
              <w:jc w:val="right"/>
              <w:ind w:right="20"/>
              <w:spacing w:after="0" w:line="170"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10,031,146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spacing w:after="0" w:line="176" w:lineRule="exact"/>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w w:val="89"/>
              </w:rPr>
              <w:t>6,881,423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w w:val="92"/>
              </w:rPr>
              <w:t>3,288,276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890,296</w:t>
            </w:r>
          </w:p>
        </w:tc>
        <w:tc>
          <w:tcPr>
            <w:tcW w:w="120" w:type="dxa"/>
            <w:vAlign w:val="bottom"/>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0"/>
              </w:rPr>
              <w:t>11,059,995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0"/>
          <w:szCs w:val="20"/>
          <w:color w:val="auto"/>
        </w:rPr>
      </w:pPr>
    </w:p>
    <w:p>
      <w:pPr>
        <w:ind w:left="360" w:right="160" w:hanging="352"/>
        <w:spacing w:after="0" w:line="222" w:lineRule="auto"/>
        <w:tabs>
          <w:tab w:leader="none" w:pos="363" w:val="left"/>
        </w:tabs>
        <w:numPr>
          <w:ilvl w:val="0"/>
          <w:numId w:val="9"/>
        </w:numPr>
        <w:rPr>
          <w:rFonts w:ascii="Arial" w:cs="Arial" w:eastAsia="Arial" w:hAnsi="Arial"/>
          <w:sz w:val="13"/>
          <w:szCs w:val="13"/>
          <w:color w:val="auto"/>
        </w:rPr>
      </w:pPr>
      <w:r>
        <w:rPr>
          <w:rFonts w:ascii="Arial" w:cs="Arial" w:eastAsia="Arial" w:hAnsi="Arial"/>
          <w:sz w:val="13"/>
          <w:szCs w:val="13"/>
          <w:color w:val="auto"/>
        </w:rPr>
        <w:t>Corporate and Other represents all corporate level items, including general and administrative expenses and any intercompany eliminations necessary to reconcile to the consolidated Company totals. This caption also includes the Company’s timber operations, joint venture investments in Oak Hill and “Other investments” as reported on the Company’s Consolidated Balance sheets, which are not considered material separate segments.</w:t>
      </w:r>
    </w:p>
    <w:p>
      <w:pPr>
        <w:ind w:left="360" w:hanging="352"/>
        <w:spacing w:after="0" w:line="216" w:lineRule="auto"/>
        <w:tabs>
          <w:tab w:leader="none" w:pos="363" w:val="left"/>
        </w:tabs>
        <w:numPr>
          <w:ilvl w:val="0"/>
          <w:numId w:val="9"/>
        </w:numPr>
        <w:rPr>
          <w:rFonts w:ascii="Arial" w:cs="Arial" w:eastAsia="Arial" w:hAnsi="Arial"/>
          <w:sz w:val="13"/>
          <w:szCs w:val="13"/>
          <w:color w:val="auto"/>
        </w:rPr>
      </w:pPr>
      <w:r>
        <w:rPr>
          <w:rFonts w:ascii="Arial" w:cs="Arial" w:eastAsia="Arial" w:hAnsi="Arial"/>
          <w:sz w:val="13"/>
          <w:szCs w:val="13"/>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 w:lineRule="exact"/>
        <w:rPr>
          <w:rFonts w:ascii="Arial" w:cs="Arial" w:eastAsia="Arial" w:hAnsi="Arial"/>
          <w:sz w:val="13"/>
          <w:szCs w:val="13"/>
          <w:color w:val="auto"/>
        </w:rPr>
      </w:pPr>
    </w:p>
    <w:p>
      <w:pPr>
        <w:ind w:left="360" w:right="60" w:hanging="352"/>
        <w:spacing w:after="0" w:line="301" w:lineRule="auto"/>
        <w:tabs>
          <w:tab w:leader="none" w:pos="363" w:val="left"/>
        </w:tabs>
        <w:numPr>
          <w:ilvl w:val="0"/>
          <w:numId w:val="9"/>
        </w:numPr>
        <w:rPr>
          <w:rFonts w:ascii="Arial" w:cs="Arial" w:eastAsia="Arial" w:hAnsi="Arial"/>
          <w:sz w:val="11"/>
          <w:szCs w:val="11"/>
          <w:color w:val="auto"/>
        </w:rPr>
      </w:pPr>
      <w:r>
        <w:rPr>
          <w:rFonts w:ascii="Arial" w:cs="Arial" w:eastAsia="Arial" w:hAnsi="Arial"/>
          <w:sz w:val="11"/>
          <w:szCs w:val="11"/>
          <w:color w:val="auto"/>
        </w:rPr>
        <w:t>Total operating and interest expense includes provision for loan losses for the Real Estate Lending business and operating costs on CTL assets for the Corporate Tenant Leasing business, as well as interest expense and loss on early extinguishment of debt specifically related to each segment. Interest expense on unsecured notes and the unsecured and secured revolving credit facilities and general and administrative expense is included</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 (Continued)</w:t>
      </w:r>
    </w:p>
    <w:p>
      <w:pPr>
        <w:spacing w:after="0" w:line="121" w:lineRule="exact"/>
        <w:rPr>
          <w:sz w:val="20"/>
          <w:szCs w:val="20"/>
          <w:color w:val="auto"/>
        </w:rPr>
      </w:pPr>
    </w:p>
    <w:p>
      <w:pPr>
        <w:ind w:left="360" w:right="280"/>
        <w:spacing w:after="0" w:line="237" w:lineRule="auto"/>
        <w:rPr>
          <w:sz w:val="20"/>
          <w:szCs w:val="20"/>
          <w:color w:val="auto"/>
        </w:rPr>
      </w:pPr>
      <w:r>
        <w:rPr>
          <w:rFonts w:ascii="Arial" w:cs="Arial" w:eastAsia="Arial" w:hAnsi="Arial"/>
          <w:sz w:val="13"/>
          <w:szCs w:val="13"/>
          <w:color w:val="auto"/>
        </w:rPr>
        <w:t>in Corporate/Other for all periods. Depreciation and amortization of $22.8 million and $18.9 million for the three months ended June 30, 2007 and 2006, respectively, and $42.9 million and $37.5 for the six months ended June 30, 2007 and 2006, respectively, are included in the amounts presented above.</w:t>
      </w:r>
    </w:p>
    <w:p>
      <w:pPr>
        <w:spacing w:after="0" w:line="29"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Net operating income represents income before minority interest, income from discontinued operations and gain from discontinued operations.</w:t>
      </w:r>
    </w:p>
    <w:p>
      <w:pPr>
        <w:spacing w:after="0" w:line="39" w:lineRule="exact"/>
        <w:rPr>
          <w:rFonts w:ascii="Arial" w:cs="Arial" w:eastAsia="Arial" w:hAnsi="Arial"/>
          <w:sz w:val="13"/>
          <w:szCs w:val="13"/>
          <w:color w:val="auto"/>
        </w:rPr>
      </w:pPr>
    </w:p>
    <w:p>
      <w:pPr>
        <w:ind w:left="360" w:right="620" w:hanging="352"/>
        <w:spacing w:after="0" w:line="237" w:lineRule="auto"/>
        <w:tabs>
          <w:tab w:leader="none" w:pos="363"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Total long-lived assets is comprised of Loans and other lending investments, net, Corporate tenant lease assets, net, and timber and timberlands, net for the Real Estate Lending, Corporate Tenant Leasing and Corporate/Other segments,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17—Subsequent Events</w:t>
      </w:r>
    </w:p>
    <w:p>
      <w:pPr>
        <w:spacing w:after="0" w:line="67"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On July 2, 2007, iStar completed the previously announced acquisition of the commercial real estate lending business and $6.27 billion commercial real estate loan portfolio of Fremont Investment and Loan (“Fremont”), a subsidiary of Fremont General Corporation, pursuant to the terms of an asset purchase agreement, dated May 21, 2007. Concurrently, iStar completed the sale of a $4.21 billion A participation interest in the same loan portfolio to Fremont, pursuant to the terms of a loan participation agreement. The net cash purchase price of $1.89 billion was funded with proceeds from borrowings under the new short-term interim financing facility, which bears interest at LIBOR + 0.5%.</w:t>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Fremont’s commercial real estate business, which was one of the company’s two primary </w:t>
      </w:r>
      <w:r>
        <w:rPr>
          <w:rFonts w:ascii="Arial" w:cs="Arial" w:eastAsia="Arial" w:hAnsi="Arial"/>
          <w:sz w:val="15"/>
          <w:szCs w:val="15"/>
          <w:color w:val="auto"/>
        </w:rPr>
        <w:t>segments, originates commercial first mortgage loans, which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primarily bridge and construction loan facilities, out of nine field offices.</w:t>
      </w:r>
    </w:p>
    <w:p>
      <w:pPr>
        <w:spacing w:after="0" w:line="49" w:lineRule="exact"/>
        <w:rPr>
          <w:sz w:val="20"/>
          <w:szCs w:val="20"/>
          <w:color w:val="auto"/>
        </w:rPr>
      </w:pPr>
    </w:p>
    <w:p>
      <w:pPr>
        <w:ind w:right="360" w:firstLine="360"/>
        <w:spacing w:after="0" w:line="259" w:lineRule="auto"/>
        <w:rPr>
          <w:sz w:val="20"/>
          <w:szCs w:val="20"/>
          <w:color w:val="auto"/>
        </w:rPr>
      </w:pPr>
      <w:r>
        <w:rPr>
          <w:rFonts w:ascii="Arial" w:cs="Arial" w:eastAsia="Arial" w:hAnsi="Arial"/>
          <w:sz w:val="18"/>
          <w:szCs w:val="18"/>
          <w:color w:val="auto"/>
        </w:rPr>
        <w:t>Under the terms of the participation agreement, Fremont will receive 70 percent of all principal collected from the loan portfolio, including principal collected from the currently unfunded commitments until the $4.21 billion principal amount is repaid. In addition, iStar will be responsible for funding approximately $3.74 billion of existing unfunded loan commitments associated with the portfolio over the next several years. The A participation pays floating interest at LIBOR + 1.50%. The A participation transfer will be accounted for as a sale.</w:t>
      </w:r>
    </w:p>
    <w:p>
      <w:pPr>
        <w:spacing w:after="0" w:line="25" w:lineRule="exact"/>
        <w:rPr>
          <w:sz w:val="20"/>
          <w:szCs w:val="20"/>
          <w:color w:val="auto"/>
        </w:rPr>
      </w:pPr>
    </w:p>
    <w:p>
      <w:pPr>
        <w:ind w:right="180" w:firstLine="360"/>
        <w:spacing w:after="0" w:line="293" w:lineRule="auto"/>
        <w:rPr>
          <w:sz w:val="20"/>
          <w:szCs w:val="20"/>
          <w:color w:val="auto"/>
        </w:rPr>
      </w:pPr>
      <w:r>
        <w:rPr>
          <w:rFonts w:ascii="Arial" w:cs="Arial" w:eastAsia="Arial" w:hAnsi="Arial"/>
          <w:sz w:val="16"/>
          <w:szCs w:val="16"/>
          <w:color w:val="auto"/>
        </w:rPr>
        <w:t>The Company will account for the business combination under the purchase method. Under the purchase method, the assets acquired and liabilities assumed will be recorded at their fair values as of the acquisition date. Any excess of the purchase price over the fair value of the net assets acquired will be recorded as goodwill. The following table shows the preliminary values, as of the date of this filing, of the assets purchased and liabilities assumed from Fremont. These values do not reflect the final adjustments to the purchase price or the final allocation of the excess of the purchase price over the net book value of the assets of Fremont, as the process to assign a fair value to the various tangible and intangible assets has not been completed. Final adjustments may result in a materially different allocation of the purchase price, which will affect the value assigned to tangible and/or intangible assets acquired.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Preliminary Valuation of Net Assets Acquired (in millions)</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740" w:type="dxa"/>
            <w:vAlign w:val="bottom"/>
            <w:vMerge w:val="restart"/>
          </w:tcPr>
          <w:p>
            <w:pPr>
              <w:spacing w:after="0"/>
              <w:rPr>
                <w:sz w:val="5"/>
                <w:szCs w:val="5"/>
                <w:color w:val="auto"/>
              </w:rPr>
            </w:pPr>
          </w:p>
        </w:tc>
        <w:tc>
          <w:tcPr>
            <w:tcW w:w="3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740" w:type="dxa"/>
            <w:vAlign w:val="bottom"/>
            <w:vMerge w:val="continue"/>
          </w:tcPr>
          <w:p>
            <w:pPr>
              <w:spacing w:after="0"/>
              <w:rPr>
                <w:sz w:val="15"/>
                <w:szCs w:val="15"/>
                <w:color w:val="auto"/>
              </w:rPr>
            </w:pPr>
          </w:p>
        </w:tc>
        <w:tc>
          <w:tcPr>
            <w:tcW w:w="3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Loans</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2"/>
              </w:rPr>
              <w:t>$ 1,805.1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3240" w:type="dxa"/>
            <w:vAlign w:val="bottom"/>
          </w:tcPr>
          <w:p>
            <w:pPr>
              <w:spacing w:after="0" w:line="176" w:lineRule="exact"/>
              <w:rPr>
                <w:sz w:val="20"/>
                <w:szCs w:val="20"/>
                <w:color w:val="auto"/>
              </w:rPr>
            </w:pPr>
            <w:r>
              <w:rPr>
                <w:rFonts w:ascii="Arial" w:cs="Arial" w:eastAsia="Arial" w:hAnsi="Arial"/>
                <w:sz w:val="18"/>
                <w:szCs w:val="18"/>
                <w:color w:val="auto"/>
              </w:rPr>
              <w:t>Accrued interest</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43.2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3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Fixed assets</w:t>
            </w: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3240" w:type="dxa"/>
            <w:vAlign w:val="bottom"/>
          </w:tcPr>
          <w:p>
            <w:pPr>
              <w:spacing w:after="0" w:line="176" w:lineRule="exact"/>
              <w:rPr>
                <w:sz w:val="20"/>
                <w:szCs w:val="20"/>
                <w:color w:val="auto"/>
              </w:rPr>
            </w:pPr>
            <w:r>
              <w:rPr>
                <w:rFonts w:ascii="Arial" w:cs="Arial" w:eastAsia="Arial" w:hAnsi="Arial"/>
                <w:sz w:val="18"/>
                <w:szCs w:val="18"/>
                <w:color w:val="auto"/>
              </w:rPr>
              <w:t>Intangibles</w:t>
            </w: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23.4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3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3240" w:type="dxa"/>
            <w:vAlign w:val="bottom"/>
          </w:tcPr>
          <w:p>
            <w:pPr>
              <w:spacing w:after="0" w:line="170" w:lineRule="exact"/>
              <w:rPr>
                <w:sz w:val="20"/>
                <w:szCs w:val="20"/>
                <w:color w:val="auto"/>
              </w:rPr>
            </w:pPr>
            <w:r>
              <w:rPr>
                <w:rFonts w:ascii="Arial" w:cs="Arial" w:eastAsia="Arial" w:hAnsi="Arial"/>
                <w:sz w:val="18"/>
                <w:szCs w:val="18"/>
                <w:color w:val="auto"/>
              </w:rPr>
              <w:t>Net assets acquired</w:t>
            </w: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1,893.7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8" w:name="page19"/>
    <w:bookmarkEnd w:id="18"/>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81" w:lineRule="exact"/>
        <w:rPr>
          <w:sz w:val="20"/>
          <w:szCs w:val="20"/>
          <w:color w:val="auto"/>
        </w:rPr>
      </w:pPr>
    </w:p>
    <w:p>
      <w:pPr>
        <w:jc w:val="both"/>
        <w:ind w:right="140" w:firstLine="360"/>
        <w:spacing w:after="0" w:line="288" w:lineRule="auto"/>
        <w:rPr>
          <w:sz w:val="20"/>
          <w:szCs w:val="20"/>
          <w:color w:val="auto"/>
        </w:rPr>
      </w:pPr>
      <w:r>
        <w:rPr>
          <w:rFonts w:ascii="Arial" w:cs="Arial" w:eastAsia="Arial" w:hAnsi="Arial"/>
          <w:sz w:val="16"/>
          <w:szCs w:val="16"/>
          <w:color w:val="auto"/>
        </w:rPr>
        <w:t>This discussion summarizes the significant factors affecting our consolidated operating results, financial condition and liquidity and should be read in conjunction with our consolidated financial statements and related notes included in this quarterly report on form 10-Q and our annual report on Form 10-K for the year ended December 31, 2006 (the “2006 Annual Report”). These historical financial statements may not be indicative of our future performance.</w:t>
      </w:r>
    </w:p>
    <w:p>
      <w:pPr>
        <w:ind w:right="20"/>
        <w:spacing w:after="0" w:line="277" w:lineRule="auto"/>
        <w:rPr>
          <w:sz w:val="20"/>
          <w:szCs w:val="20"/>
          <w:color w:val="auto"/>
        </w:rPr>
      </w:pPr>
      <w:r>
        <w:rPr>
          <w:rFonts w:ascii="Arial" w:cs="Arial" w:eastAsia="Arial" w:hAnsi="Arial"/>
          <w:sz w:val="17"/>
          <w:szCs w:val="17"/>
          <w:color w:val="auto"/>
        </w:rPr>
        <w:t xml:space="preserve">Certain items in prior periods have been reclassified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 our 2006 Annual Report.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ind w:right="60" w:firstLine="360"/>
        <w:spacing w:after="0" w:line="253" w:lineRule="auto"/>
        <w:rPr>
          <w:sz w:val="20"/>
          <w:szCs w:val="20"/>
          <w:color w:val="auto"/>
        </w:rPr>
      </w:pPr>
      <w:r>
        <w:rPr>
          <w:rFonts w:ascii="Arial" w:cs="Arial" w:eastAsia="Arial" w:hAnsi="Arial"/>
          <w:sz w:val="18"/>
          <w:szCs w:val="18"/>
          <w:color w:val="auto"/>
        </w:rPr>
        <w:t>iStar Financial Inc. is a leading publicly traded finance company focused on the commercial real estate industry. We primarily provide custom 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real estate lending and corporate tenant leasing.</w:t>
      </w:r>
    </w:p>
    <w:p>
      <w:pPr>
        <w:spacing w:after="0" w:line="3"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corporate tenant lease, or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3" w:lineRule="exact"/>
        <w:rPr>
          <w:sz w:val="20"/>
          <w:szCs w:val="20"/>
          <w:color w:val="auto"/>
        </w:rPr>
      </w:pPr>
    </w:p>
    <w:p>
      <w:pPr>
        <w:ind w:right="220" w:firstLine="360"/>
        <w:spacing w:after="0" w:line="269" w:lineRule="auto"/>
        <w:rPr>
          <w:sz w:val="20"/>
          <w:szCs w:val="20"/>
          <w:color w:val="auto"/>
        </w:rPr>
      </w:pPr>
      <w:r>
        <w:rPr>
          <w:rFonts w:ascii="Arial" w:cs="Arial" w:eastAsia="Arial" w:hAnsi="Arial"/>
          <w:sz w:val="17"/>
          <w:szCs w:val="17"/>
          <w:color w:val="auto"/>
        </w:rPr>
        <w:t>The second quarter of 2007 was a strong one for our company. We generated $109.1 million of net income and $0.75 of diluted earnings per common share (diluted EPS). This compares to $90.5 million of net income and $0.68 of diluted EPS during the second quarter of 2006. We closed 36 separate transactions and funded just under $1.3 billion on new and previously committed transactions. Repayments and prepayments for the second quarter totaled $1.05 billion, in line with our expectations and resulting in total asset growth of $216.4 million.</w:t>
      </w:r>
    </w:p>
    <w:p>
      <w:pPr>
        <w:spacing w:after="0" w:line="1" w:lineRule="exact"/>
        <w:rPr>
          <w:sz w:val="20"/>
          <w:szCs w:val="20"/>
          <w:color w:val="auto"/>
        </w:rPr>
      </w:pPr>
    </w:p>
    <w:p>
      <w:pPr>
        <w:ind w:right="60" w:firstLine="360"/>
        <w:spacing w:after="0" w:line="260" w:lineRule="auto"/>
        <w:rPr>
          <w:sz w:val="20"/>
          <w:szCs w:val="20"/>
          <w:color w:val="auto"/>
        </w:rPr>
      </w:pPr>
      <w:r>
        <w:rPr>
          <w:rFonts w:ascii="Arial" w:cs="Arial" w:eastAsia="Arial" w:hAnsi="Arial"/>
          <w:sz w:val="18"/>
          <w:szCs w:val="18"/>
          <w:color w:val="auto"/>
        </w:rPr>
        <w:t>This quarter, we saw an increase in our watch-list assets and NPLs. Most of these loans were higher risk transactions that were underwritten with higher return expectations. We believe we have adequately reserved for the risk in the portfolio and do not believe that there have been any major or systemic changes in the overall quality or trends in our portfolio.</w:t>
      </w:r>
    </w:p>
    <w:p>
      <w:pPr>
        <w:spacing w:after="0" w:line="2"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On July 2, 2007, iStar completed the previously announced acquisition of Fremont General Corporation’s (“Fremont”) commercial real estate lending business and commercial real estate loan portfolio. We have begun the process of integrating the Company and are working across all disciplines to bring the market and transactional knowledge of both organizations to bear on our asset management and investment decisions.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3" w:lineRule="exact"/>
        <w:rPr>
          <w:sz w:val="20"/>
          <w:szCs w:val="20"/>
          <w:color w:val="auto"/>
        </w:rPr>
      </w:pPr>
    </w:p>
    <w:p>
      <w:pPr>
        <w:ind w:firstLine="360"/>
        <w:spacing w:after="0" w:line="276" w:lineRule="auto"/>
        <w:rPr>
          <w:sz w:val="20"/>
          <w:szCs w:val="20"/>
          <w:color w:val="auto"/>
        </w:rPr>
      </w:pPr>
      <w:r>
        <w:rPr>
          <w:rFonts w:ascii="Arial" w:cs="Arial" w:eastAsia="Arial" w:hAnsi="Arial"/>
          <w:sz w:val="18"/>
          <w:szCs w:val="18"/>
          <w:color w:val="auto"/>
        </w:rPr>
        <w:t>The following discussion of our results describes the impact that the key trends have had, and are expected to continue to have for the foreseeable future, on our business.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Profitability Indicators—</w:t>
      </w:r>
      <w:r>
        <w:rPr>
          <w:rFonts w:ascii="Arial" w:cs="Arial" w:eastAsia="Arial" w:hAnsi="Arial"/>
          <w:sz w:val="18"/>
          <w:szCs w:val="18"/>
          <w:color w:val="auto"/>
        </w:rPr>
        <w:t>We use the following metrics to measure our profitability:</w:t>
      </w:r>
    </w:p>
    <w:p>
      <w:pPr>
        <w:spacing w:after="0" w:line="23" w:lineRule="exact"/>
        <w:rPr>
          <w:sz w:val="20"/>
          <w:szCs w:val="20"/>
          <w:color w:val="auto"/>
        </w:rPr>
      </w:pPr>
    </w:p>
    <w:p>
      <w:pPr>
        <w:ind w:left="540" w:right="80" w:hanging="172"/>
        <w:spacing w:after="0" w:line="265"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1" w:lineRule="exact"/>
        <w:rPr>
          <w:rFonts w:ascii="Arial" w:cs="Arial" w:eastAsia="Arial" w:hAnsi="Arial"/>
          <w:sz w:val="18"/>
          <w:szCs w:val="18"/>
          <w:color w:val="auto"/>
        </w:rPr>
      </w:pPr>
    </w:p>
    <w:p>
      <w:pPr>
        <w:ind w:left="540" w:right="100" w:hanging="172"/>
        <w:spacing w:after="0" w:line="269"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 sum of interest expense and operating costs for corporate tenant lease assets, divided by the average book value of gross debt obligations during the period.</w:t>
      </w:r>
    </w:p>
    <w:p>
      <w:pPr>
        <w:spacing w:after="0" w:line="2" w:lineRule="exact"/>
        <w:rPr>
          <w:rFonts w:ascii="Arial" w:cs="Arial" w:eastAsia="Arial" w:hAnsi="Arial"/>
          <w:sz w:val="17"/>
          <w:szCs w:val="17"/>
          <w:color w:val="auto"/>
        </w:rPr>
      </w:pPr>
    </w:p>
    <w:p>
      <w:pPr>
        <w:ind w:left="540" w:right="120" w:hanging="172"/>
        <w:spacing w:after="0" w:line="276"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allocable to common shareholders and HPU holders divided by average common book equity.</w:t>
      </w:r>
    </w:p>
    <w:p>
      <w:pPr>
        <w:spacing w:after="0" w:line="9" w:lineRule="exact"/>
        <w:rPr>
          <w:rFonts w:ascii="Arial" w:cs="Arial" w:eastAsia="Arial" w:hAnsi="Arial"/>
          <w:sz w:val="18"/>
          <w:szCs w:val="18"/>
          <w:color w:val="auto"/>
        </w:rPr>
      </w:pPr>
    </w:p>
    <w:p>
      <w:pPr>
        <w:ind w:left="540" w:right="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31"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For the Three Months</w:t>
      </w:r>
    </w:p>
    <w:p>
      <w:pPr>
        <w:jc w:val="center"/>
        <w:ind w:left="6100"/>
        <w:spacing w:after="0" w:line="221" w:lineRule="auto"/>
        <w:rPr>
          <w:sz w:val="20"/>
          <w:szCs w:val="20"/>
          <w:color w:val="auto"/>
        </w:rPr>
      </w:pPr>
      <w:r>
        <w:rPr>
          <w:rFonts w:ascii="Arial" w:cs="Arial" w:eastAsia="Arial" w:hAnsi="Arial"/>
          <w:sz w:val="14"/>
          <w:szCs w:val="14"/>
          <w:b w:val="1"/>
          <w:bCs w:val="1"/>
          <w:color w:val="auto"/>
        </w:rPr>
        <w:t>Ended June 30,</w:t>
      </w:r>
    </w:p>
    <w:tbl>
      <w:tblPr>
        <w:tblLayout w:type="fixed"/>
        <w:tblInd w:w="1540" w:type="dxa"/>
        <w:tblCellMar>
          <w:top w:w="0" w:type="dxa"/>
          <w:left w:w="0" w:type="dxa"/>
          <w:bottom w:w="0" w:type="dxa"/>
          <w:right w:w="0" w:type="dxa"/>
        </w:tblCellMar>
      </w:tblPr>
      <w:tr>
        <w:trPr>
          <w:trHeight w:val="136"/>
        </w:trPr>
        <w:tc>
          <w:tcPr>
            <w:tcW w:w="5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00" w:type="dxa"/>
            <w:vAlign w:val="bottom"/>
            <w:tcBorders>
              <w:top w:val="single" w:sz="8" w:color="auto"/>
            </w:tcBorders>
          </w:tcPr>
          <w:p>
            <w:pPr>
              <w:jc w:val="right"/>
              <w:ind w:right="79"/>
              <w:spacing w:after="0" w:line="136"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gridSpan w:val="2"/>
          </w:tcPr>
          <w:p>
            <w:pPr>
              <w:jc w:val="right"/>
              <w:ind w:right="90"/>
              <w:spacing w:after="0" w:line="136"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1"/>
                <w:szCs w:val="1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1.02</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0.91</w:t>
            </w:r>
          </w:p>
        </w:tc>
        <w:tc>
          <w:tcPr>
            <w:tcW w:w="4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Finance Margin(1)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4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Adjusted Return on Average Common Book Equity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4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120" w:hanging="352"/>
        <w:spacing w:after="0" w:line="238" w:lineRule="auto"/>
        <w:tabs>
          <w:tab w:leader="none" w:pos="3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For the three months ended June 30, 2007 and 2006, operating lease income used to calculate the net finance margin includes amounts from discontinued operations of $342 and $2,712, respectively. For the three months ended June 30, 2007 and 2006, operating costs—corporate tenant lease assets used to calculate the net finance margin includes amounts from discontinued operations of $24 and $3,221, respectively.</w:t>
      </w:r>
    </w:p>
    <w:p>
      <w:pPr>
        <w:spacing w:after="0" w:line="129" w:lineRule="exact"/>
        <w:rPr>
          <w:sz w:val="20"/>
          <w:szCs w:val="20"/>
          <w:color w:val="auto"/>
        </w:rPr>
      </w:pPr>
    </w:p>
    <w:p>
      <w:pPr>
        <w:ind w:right="2320"/>
        <w:spacing w:after="0" w:line="344" w:lineRule="auto"/>
        <w:rPr>
          <w:sz w:val="20"/>
          <w:szCs w:val="20"/>
          <w:color w:val="auto"/>
        </w:rPr>
      </w:pPr>
      <w:r>
        <w:rPr>
          <w:rFonts w:ascii="Arial" w:cs="Arial" w:eastAsia="Arial" w:hAnsi="Arial"/>
          <w:sz w:val="18"/>
          <w:szCs w:val="18"/>
          <w:b w:val="1"/>
          <w:bCs w:val="1"/>
          <w:color w:val="auto"/>
        </w:rPr>
        <w:t xml:space="preserve">Results of Operations for the Three Months Ended June 30, 2007 compared to the Three Months Ended June 30, 2006 </w:t>
      </w:r>
      <w:r>
        <w:rPr>
          <w:rFonts w:ascii="Arial" w:cs="Arial" w:eastAsia="Arial" w:hAnsi="Arial"/>
          <w:sz w:val="18"/>
          <w:szCs w:val="18"/>
          <w:i w:val="1"/>
          <w:iCs w:val="1"/>
          <w:color w:val="auto"/>
        </w:rPr>
        <w:t>Revenue</w:t>
      </w:r>
    </w:p>
    <w:p>
      <w:pPr>
        <w:spacing w:after="0" w:line="27" w:lineRule="exact"/>
        <w:rPr>
          <w:sz w:val="20"/>
          <w:szCs w:val="20"/>
          <w:color w:val="auto"/>
        </w:rPr>
      </w:pPr>
    </w:p>
    <w:p>
      <w:pPr>
        <w:jc w:val="center"/>
        <w:ind w:left="3780"/>
        <w:spacing w:after="0"/>
        <w:rPr>
          <w:sz w:val="20"/>
          <w:szCs w:val="20"/>
          <w:color w:val="auto"/>
        </w:rPr>
      </w:pPr>
      <w:r>
        <w:rPr>
          <w:rFonts w:ascii="Arial" w:cs="Arial" w:eastAsia="Arial" w:hAnsi="Arial"/>
          <w:sz w:val="14"/>
          <w:szCs w:val="14"/>
          <w:b w:val="1"/>
          <w:bCs w:val="1"/>
          <w:color w:val="auto"/>
        </w:rPr>
        <w:t>For the Three Months</w:t>
      </w:r>
    </w:p>
    <w:p>
      <w:pPr>
        <w:jc w:val="center"/>
        <w:ind w:left="3780"/>
        <w:spacing w:after="0" w:line="221" w:lineRule="auto"/>
        <w:rPr>
          <w:sz w:val="20"/>
          <w:szCs w:val="20"/>
          <w:color w:val="auto"/>
        </w:rPr>
      </w:pPr>
      <w:r>
        <w:rPr>
          <w:rFonts w:ascii="Arial" w:cs="Arial" w:eastAsia="Arial" w:hAnsi="Arial"/>
          <w:sz w:val="14"/>
          <w:szCs w:val="14"/>
          <w:b w:val="1"/>
          <w:bCs w:val="1"/>
          <w:color w:val="auto"/>
        </w:rPr>
        <w:t>Ended June 30,</w:t>
      </w:r>
    </w:p>
    <w:p>
      <w:pPr>
        <w:ind w:left="6980"/>
        <w:spacing w:after="0"/>
        <w:tabs>
          <w:tab w:leader="none" w:pos="7900" w:val="left"/>
          <w:tab w:leader="none" w:pos="866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-89535</wp:posOffset>
            </wp:positionV>
            <wp:extent cx="10547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-97155</wp:posOffset>
            </wp:positionV>
            <wp:extent cx="10547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903" w:orient="portrait"/>
          <w:cols w:equalWidth="0" w:num="1">
            <w:col w:w="11380"/>
          </w:cols>
          <w:pgMar w:left="240" w:top="125" w:right="279" w:bottom="0" w:gutter="0" w:footer="0" w:header="0"/>
        </w:sectPr>
      </w:pPr>
    </w:p>
    <w:bookmarkStart w:id="19" w:name="page20"/>
    <w:bookmarkEnd w:id="19"/>
    <w:p>
      <w:pPr>
        <w:spacing w:after="0" w:line="38"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$ 192,165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$ 135,075</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lease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86,382</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81,336</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38,801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79%</w:t>
            </w:r>
          </w:p>
        </w:tc>
      </w:tr>
      <w:tr>
        <w:trPr>
          <w:trHeight w:val="210"/>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6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$ 317,348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$ 238,087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33%</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increase in total revenue in the second quarter of 2007 compared to the second quarter of 2006 was primarily due to increased interest income and other income. Higher interest income during this period resulted primarily from a $2.5 billion increase in the average outstanding balance of loans and other lending investments. The increase in interest income was partially offset by a lower average rate of return on our loans and lending investments, which decreased from 10.4% in the second quarter of 2006 to 9.9% in the second quarter of 2007.</w:t>
      </w:r>
    </w:p>
    <w:p>
      <w:pPr>
        <w:spacing w:after="0" w:line="6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Other income was higher in the second quarter of 2007 than the second quarter of 2006 primarily due to an increase in income from prepayment penalties. During the three months ended June 30, 2007, other income included income from loan prepayment penalties and loan repayments of $31.5 million, income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from strategic investments of $4.3 million, gross profit from timber operations of $0.9 million and other income of $2.1 million, consisting primarily of interest income on cash and net gains from foreign currency translations. During the three months ended June 30, 2006, other income included income from loan prepayment penalties and loan repayments of $10.1 million, lease termination fees of $6.9 million, income from strategic investments of $2.8 million, gross profit from timber operations of $0.4 million and other income of $1.5 million, consisting primarily of interest income on cash and net gains from foreign currency translations.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 the 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Ended June 30,</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$ 139,174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$ 101,302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During the second quarter of 2007, our average outstanding debt balance was $2.6 billion higher than it was during the same period in 2006, resulting in the majority of the increase in interest expense. This increase was partially offset by lower average rates, which decreased to 5.77% from 5.88% during the second quarters of 2007 and 2006, respectively.</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and Expenses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3"/>
              </w:rPr>
              <w:t>Ended June 30,</w:t>
            </w:r>
          </w:p>
        </w:tc>
        <w:tc>
          <w:tcPr>
            <w:tcW w:w="22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64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3"/>
          </w:tcPr>
          <w:p>
            <w:pPr>
              <w:jc w:val="center"/>
              <w:ind w:right="3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$ 10,722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22,827</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18,877</w:t>
            </w:r>
          </w:p>
        </w:tc>
        <w:tc>
          <w:tcPr>
            <w:tcW w:w="1180" w:type="dxa"/>
            <w:vAlign w:val="bottom"/>
            <w:gridSpan w:val="2"/>
          </w:tcPr>
          <w:p>
            <w:pPr>
              <w:jc w:val="right"/>
              <w:ind w:right="48"/>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39,423</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20,424</w:t>
            </w:r>
          </w:p>
        </w:tc>
        <w:tc>
          <w:tcPr>
            <w:tcW w:w="11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loan losses</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18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&gt;100%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costs and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74,683</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$ 52,023</w:t>
            </w:r>
          </w:p>
        </w:tc>
        <w:tc>
          <w:tcPr>
            <w:tcW w:w="11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other costs and expenses increased by approximately $22.7 million. This increase was primarily attributable to the increase in general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expenses which was mainly due to higher payroll related costs resulting from employee growth and increased stock 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 associated with restricted stock grants made in 2007. Also included in general and administrative expenses in the second quarter of 2007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 million in management and start-up fees associated with our investment in Newday. Depreciation and amortization increased primarily due to CTL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acquisitions. During the second quarter of 2007, additional provisions for loan losses of $5.0 million increased the reserve for loan losses. This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was based on our risk rating process and the increase in the size of our loan portfolio as further described in the “Risk Management” section.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were partially offset by a decrease in operating costs - corporate tenant lease assets due to a $4.9 million impairment charge taken on certain CTL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in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Components of Net Income</w:t>
      </w:r>
    </w:p>
    <w:p>
      <w:pPr>
        <w:spacing w:after="0" w:line="117"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i w:val="1"/>
          <w:iCs w:val="1"/>
          <w:color w:val="auto"/>
        </w:rPr>
        <w:t>Equity in (Loss) Earnings of Joint Ventures—</w:t>
      </w:r>
      <w:r>
        <w:rPr>
          <w:rFonts w:ascii="Arial" w:cs="Arial" w:eastAsia="Arial" w:hAnsi="Arial"/>
          <w:sz w:val="17"/>
          <w:szCs w:val="17"/>
          <w:color w:val="auto"/>
        </w:rPr>
        <w:t>The decrease in equity in (loss) earnings from joint ventures was primarily due to our $3.4 million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losses incurred by the TimberStar Southwest venture. There is no comparable income or loss in the second quarter of 2006, as we invested in this joint venture in the fourth quarter of 2006. Included in this loss is our $8.1 million share of depletion, depreciation and amortization in TimberStar Southwest for the second quarter of 2007. The overall decrease was partially offset by improved performance of our investment in Oak Hill.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5"/>
          <w:szCs w:val="15"/>
          <w:i w:val="1"/>
          <w:iCs w:val="1"/>
          <w:color w:val="auto"/>
        </w:rPr>
        <w:t>—</w:t>
      </w:r>
      <w:r>
        <w:rPr>
          <w:rFonts w:ascii="Arial" w:cs="Arial" w:eastAsia="Arial" w:hAnsi="Arial"/>
          <w:sz w:val="16"/>
          <w:szCs w:val="16"/>
          <w:color w:val="auto"/>
        </w:rPr>
        <w:t>For the three months ended June 30, 2007 and 2006, operating income earned by the Company on CTL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sold (prior to their sale) and assets held for sale of approximately $0.3 million and $3.4 million, respectively, is classified as discontinued operations.</w:t>
      </w:r>
    </w:p>
    <w:p>
      <w:pPr>
        <w:spacing w:after="0" w:line="16"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i w:val="1"/>
          <w:iCs w:val="1"/>
          <w:color w:val="auto"/>
        </w:rPr>
        <w:t>Gain from Discontinued Operations, net—</w:t>
      </w:r>
      <w:r>
        <w:rPr>
          <w:rFonts w:ascii="Arial" w:cs="Arial" w:eastAsia="Arial" w:hAnsi="Arial"/>
          <w:sz w:val="18"/>
          <w:szCs w:val="18"/>
          <w:color w:val="auto"/>
        </w:rPr>
        <w:t>We sold four CTL assets for net proceeds of $29.8 million during the three months ended June 30, 2007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gains of approximately $5.4 million. During the three months ended June 30, 2006, we disposed one CTL asset for net proceeds of $12.8 million and recognized a gain of approximately $2.4 million.</w:t>
      </w:r>
    </w:p>
    <w:p>
      <w:pPr>
        <w:spacing w:after="0" w:line="177" w:lineRule="exact"/>
        <w:rPr>
          <w:sz w:val="20"/>
          <w:szCs w:val="20"/>
          <w:color w:val="auto"/>
        </w:rPr>
      </w:pPr>
    </w:p>
    <w:p>
      <w:pPr>
        <w:ind w:right="2780"/>
        <w:spacing w:after="0" w:line="407" w:lineRule="auto"/>
        <w:rPr>
          <w:sz w:val="20"/>
          <w:szCs w:val="20"/>
          <w:color w:val="auto"/>
        </w:rPr>
      </w:pPr>
      <w:r>
        <w:rPr>
          <w:rFonts w:ascii="Arial" w:cs="Arial" w:eastAsia="Arial" w:hAnsi="Arial"/>
          <w:sz w:val="18"/>
          <w:szCs w:val="18"/>
          <w:b w:val="1"/>
          <w:bCs w:val="1"/>
          <w:color w:val="auto"/>
        </w:rPr>
        <w:t xml:space="preserve">Results of Operations for the Six Months Ended June 30, 2007 compared to the Six Months Ended June 30, 2006 </w:t>
      </w:r>
      <w:r>
        <w:rPr>
          <w:rFonts w:ascii="Arial" w:cs="Arial" w:eastAsia="Arial" w:hAnsi="Arial"/>
          <w:sz w:val="18"/>
          <w:szCs w:val="18"/>
          <w:i w:val="1"/>
          <w:iCs w:val="1"/>
          <w:color w:val="auto"/>
        </w:rPr>
        <w:t>Revenue</w:t>
      </w:r>
    </w:p>
    <w:p>
      <w:pPr>
        <w:spacing w:after="0" w:line="26" w:lineRule="exact"/>
        <w:rPr>
          <w:sz w:val="20"/>
          <w:szCs w:val="20"/>
          <w:color w:val="auto"/>
        </w:rPr>
      </w:pPr>
    </w:p>
    <w:p>
      <w:pPr>
        <w:jc w:val="center"/>
        <w:ind w:left="3800"/>
        <w:spacing w:after="0"/>
        <w:rPr>
          <w:sz w:val="20"/>
          <w:szCs w:val="20"/>
          <w:color w:val="auto"/>
        </w:rPr>
      </w:pPr>
      <w:r>
        <w:rPr>
          <w:rFonts w:ascii="Arial" w:cs="Arial" w:eastAsia="Arial" w:hAnsi="Arial"/>
          <w:sz w:val="14"/>
          <w:szCs w:val="14"/>
          <w:b w:val="1"/>
          <w:bCs w:val="1"/>
          <w:color w:val="auto"/>
        </w:rPr>
        <w:t>For the Six Months</w:t>
      </w:r>
    </w:p>
    <w:p>
      <w:pPr>
        <w:jc w:val="center"/>
        <w:ind w:left="3800"/>
        <w:spacing w:after="0" w:line="221" w:lineRule="auto"/>
        <w:rPr>
          <w:sz w:val="20"/>
          <w:szCs w:val="20"/>
          <w:color w:val="auto"/>
        </w:rPr>
      </w:pPr>
      <w:r>
        <w:rPr>
          <w:rFonts w:ascii="Arial" w:cs="Arial" w:eastAsia="Arial" w:hAnsi="Arial"/>
          <w:sz w:val="14"/>
          <w:szCs w:val="14"/>
          <w:b w:val="1"/>
          <w:bCs w:val="1"/>
          <w:color w:val="auto"/>
        </w:rPr>
        <w:t>Ended June 30,</w:t>
      </w:r>
    </w:p>
    <w:p>
      <w:pPr>
        <w:ind w:left="6980"/>
        <w:spacing w:after="0"/>
        <w:tabs>
          <w:tab w:leader="none" w:pos="7900" w:val="left"/>
          <w:tab w:leader="none" w:pos="866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r>
        <w:rPr>
          <w:sz w:val="20"/>
          <w:szCs w:val="20"/>
          <w:color w:val="auto"/>
        </w:rPr>
        <w:tab/>
      </w:r>
      <w:r>
        <w:rPr>
          <w:rFonts w:ascii="Arial" w:cs="Arial" w:eastAsia="Arial" w:hAnsi="Arial"/>
          <w:sz w:val="13"/>
          <w:szCs w:val="13"/>
          <w:b w:val="1"/>
          <w:bCs w:val="1"/>
          <w:u w:val="single" w:color="auto"/>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-89535</wp:posOffset>
            </wp:positionV>
            <wp:extent cx="10547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-97155</wp:posOffset>
            </wp:positionV>
            <wp:extent cx="10547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ectPr>
          <w:pgSz w:w="11900" w:h="16876" w:orient="portrait"/>
          <w:cols w:equalWidth="0" w:num="1">
            <w:col w:w="11420"/>
          </w:cols>
          <w:pgMar w:left="240" w:top="153" w:right="239" w:bottom="0" w:gutter="0" w:footer="0" w:header="0"/>
        </w:sectPr>
      </w:pPr>
    </w:p>
    <w:bookmarkStart w:id="20" w:name="page21"/>
    <w:bookmarkEnd w:id="20"/>
    <w:p>
      <w:pPr>
        <w:spacing w:after="0" w:line="39"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$ 373,025</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$ 261,124</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Operating lease income</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167,694</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162,991</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67,276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35,145</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w:t>
            </w:r>
          </w:p>
        </w:tc>
      </w:tr>
      <w:tr>
        <w:trPr>
          <w:trHeight w:val="210"/>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16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$ 607,995</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$ 459,260</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32%</w:t>
            </w: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increase in total revenue in the first half of 2007 compared to the first quarter of 2006 was primarily due to increased interest income and other income. Higher interest income during this period resulted primarily from a $2.4 billion increase in the average outstanding balance of loans and other lending investments. The increase in interest income was partially offset by a lower average rate of return on our loans and lending investments, which decreased from 10.4% in the first half of 2006 to 10.0% in the first quarter of 2007.</w:t>
      </w:r>
    </w:p>
    <w:p>
      <w:pPr>
        <w:spacing w:after="0" w:line="79"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Other income was higher in the first half of 2007 than the first half of 2006 primarily due to an increase in income from prepayment penalties on loans and income from a participation feature in one of our loans. During the six months ended June 30, 2007, other income included income from loan prepayment penalties and loan repayments of $32.2 million, income from a loan participation feature of $19.0 million, income from strategic investments of $6.0 million, gains on sales of securities of $2.6 million, gross profit from timber operations of $1.9 million and other income of $5.6 million consisting primarily of interest income on cash and net gains from foreign currency translations. During the six months ended June 30, 2006, other income included income from loan prepayment penalties and loan repayments of $18.1 million, lease termination fees of $6.9 million, income from strategic investments of $4.1 million, gross profit from timber operations of $3.0 million and other income of $3.0 million, consisting primarily of interest income on cash and net gains from foreign currency translations.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7" w:lineRule="exact"/>
        <w:rPr>
          <w:sz w:val="20"/>
          <w:szCs w:val="20"/>
          <w:color w:val="auto"/>
        </w:rPr>
      </w:pPr>
    </w:p>
    <w:tbl>
      <w:tblPr>
        <w:tblLayout w:type="fixed"/>
        <w:tblInd w:w="186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For the Six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Ended June 30,</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tcPr>
          <w:p>
            <w:pPr>
              <w:jc w:val="right"/>
              <w:ind w:right="139"/>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$ 267,701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$ 194,785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60" w:firstLine="360"/>
        <w:spacing w:after="0" w:line="277" w:lineRule="auto"/>
        <w:rPr>
          <w:sz w:val="20"/>
          <w:szCs w:val="20"/>
          <w:color w:val="auto"/>
        </w:rPr>
      </w:pPr>
      <w:r>
        <w:rPr>
          <w:rFonts w:ascii="Arial" w:cs="Arial" w:eastAsia="Arial" w:hAnsi="Arial"/>
          <w:sz w:val="18"/>
          <w:szCs w:val="18"/>
          <w:color w:val="auto"/>
        </w:rPr>
        <w:t>During the first half of 2007, our average outstanding debt balance was $2.4 billion higher than it was during the same period in 2006, resulting in the majority of the increase in interest expense. The average rates remained consistent from 2006 to 2007.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and Expenses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3"/>
              </w:rPr>
              <w:t>For the Six Months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3"/>
              </w:rPr>
              <w:t>Ended June 30,</w:t>
            </w:r>
          </w:p>
        </w:tc>
        <w:tc>
          <w:tcPr>
            <w:tcW w:w="22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8"/>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tcPr>
          <w:p>
            <w:pPr>
              <w:jc w:val="center"/>
              <w:ind w:right="3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$ 16,121</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42,869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37,502</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11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&gt;100%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costs and expenses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144,085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$ 96,179</w:t>
            </w:r>
          </w:p>
        </w:tc>
        <w:tc>
          <w:tcPr>
            <w:tcW w:w="118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Total other costs and expenses increased by approximately $47.9 million. This increase was primarily attributable to the increase in general and administrative expenses which was mainly due to higher payroll related costs resulting from employee growth and increased stock based compensation expense associated with restricted stock grants made in 2007. Also included in general and administrative expenses in the first half of 2007 is $4.4 million in management and start-up fees associated with our investment in Newday as well as $2.4 million in fees associated with our bond consent solicitation in January 2007. Depreciation and amortization increased primarily due to CTL acquisitions. During 2007, additional provisions for loan losses of $10.0 million increased the reserve for loan losses. This increase in the reserve was based on our risk rating process and the increase in the size of our loan portfolio as further described in the “Risk Management” section. These increases were partially offset by a decrease in operating costs - corporate tenant lease assets due to a $4.9 million impairment charge taken on certain CTL assets in 2006.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Components of Net Income</w:t>
      </w:r>
    </w:p>
    <w:p>
      <w:pPr>
        <w:spacing w:after="0" w:line="117" w:lineRule="exact"/>
        <w:rPr>
          <w:sz w:val="20"/>
          <w:szCs w:val="20"/>
          <w:color w:val="auto"/>
        </w:rPr>
      </w:pPr>
    </w:p>
    <w:p>
      <w:pPr>
        <w:jc w:val="both"/>
        <w:ind w:right="60" w:firstLine="360"/>
        <w:spacing w:after="0" w:line="279" w:lineRule="auto"/>
        <w:rPr>
          <w:sz w:val="20"/>
          <w:szCs w:val="20"/>
          <w:color w:val="auto"/>
        </w:rPr>
      </w:pPr>
      <w:r>
        <w:rPr>
          <w:rFonts w:ascii="Arial" w:cs="Arial" w:eastAsia="Arial" w:hAnsi="Arial"/>
          <w:sz w:val="17"/>
          <w:szCs w:val="17"/>
          <w:i w:val="1"/>
          <w:iCs w:val="1"/>
          <w:color w:val="auto"/>
        </w:rPr>
        <w:t>Equity in (Loss) Earnings of Joint Ventures—</w:t>
      </w:r>
      <w:r>
        <w:rPr>
          <w:rFonts w:ascii="Arial" w:cs="Arial" w:eastAsia="Arial" w:hAnsi="Arial"/>
          <w:sz w:val="17"/>
          <w:szCs w:val="17"/>
          <w:color w:val="auto"/>
        </w:rPr>
        <w:t>The decrease in equity in (loss) earnings from joint ventures was primarily due to our $7.2 million share of</w:t>
      </w:r>
      <w:r>
        <w:rPr>
          <w:rFonts w:ascii="Arial" w:cs="Arial" w:eastAsia="Arial" w:hAnsi="Arial"/>
          <w:sz w:val="17"/>
          <w:szCs w:val="17"/>
          <w:i w:val="1"/>
          <w:iCs w:val="1"/>
          <w:color w:val="auto"/>
        </w:rPr>
        <w:t xml:space="preserve"> </w:t>
      </w:r>
      <w:r>
        <w:rPr>
          <w:rFonts w:ascii="Arial" w:cs="Arial" w:eastAsia="Arial" w:hAnsi="Arial"/>
          <w:sz w:val="17"/>
          <w:szCs w:val="17"/>
          <w:color w:val="auto"/>
        </w:rPr>
        <w:t>losses incurred by the TimberStar Southwest venture. There is no comparable income or loss for first half of 2006, as we entered into this joint venture in the fourth quarter of 2006. Included in this loss was our $17.3 million share of depletion, depreciation and amortization in TimberStar Southwest for the first half of of 2007. The overall decrease was partially offset by improved performance of our investment in Oak Hill.</w:t>
      </w:r>
    </w:p>
    <w:p>
      <w:pPr>
        <w:spacing w:after="0" w:line="63"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i w:val="1"/>
          <w:iCs w:val="1"/>
          <w:color w:val="auto"/>
        </w:rPr>
        <w:t>Income from discontinued operations</w:t>
      </w:r>
      <w:r>
        <w:rPr>
          <w:rFonts w:ascii="Arial" w:cs="Arial" w:eastAsia="Arial" w:hAnsi="Arial"/>
          <w:sz w:val="15"/>
          <w:szCs w:val="15"/>
          <w:i w:val="1"/>
          <w:iCs w:val="1"/>
          <w:color w:val="auto"/>
        </w:rPr>
        <w:t>—</w:t>
      </w:r>
      <w:r>
        <w:rPr>
          <w:rFonts w:ascii="Arial" w:cs="Arial" w:eastAsia="Arial" w:hAnsi="Arial"/>
          <w:sz w:val="16"/>
          <w:szCs w:val="16"/>
          <w:color w:val="auto"/>
        </w:rPr>
        <w:t>For the six months ended June 30, 2007 and 2006, operating income earned by the Company on CTL assets sold</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their sale) and assets held for sale of approximately $1.0 million and $5.7 million, respectively, is classified as discontinued operations.</w:t>
      </w:r>
    </w:p>
    <w:p>
      <w:pPr>
        <w:spacing w:after="0" w:line="16"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i w:val="1"/>
          <w:iCs w:val="1"/>
          <w:color w:val="auto"/>
        </w:rPr>
        <w:t>Gain from Discontinued Operations, net—</w:t>
      </w:r>
      <w:r>
        <w:rPr>
          <w:rFonts w:ascii="Arial" w:cs="Arial" w:eastAsia="Arial" w:hAnsi="Arial"/>
          <w:sz w:val="18"/>
          <w:szCs w:val="18"/>
          <w:color w:val="auto"/>
        </w:rPr>
        <w:t>We sold six CTL assets during the six months ended June 30, 2007 for net proceeds of $64.7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gains of approximately $6.8 million. During the six months ended 2006, we disposed of three CTL assets for net proceeds of $21.9 million and recognized gains of approximately $4.5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121"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We measure our performance using adjusted earnings in addition to net income. Adjusted earnings represents net income allocable to common shareholders and HPU holders computed in accordance with GAAP, before depreciation, depletion, amortization, gain from discontinued operations, extraordinary items and cumulative effect of change in accounting principle. Adjustments for joint ventures reflect our share of adjusted earnings calculated on the same basis.</w:t>
      </w:r>
    </w:p>
    <w:p>
      <w:pPr>
        <w:spacing w:after="0" w:line="79"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w:t>
      </w:r>
    </w:p>
    <w:p>
      <w:pPr>
        <w:sectPr>
          <w:pgSz w:w="11900" w:h="16877" w:orient="portrait"/>
          <w:cols w:equalWidth="0" w:num="1">
            <w:col w:w="11420"/>
          </w:cols>
          <w:pgMar w:left="240" w:top="153" w:right="239" w:bottom="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necessarily indicative of current operating performance. The most significant GAAP adjustments that we exclude in determining adjusted earnings are depreciation, depletion and amortization, which are typically non-cash charges. As a commercial finance company that focuses on real estate lending and corporate tenant leasing, we record significant depreciation on our real estate assets and amortization of deferred financing costs associated with our borrowings. We also record depletion on our timber assets.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gains or losses from the sale of assets that will no longer be part of continuing operations.</w:t>
      </w:r>
    </w:p>
    <w:p>
      <w:pPr>
        <w:spacing w:after="0" w:line="59"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liquidity or funds available for our cash needs or for distribution to our shareholders. In addition, we may not calculate adjusted earnings in the same manner as other companies that use a similarly titled measure.</w:t>
      </w:r>
    </w:p>
    <w:p>
      <w:pPr>
        <w:spacing w:after="0" w:line="13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06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2"/>
              </w:rPr>
              <w:t>For the</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8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Three Months Ended</w:t>
            </w:r>
          </w:p>
        </w:tc>
        <w:tc>
          <w:tcPr>
            <w:tcW w:w="18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4"/>
          </w:tcPr>
          <w:p>
            <w:pPr>
              <w:jc w:val="right"/>
              <w:ind w:right="600"/>
              <w:spacing w:after="0" w:line="129"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Net income before preferred dividend requirement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$ 109,062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90,499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$ 203,161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$ 178,486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depletion and 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Add: Joint venture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 Joint venture depreciation, depletion and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20,585</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Add: Amortization of deferred financing costs</w:t>
            </w:r>
          </w:p>
        </w:tc>
        <w:tc>
          <w:tcPr>
            <w:tcW w:w="720" w:type="dxa"/>
            <w:vAlign w:val="bottom"/>
          </w:tcPr>
          <w:p>
            <w:pPr>
              <w:jc w:val="right"/>
              <w:spacing w:after="0"/>
              <w:rPr>
                <w:sz w:val="20"/>
                <w:szCs w:val="20"/>
                <w:color w:val="auto"/>
              </w:rPr>
            </w:pPr>
            <w:r>
              <w:rPr>
                <w:rFonts w:ascii="Arial" w:cs="Arial" w:eastAsia="Arial" w:hAnsi="Arial"/>
                <w:sz w:val="18"/>
                <w:szCs w:val="18"/>
                <w:color w:val="auto"/>
              </w:rPr>
              <w:t>6,713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6,155</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13,157</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Gains from discontinued operations, net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(6,778)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Less: Preferred dividend requirement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(10,580)</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(10,580)</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(21,160)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(21,160)</w:t>
            </w:r>
          </w:p>
        </w:tc>
        <w:tc>
          <w:tcPr>
            <w:tcW w:w="0" w:type="dxa"/>
            <w:vAlign w:val="bottom"/>
          </w:tcPr>
          <w:p>
            <w:pPr>
              <w:spacing w:after="0"/>
              <w:rPr>
                <w:sz w:val="1"/>
                <w:szCs w:val="1"/>
                <w:color w:val="auto"/>
              </w:rPr>
            </w:pPr>
          </w:p>
        </w:tc>
      </w:tr>
      <w:tr>
        <w:trPr>
          <w:trHeight w:val="182"/>
        </w:trPr>
        <w:tc>
          <w:tcPr>
            <w:tcW w:w="4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6"/>
              </w:rPr>
              <w:t>Adjusted diluted earnings allocable to common shareholders</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$ 132,978</w:t>
            </w: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106,496</w:t>
            </w:r>
          </w:p>
        </w:tc>
        <w:tc>
          <w:tcPr>
            <w:tcW w:w="2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$ 254,270</w:t>
            </w: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$ 211,599</w:t>
            </w: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HPU holders(1)</w:t>
            </w: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127,963</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114,404</w:t>
            </w:r>
          </w:p>
        </w:tc>
        <w:tc>
          <w:tcPr>
            <w:tcW w:w="220" w:type="dxa"/>
            <w:vAlign w:val="bottom"/>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127,915</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114,381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40" w:hanging="352"/>
        <w:spacing w:after="0" w:line="234" w:lineRule="auto"/>
        <w:tabs>
          <w:tab w:leader="none" w:pos="343" w:val="left"/>
        </w:tabs>
        <w:numPr>
          <w:ilvl w:val="0"/>
          <w:numId w:val="13"/>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For the three months ended June 30, 2007 and 2006 adjusted diluted earnings allocable to common shareholders and HPU holders includes $2,886 and $2,578 of adjusted earnings allocable to HPU holders, respectively. For the six months ended June 30, 2007 and 2006 adjusted diluted earnings allocable to common shareholders and HPU holders includes $5,519 and $5,124 of adjusted earnings allocable to HPU holders, respectively.</w:t>
      </w:r>
    </w:p>
    <w:p>
      <w:pPr>
        <w:spacing w:after="0" w:line="187" w:lineRule="exact"/>
        <w:rPr>
          <w:sz w:val="20"/>
          <w:szCs w:val="20"/>
          <w:color w:val="auto"/>
        </w:rPr>
      </w:pPr>
    </w:p>
    <w:p>
      <w:pPr>
        <w:ind w:right="620" w:firstLine="360"/>
        <w:spacing w:after="0" w:line="259" w:lineRule="auto"/>
        <w:rPr>
          <w:sz w:val="20"/>
          <w:szCs w:val="20"/>
          <w:color w:val="auto"/>
        </w:rPr>
      </w:pPr>
      <w:r>
        <w:rPr>
          <w:rFonts w:ascii="Arial" w:cs="Arial" w:eastAsia="Arial" w:hAnsi="Arial"/>
          <w:sz w:val="18"/>
          <w:szCs w:val="18"/>
          <w:color w:val="auto"/>
        </w:rPr>
        <w:t>The increase in adjusted earnings is driven primarily by the increase in our net income as explained in the Results of Operations section above. Additionally, adjusted earnings increased due the changes in certain non-cash charges that are added back to net income to arrive at adjusted earnings. Specifically, joint venture depreciation, depletion and amortization increased by $7.0 million for the second quarter of 2007 compared to 2006, and $15.1 million for the first half of 2007 compared to 2006 primarily due to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share of depletion recorded by the TimberStar Southwest venture which was formed in the fourth quarter of 2006.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i w:val="1"/>
          <w:iCs w:val="1"/>
          <w:color w:val="auto"/>
        </w:rPr>
        <w:t>Loan Credit Statistics—</w:t>
      </w:r>
      <w:r>
        <w:rPr>
          <w:rFonts w:ascii="Arial" w:cs="Arial" w:eastAsia="Arial" w:hAnsi="Arial"/>
          <w:sz w:val="18"/>
          <w:szCs w:val="18"/>
          <w:color w:val="auto"/>
        </w:rPr>
        <w:t>The table below summarizes our non-performing loans and details the reserve for loan losses associated with our loans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3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5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9"/>
              </w:rPr>
              <w:t>June 30,</w:t>
            </w:r>
          </w:p>
        </w:tc>
        <w:tc>
          <w:tcPr>
            <w:tcW w:w="9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December 31,</w:t>
            </w:r>
          </w:p>
        </w:tc>
      </w:tr>
      <w:tr>
        <w:trPr>
          <w:trHeight w:val="162"/>
        </w:trPr>
        <w:tc>
          <w:tcPr>
            <w:tcW w:w="5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Borders>
              <w:bottom w:val="single" w:sz="8" w:color="CCEEFF"/>
            </w:tcBorders>
          </w:tcPr>
          <w:p>
            <w:pPr>
              <w:spacing w:after="0"/>
              <w:rPr>
                <w:sz w:val="14"/>
                <w:szCs w:val="14"/>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non-performing loans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2"/>
              </w:rPr>
              <w:t>213,085</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$ 61,480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As a percentage of total assets</w:t>
            </w:r>
          </w:p>
        </w:tc>
        <w:tc>
          <w:tcPr>
            <w:tcW w:w="16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loans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Reserve for loan losses</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7"/>
              <w:spacing w:after="0"/>
              <w:rPr>
                <w:sz w:val="20"/>
                <w:szCs w:val="20"/>
                <w:color w:val="auto"/>
              </w:rPr>
            </w:pPr>
            <w:r>
              <w:rPr>
                <w:rFonts w:ascii="Arial" w:cs="Arial" w:eastAsia="Arial" w:hAnsi="Arial"/>
                <w:sz w:val="18"/>
                <w:szCs w:val="18"/>
                <w:color w:val="auto"/>
              </w:rPr>
              <w:t>62,201</w:t>
            </w:r>
          </w:p>
        </w:tc>
        <w:tc>
          <w:tcPr>
            <w:tcW w:w="220" w:type="dxa"/>
            <w:vAlign w:val="bottom"/>
          </w:tcPr>
          <w:p>
            <w:pPr>
              <w:spacing w:after="0"/>
              <w:rPr>
                <w:sz w:val="18"/>
                <w:szCs w:val="18"/>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color w:val="auto"/>
              </w:rPr>
              <w:t>$ 52,201</w:t>
            </w:r>
          </w:p>
        </w:tc>
        <w:tc>
          <w:tcPr>
            <w:tcW w:w="6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loans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i w:val="1"/>
          <w:iCs w:val="1"/>
          <w:color w:val="auto"/>
        </w:rPr>
        <w:t>Non-Performing Loans—</w:t>
      </w:r>
      <w:r>
        <w:rPr>
          <w:rFonts w:ascii="Arial" w:cs="Arial" w:eastAsia="Arial" w:hAnsi="Arial"/>
          <w:sz w:val="17"/>
          <w:szCs w:val="17"/>
          <w:color w:val="auto"/>
        </w:rPr>
        <w:t>All non-performing loans are placed on non-accrual status where income is recognized only upon actual cash receipt. We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designate loans as non-performing at such time as: (1) management determines the borrower is incapable of, or has ceased efforts towards, curing the cause of an impairment; (2) the loan becomes 90 days delinquent; (3) the loan has a maturity default; or (4) the net realizable value of the loan’s underlying collateral approximates our carrying value of such loan. As of June 30, 2007, we had seven non-performing loans with an aggregate carrying value of $213.1 million, or 1.7% of total assets. Management believes there is adequate collateral to support the book values of the loans.</w:t>
      </w:r>
    </w:p>
    <w:p>
      <w:pPr>
        <w:spacing w:after="0" w:line="10"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Watch List Assets—</w:t>
      </w:r>
      <w:r>
        <w:rPr>
          <w:rFonts w:ascii="Arial" w:cs="Arial" w:eastAsia="Arial" w:hAnsi="Arial"/>
          <w:sz w:val="18"/>
          <w:szCs w:val="18"/>
          <w:color w:val="auto"/>
        </w:rPr>
        <w:t>We conduct a quarterly comprehensive credit review, resulting in an individual risk rating being assigned to each asset. This review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enable management to evaluate and proactively manage asset-specific credit issues and identify credit trends on a portfolio-wide basis as an “early warning system.” As of June 30, 2007, we had five assets on the credit watch list, excluding those assets included in non-performing loans above, with an aggregate carrying value of $178.6 million, or 1.5% of total assets.</w:t>
      </w:r>
    </w:p>
    <w:p>
      <w:pPr>
        <w:sectPr>
          <w:pgSz w:w="11900" w:h="16838" w:orient="portrait"/>
          <w:cols w:equalWidth="0" w:num="1">
            <w:col w:w="11420"/>
          </w:cols>
          <w:pgMar w:left="240" w:top="125" w:right="239" w:bottom="88" w:gutter="0" w:footer="0" w:header="0"/>
        </w:sectPr>
      </w:pPr>
    </w:p>
    <w:bookmarkStart w:id="22" w:name="page23"/>
    <w:bookmarkEnd w:id="22"/>
    <w:p>
      <w:pPr>
        <w:spacing w:after="0" w:line="15" w:lineRule="exact"/>
        <w:rPr>
          <w:sz w:val="20"/>
          <w:szCs w:val="20"/>
          <w:color w:val="auto"/>
        </w:rPr>
      </w:pPr>
    </w:p>
    <w:p>
      <w:pPr>
        <w:ind w:right="400" w:firstLine="360"/>
        <w:spacing w:after="0" w:line="257"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—During the first half of 2007, we added $10.0 million to the reserve for loan losses, maintaining the same 0.9% ratio of</w:t>
      </w:r>
      <w:r>
        <w:rPr>
          <w:rFonts w:ascii="Arial" w:cs="Arial" w:eastAsia="Arial" w:hAnsi="Arial"/>
          <w:sz w:val="18"/>
          <w:szCs w:val="18"/>
          <w:i w:val="1"/>
          <w:iCs w:val="1"/>
          <w:color w:val="auto"/>
        </w:rPr>
        <w:t xml:space="preserve"> </w:t>
      </w:r>
      <w:r>
        <w:rPr>
          <w:rFonts w:ascii="Arial" w:cs="Arial" w:eastAsia="Arial" w:hAnsi="Arial"/>
          <w:sz w:val="18"/>
          <w:szCs w:val="18"/>
          <w:color w:val="auto"/>
        </w:rPr>
        <w:t>reserves to total loans as at December 31, 2006. Adjustments to the reserve for loan losses are based on management’s evaluation of general market conditions, the Company’s internal risk management policies and credit risk ratings system, industry loss experience, the likelihood of delinquencies or defaults, the credit quality of the underlying collateral and changes in the size of the loan portfolio. Reserves are increased through the provision for loan losses, which reduces income in the period recorded.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the expansion of our real estate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95" w:lineRule="auto"/>
        <w:rPr>
          <w:sz w:val="20"/>
          <w:szCs w:val="20"/>
          <w:color w:val="auto"/>
        </w:rPr>
      </w:pPr>
      <w:r>
        <w:rPr>
          <w:rFonts w:ascii="Arial" w:cs="Arial" w:eastAsia="Arial" w:hAnsi="Arial"/>
          <w:sz w:val="16"/>
          <w:szCs w:val="16"/>
          <w:color w:val="auto"/>
        </w:rPr>
        <w:t>We believe that our existing sources of funds will be adequate for purposes of meeting our short- and long-term liquidity needs. Our ability to meet our long-term (i.e., beyond one year) liquidity requirements is subject to obtaining additional debt and equity financing. Any decision by our lenders and investors to provide us with financing will depend upon a number of factors, such as our compliance with the terms of existing credit arrangements, our financial performance,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4"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following table outlines the contractual obligations related to our long-term debt agreements and operating lease obligations as of June 30, 2007. We have no other long-term liabilities that would constitute a contractual obligation.</w:t>
      </w:r>
    </w:p>
    <w:p>
      <w:pPr>
        <w:spacing w:after="0" w:line="9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4"/>
                <w:szCs w:val="14"/>
                <w:b w:val="1"/>
                <w:bCs w:val="1"/>
                <w:color w:val="auto"/>
              </w:rPr>
              <w:t>Principal Payments Due By Period(1)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right"/>
              <w:ind w:right="35"/>
              <w:spacing w:after="0" w:line="102" w:lineRule="exact"/>
              <w:rPr>
                <w:sz w:val="20"/>
                <w:szCs w:val="20"/>
                <w:color w:val="auto"/>
              </w:rPr>
            </w:pPr>
            <w:r>
              <w:rPr>
                <w:rFonts w:ascii="Arial" w:cs="Arial" w:eastAsia="Arial" w:hAnsi="Arial"/>
                <w:sz w:val="11"/>
                <w:szCs w:val="11"/>
                <w:b w:val="1"/>
                <w:bCs w:val="1"/>
                <w:color w:val="auto"/>
              </w:rPr>
              <w:t>Less Than</w:t>
            </w:r>
          </w:p>
        </w:tc>
        <w:tc>
          <w:tcPr>
            <w:tcW w:w="1100" w:type="dxa"/>
            <w:vAlign w:val="bottom"/>
            <w:gridSpan w:val="2"/>
          </w:tcPr>
          <w:p>
            <w:pPr>
              <w:jc w:val="right"/>
              <w:ind w:right="237"/>
              <w:spacing w:after="0" w:line="102" w:lineRule="exact"/>
              <w:rPr>
                <w:sz w:val="20"/>
                <w:szCs w:val="20"/>
                <w:color w:val="auto"/>
              </w:rPr>
            </w:pPr>
            <w:r>
              <w:rPr>
                <w:rFonts w:ascii="Arial" w:cs="Arial" w:eastAsia="Arial" w:hAnsi="Arial"/>
                <w:sz w:val="11"/>
                <w:szCs w:val="11"/>
                <w:b w:val="1"/>
                <w:bCs w:val="1"/>
                <w:color w:val="auto"/>
              </w:rPr>
              <w:t>2 - 3</w:t>
            </w:r>
          </w:p>
        </w:tc>
        <w:tc>
          <w:tcPr>
            <w:tcW w:w="1100" w:type="dxa"/>
            <w:vAlign w:val="bottom"/>
            <w:gridSpan w:val="2"/>
          </w:tcPr>
          <w:p>
            <w:pPr>
              <w:jc w:val="right"/>
              <w:ind w:right="234"/>
              <w:spacing w:after="0" w:line="102" w:lineRule="exact"/>
              <w:rPr>
                <w:sz w:val="20"/>
                <w:szCs w:val="20"/>
                <w:color w:val="auto"/>
              </w:rPr>
            </w:pPr>
            <w:r>
              <w:rPr>
                <w:rFonts w:ascii="Arial" w:cs="Arial" w:eastAsia="Arial" w:hAnsi="Arial"/>
                <w:sz w:val="11"/>
                <w:szCs w:val="11"/>
                <w:b w:val="1"/>
                <w:bCs w:val="1"/>
                <w:color w:val="auto"/>
              </w:rPr>
              <w:t>4 - 5</w:t>
            </w:r>
          </w:p>
        </w:tc>
        <w:tc>
          <w:tcPr>
            <w:tcW w:w="1100" w:type="dxa"/>
            <w:vAlign w:val="bottom"/>
            <w:gridSpan w:val="2"/>
          </w:tcPr>
          <w:p>
            <w:pPr>
              <w:jc w:val="right"/>
              <w:ind w:right="213"/>
              <w:spacing w:after="0" w:line="102" w:lineRule="exact"/>
              <w:rPr>
                <w:sz w:val="20"/>
                <w:szCs w:val="20"/>
                <w:color w:val="auto"/>
              </w:rPr>
            </w:pPr>
            <w:r>
              <w:rPr>
                <w:rFonts w:ascii="Arial" w:cs="Arial" w:eastAsia="Arial" w:hAnsi="Arial"/>
                <w:sz w:val="11"/>
                <w:szCs w:val="11"/>
                <w:b w:val="1"/>
                <w:bCs w:val="1"/>
                <w:color w:val="auto"/>
              </w:rPr>
              <w:t>6 -10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35"/>
              <w:spacing w:after="0" w:line="102" w:lineRule="exact"/>
              <w:rPr>
                <w:sz w:val="20"/>
                <w:szCs w:val="20"/>
                <w:color w:val="auto"/>
              </w:rPr>
            </w:pPr>
            <w:r>
              <w:rPr>
                <w:rFonts w:ascii="Arial" w:cs="Arial" w:eastAsia="Arial" w:hAnsi="Arial"/>
                <w:sz w:val="11"/>
                <w:szCs w:val="11"/>
                <w:b w:val="1"/>
                <w:bCs w:val="1"/>
                <w:color w:val="auto"/>
              </w:rPr>
              <w:t>After 10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80" w:type="dxa"/>
            <w:vAlign w:val="bottom"/>
          </w:tcPr>
          <w:p>
            <w:pPr>
              <w:jc w:val="right"/>
              <w:ind w:right="197"/>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88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880" w:type="dxa"/>
            <w:vAlign w:val="bottom"/>
          </w:tcPr>
          <w:p>
            <w:pPr>
              <w:jc w:val="right"/>
              <w:ind w:right="193"/>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3"/>
          </w:tcPr>
          <w:p>
            <w:pPr>
              <w:jc w:val="right"/>
              <w:ind w:right="614"/>
              <w:spacing w:after="0" w:line="12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Long-Term Debt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Obligations (1):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Unsecured notes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7,217,022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$ 1,875,331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$ 2,350,000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$ 2,406,691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Unsecured revolving</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facilities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1,305,718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1,305,718</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Secured term loans(3)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492,546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171,196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141,754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36,748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58,202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9,115,286</w:t>
            </w:r>
          </w:p>
        </w:tc>
        <w:tc>
          <w:tcPr>
            <w:tcW w:w="2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756,196</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2,017,085</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3,692,466</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2,464,893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184,646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2,493,025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499,078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862,661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564,277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40" w:type="dxa"/>
            <w:vAlign w:val="bottom"/>
          </w:tcPr>
          <w:p>
            <w:pPr>
              <w:spacing w:after="0" w:line="198" w:lineRule="exact"/>
              <w:rPr>
                <w:sz w:val="20"/>
                <w:szCs w:val="20"/>
                <w:color w:val="auto"/>
              </w:rPr>
            </w:pPr>
            <w:r>
              <w:rPr>
                <w:rFonts w:ascii="Arial" w:cs="Arial" w:eastAsia="Arial" w:hAnsi="Arial"/>
                <w:sz w:val="18"/>
                <w:szCs w:val="18"/>
                <w:b w:val="1"/>
                <w:bCs w:val="1"/>
                <w:color w:val="auto"/>
              </w:rPr>
              <w:t>Operating Lease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ind w:left="160"/>
              <w:spacing w:after="0"/>
              <w:rPr>
                <w:sz w:val="20"/>
                <w:szCs w:val="20"/>
                <w:color w:val="auto"/>
              </w:rPr>
            </w:pPr>
            <w:r>
              <w:rPr>
                <w:rFonts w:ascii="Arial" w:cs="Arial" w:eastAsia="Arial" w:hAnsi="Arial"/>
                <w:sz w:val="18"/>
                <w:szCs w:val="18"/>
                <w:b w:val="1"/>
                <w:bCs w:val="1"/>
                <w:color w:val="auto"/>
              </w:rPr>
              <w:t>Obligations:(3)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46,424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9,839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6,679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12,946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11,654,735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1,260,926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$ 2,889,585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$ 4,263,422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$ 2,907,214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333,588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Assumes exercise of extensions on our long-term debt obligations to the extent such extensions are at our option.</w:t>
      </w:r>
    </w:p>
    <w:p>
      <w:pPr>
        <w:ind w:left="360" w:hanging="352"/>
        <w:spacing w:after="0" w:line="221"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5.32% (the 30-day LIBOR rate at June 30, 2007).</w:t>
      </w:r>
    </w:p>
    <w:p>
      <w:pPr>
        <w:ind w:left="360" w:hanging="352"/>
        <w:spacing w:after="0" w:line="221"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our primary corporate office lease.</w:t>
      </w:r>
    </w:p>
    <w:p>
      <w:pPr>
        <w:ind w:left="360" w:right="280" w:hanging="352"/>
        <w:spacing w:after="0" w:line="237" w:lineRule="auto"/>
        <w:tabs>
          <w:tab w:leader="none" w:pos="343"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$43.7 million as additional collateral for five of our investments. See “Off-Balance Sheet Transactions” below, for a discussion of certain unfunded commitments related to our lending and CTL business.</w:t>
      </w:r>
    </w:p>
    <w:p>
      <w:pPr>
        <w:spacing w:after="0" w:line="80"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primary source of short-term funds is an aggregate of $3.40 billion of credit available under two committed unsecured revolving credit facilities, which includes our existing $2.20 billion facility, maturing in June 2011, as well as our new $1.20 billion facility, maturing in June 2012, entered into during the second quarter, as described further below. As of June 30, 2007, there was approximately $2.05 billion which was immediately available to draw under these facilities at our discretion. Both facilities remain fully available throughout their respective terms so long as we comply with certain financial covenants, all of which we were in compliance with as of June 30, 2007. In addition, we have one $500.0 million secured revolving credit facility for which availability is based on percentage borrowing base calculations.</w:t>
      </w:r>
    </w:p>
    <w:p>
      <w:pPr>
        <w:spacing w:after="0" w:line="85"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One of our unsecured revolving credit facilities is a new facility we completed on June 26, 2007 with leading financial institutions having a maximum capacity of $1.20 billion. Commitments under this facility will mature on June 26, 2012. Borrowings under this credit agreement, which may be made in multiple currencies, will bear interest at a floating rate based upon one of several base rates which will vary depending upon the currency of the borrowing, plus a margin which adjusts upward or downward based upon our corporate credit rating. Non-US dollar borrowings under the facility will be initially guaranteed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by our subsidiaries that hold exclusively foreign assets. As of June 30, 2007, there were no outstanding borrowings under this facility and all $1.20 billion was immediately availabe to be drawn at our discretion.</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On June 26, 2007, we also amended and restated our existing $2.20 billion revolving credit agreement to conform various covenants and provisions to those in the new $1.20 billion revolving credit agreement. Non-US dollar borrowing under the amended and restated $2.20 billion revolving credit agreement will be initially guaranteed by our subsidiaries that hold exclusively foreign assets.</w:t>
      </w:r>
    </w:p>
    <w:p>
      <w:pPr>
        <w:spacing w:after="0" w:line="60" w:lineRule="exact"/>
        <w:rPr>
          <w:sz w:val="20"/>
          <w:szCs w:val="20"/>
          <w:color w:val="auto"/>
        </w:rPr>
      </w:pPr>
    </w:p>
    <w:p>
      <w:pPr>
        <w:ind w:right="100" w:firstLine="360"/>
        <w:spacing w:after="0" w:line="342" w:lineRule="auto"/>
        <w:rPr>
          <w:sz w:val="20"/>
          <w:szCs w:val="20"/>
          <w:color w:val="auto"/>
        </w:rPr>
      </w:pPr>
      <w:r>
        <w:rPr>
          <w:rFonts w:ascii="Arial" w:cs="Arial" w:eastAsia="Arial" w:hAnsi="Arial"/>
          <w:sz w:val="16"/>
          <w:szCs w:val="16"/>
          <w:color w:val="auto"/>
        </w:rPr>
        <w:t>Also on June 26, 2007, we closed on a $2.0 billion short-term interim financing facility which we used subsequent to the quarter to fund a portion of the costs for our acquisition of the commercial real estate lending business and existing portfolio of Fremont General Corporation (see Note 17 of the</w:t>
      </w:r>
    </w:p>
    <w:p>
      <w:pPr>
        <w:sectPr>
          <w:pgSz w:w="11900" w:h="16854" w:orient="portrait"/>
          <w:cols w:equalWidth="0" w:num="1">
            <w:col w:w="11420"/>
          </w:cols>
          <w:pgMar w:left="240" w:top="125" w:right="239" w:bottom="0" w:gutter="0" w:footer="0" w:header="0"/>
        </w:sectPr>
      </w:pPr>
    </w:p>
    <w:bookmarkStart w:id="23" w:name="page24"/>
    <w:bookmarkEnd w:id="23"/>
    <w:p>
      <w:pPr>
        <w:spacing w:after="0" w:line="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Consolidated Financial Statements for further details). We had no borrowings under this facility as of June 30, 2007. We drew $1.90 billion under this facility on July 2, 2007 in connection with the closing of the Fremont transaction.</w:t>
      </w:r>
    </w:p>
    <w:p>
      <w:pPr>
        <w:spacing w:after="0" w:line="49" w:lineRule="exact"/>
        <w:rPr>
          <w:sz w:val="20"/>
          <w:szCs w:val="20"/>
          <w:color w:val="auto"/>
        </w:rPr>
      </w:pPr>
    </w:p>
    <w:p>
      <w:pPr>
        <w:jc w:val="both"/>
        <w:ind w:right="240" w:firstLine="360"/>
        <w:spacing w:after="0" w:line="259" w:lineRule="auto"/>
        <w:rPr>
          <w:sz w:val="20"/>
          <w:szCs w:val="20"/>
          <w:color w:val="auto"/>
        </w:rPr>
      </w:pPr>
      <w:r>
        <w:rPr>
          <w:rFonts w:ascii="Arial" w:cs="Arial" w:eastAsia="Arial" w:hAnsi="Arial"/>
          <w:sz w:val="18"/>
          <w:szCs w:val="18"/>
          <w:color w:val="auto"/>
        </w:rPr>
        <w:t>Our debt obligations contain covenants that are both financial and non-financial in nature. Significant financial covenants include limitations on our ability to incur indebtedness beyond specified levels and a requirement to maintain specified ratios of unsecured indebtedness compared to unencumbered assets. Based on our current credit ratings, the financial covenants in some series of our publicly held debt securities are not operative (see Rating Triggers below).</w:t>
      </w:r>
    </w:p>
    <w:p>
      <w:pPr>
        <w:spacing w:after="0" w:line="52"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8"/>
          <w:szCs w:val="18"/>
          <w:color w:val="auto"/>
        </w:rPr>
        <w:t>Significant non-financial covenants include a requirement in some series of our publicly-held debt securities that we offer to repurchase those securities at a premium if we undergo a change of control. As of June 30, 2007, we believe we are in compliance with all financial and non-financial covenants on our debt obligations.</w:t>
      </w:r>
    </w:p>
    <w:p>
      <w:pPr>
        <w:spacing w:after="0" w:line="60"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On January 9, 2007, in connection with a consent solicitation of the holders of the respective notes, we amended certain covenants in our 7% Senior Notes due 2008, 4.875% Senior Notes due 2009, 6% Senior Notes due 2010, 5.125% Senior Notes due 2011, 6.5% Senior Notes due 2013, and 5.7% Senior Notes due 2014. Holders of approximately 95.43% of the aggregate principal amount of the Modified Notes consented to the solicitation. The purpose of the amendments was to conform most of the covenants to the covenants contained in the indentures governing the senior notes we issued since we achieved an investment grade rating from S&amp;P, Moody’s and Fitch. In connection with the consent solicitation we paid an aggregate fee of $6.5 million to the consenting note holders, which will be amortized into interest expense over the remaining term of the associated Notes. In addition, we incurred advisory and professional fees aggregating $2.4 million, which were recorded as expense and included in “General and administrative” on our Consolidated Statement of Operations for the six months ended June 30, 2007.</w:t>
      </w:r>
    </w:p>
    <w:p>
      <w:pPr>
        <w:spacing w:after="0" w:line="5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i w:val="1"/>
          <w:iCs w:val="1"/>
          <w:color w:val="auto"/>
        </w:rPr>
        <w:t>Unencumbered Assets/Unsecured Debt—</w:t>
      </w:r>
      <w:r>
        <w:rPr>
          <w:rFonts w:ascii="Arial" w:cs="Arial" w:eastAsia="Arial" w:hAnsi="Arial"/>
          <w:sz w:val="18"/>
          <w:szCs w:val="18"/>
          <w:color w:val="auto"/>
        </w:rPr>
        <w:t>We have completed the migration of our balance sheet towards unsecured debt, which generally results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reduction of secured debt and an increase in unencumbered assets. The exact timing in which we will issue or borrow unsecured debt will be subject to market conditions. The following table shows the ratio of unencumbered assets to unsecured debt at June 30, 2007 and December 31, 2006 (in thousands):</w:t>
      </w:r>
    </w:p>
    <w:p>
      <w:pPr>
        <w:spacing w:after="0" w:line="12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118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04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2007</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11,701,621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10,392,861</w:t>
            </w:r>
          </w:p>
        </w:tc>
        <w:tc>
          <w:tcPr>
            <w:tcW w:w="2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Total Unsecured Debt(1)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8,622,740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7,390,089</w:t>
            </w:r>
          </w:p>
        </w:tc>
        <w:tc>
          <w:tcPr>
            <w:tcW w:w="22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9 to the Company’s Consolidated Financial Statements for a more detailed description of our unsecured debt.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54" w:lineRule="auto"/>
        <w:rPr>
          <w:sz w:val="20"/>
          <w:szCs w:val="20"/>
          <w:color w:val="auto"/>
        </w:rPr>
      </w:pPr>
      <w:r>
        <w:rPr>
          <w:rFonts w:ascii="Arial" w:cs="Arial" w:eastAsia="Arial" w:hAnsi="Arial"/>
          <w:sz w:val="18"/>
          <w:szCs w:val="18"/>
          <w:i w:val="1"/>
          <w:iCs w:val="1"/>
          <w:color w:val="auto"/>
        </w:rPr>
        <w:t>Capital Markets Activity—</w:t>
      </w:r>
      <w:r>
        <w:rPr>
          <w:rFonts w:ascii="Arial" w:cs="Arial" w:eastAsia="Arial" w:hAnsi="Arial"/>
          <w:sz w:val="18"/>
          <w:szCs w:val="18"/>
          <w:color w:val="auto"/>
        </w:rPr>
        <w:t>During the six months ended June 30, 2007, we issued $300 million and $250 million aggregate principal amounts of fixed-rate Senior Notes bearing interest at annual rates of 5.5% to 5.85% and maturing in 2012 and 2017, respectively, and $500 million of variable-rate Senior Notes bearing interest at three-month LIBOR + 0.35% maturing in 2010. We primarily used the proceeds from the issuance of these securities to repay outstanding indebtedness under our unsecured revolving credit facility. In connection with this issuance, we settled forward starting interest rate swap agreements with notional amounts totaling $200 million and ten-year terms matching that of the $250 million Senior Notes due in 2017. We also entered into interest rate swap agreements to swap the fixed interest rate on the $300 million Senior Notes due in 2012 for a variable interest rate (see Note 11 to the Company’s Consolidated Financial Statements for further detail on all hedging activity). In addition, our $200 million of LIBOR + 1.25% Senior Notes matured in March 2007.</w:t>
      </w:r>
    </w:p>
    <w:p>
      <w:pPr>
        <w:spacing w:after="0" w:line="84"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i w:val="1"/>
          <w:iCs w:val="1"/>
          <w:color w:val="auto"/>
        </w:rPr>
        <w:t>Other Financing Activity—</w:t>
      </w:r>
      <w:r>
        <w:rPr>
          <w:rFonts w:ascii="Arial" w:cs="Arial" w:eastAsia="Arial" w:hAnsi="Arial"/>
          <w:sz w:val="18"/>
          <w:szCs w:val="18"/>
          <w:color w:val="auto"/>
        </w:rPr>
        <w:t>On August 1, 2007, our term financing that was collateralized by corporate bonds matured and was extended for one month to</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4, 2007 and the rate on the loan was increased to LIBOR + 0.55% to 0.85% from LIBOR + 0.22% to 0.65%. The carrying value of corporate bonds securing the borrowing totaled $139.8 million on August 1, 2007.</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June 30, 2007, future scheduled maturities of outstanding long-term debt obligations are as follows (in thousands)(1):</w:t>
      </w:r>
    </w:p>
    <w:p>
      <w:pPr>
        <w:spacing w:after="0" w:line="226"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six months)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171,196</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2008</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635,331</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1,216,754</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2010</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1,105,607</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2,336,859</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2012</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2,649,539</w:t>
            </w:r>
          </w:p>
        </w:tc>
        <w:tc>
          <w:tcPr>
            <w:tcW w:w="100" w:type="dxa"/>
            <w:vAlign w:val="bottom"/>
            <w:shd w:val="clear" w:color="auto" w:fill="CCEEFF"/>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Total principal maturities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9,115,286</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discounts/premiums,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(93,946)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Fair value adjustment to hedged items (see Note 11)</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(34,281)</w:t>
            </w:r>
          </w:p>
        </w:tc>
      </w:tr>
      <w:tr>
        <w:trPr>
          <w:trHeight w:val="210"/>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8,987,059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100"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i w:val="1"/>
          <w:i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cannot have a greater than 2.5% impact on quarterly earnings. We do not use derivative instruments for speculative purposes. The derivative instruments we use are typically in the form of interest rate swaps and interest rate caps. Interest rate swaps effectively can either convert variable-rate debt obligations to</w:t>
      </w:r>
    </w:p>
    <w:p>
      <w:pPr>
        <w:sectPr>
          <w:pgSz w:w="11900" w:h="16933" w:orient="portrait"/>
          <w:cols w:equalWidth="0" w:num="1">
            <w:col w:w="11420"/>
          </w:cols>
          <w:pgMar w:left="240" w:top="125" w:right="239" w:bottom="0" w:gutter="0" w:footer="0" w:header="0"/>
        </w:sectPr>
      </w:pPr>
    </w:p>
    <w:bookmarkStart w:id="24" w:name="page25"/>
    <w:bookmarkEnd w:id="24"/>
    <w:p>
      <w:pPr>
        <w:jc w:val="both"/>
        <w:ind w:right="160"/>
        <w:spacing w:after="0" w:line="342" w:lineRule="auto"/>
        <w:rPr>
          <w:sz w:val="20"/>
          <w:szCs w:val="20"/>
          <w:color w:val="auto"/>
        </w:rPr>
      </w:pPr>
      <w:r>
        <w:rPr>
          <w:rFonts w:ascii="Arial" w:cs="Arial" w:eastAsia="Arial" w:hAnsi="Arial"/>
          <w:sz w:val="16"/>
          <w:szCs w:val="16"/>
          <w:color w:val="auto"/>
        </w:rPr>
        <w:t>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80" w:firstLine="360"/>
        <w:spacing w:after="0" w:line="257"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80"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During the six months ended June 30, 2007, we settled three forward starting interest rate swap agreements, which were designated as cash-flow hedges, with notional amounts totaling $200 million, ten-year terms and rates from 4.740% to 4.745% in connection with our issuance of $250 million of Senior Notes due in 2017. The $4.5 million initial value of these forward starting swaps is being amortized as a reduction to “Interest expense” on our Consolidated Statements of Operations through the maturity of the Senior Notes due in 2017. Additionally, we entered into interest rate swap agreements, designated as fair-value hedges, with notional amounts totaling $300 million and variable interest rates that reset quarterly based on three-month LIBOR. These swap agreements were entered into to exchange the 5.5% fixed-rate interest payments on our $300 million of Senior Notes due in 2012 for variable-rate interest payments based on three-month LIBOR + 0.5365%.</w:t>
      </w:r>
    </w:p>
    <w:p>
      <w:pPr>
        <w:spacing w:after="0" w:line="70"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i w:val="1"/>
          <w:iCs w:val="1"/>
          <w:color w:val="auto"/>
        </w:rPr>
        <w:t>Off-Balance Sheet Transactions—</w:t>
      </w:r>
      <w:r>
        <w:rPr>
          <w:rFonts w:ascii="Arial" w:cs="Arial" w:eastAsia="Arial" w:hAnsi="Arial"/>
          <w:sz w:val="17"/>
          <w:szCs w:val="17"/>
          <w:color w:val="auto"/>
        </w:rPr>
        <w:t>We are not dependent on the use of any off-balance sheet financing arrangements for liquidity. As of June 30, 2007, we</w:t>
      </w:r>
      <w:r>
        <w:rPr>
          <w:rFonts w:ascii="Arial" w:cs="Arial" w:eastAsia="Arial" w:hAnsi="Arial"/>
          <w:sz w:val="17"/>
          <w:szCs w:val="17"/>
          <w:i w:val="1"/>
          <w:iCs w:val="1"/>
          <w:color w:val="auto"/>
        </w:rPr>
        <w:t xml:space="preserve"> </w:t>
      </w:r>
      <w:r>
        <w:rPr>
          <w:rFonts w:ascii="Arial" w:cs="Arial" w:eastAsia="Arial" w:hAnsi="Arial"/>
          <w:sz w:val="17"/>
          <w:szCs w:val="17"/>
          <w:color w:val="auto"/>
        </w:rPr>
        <w:t>had a 46.7% interest in one joint venture accounted for under the equity method that had third-party debt. The TimberStar Southwest joint venture had $1.60 billion of debt outstanding as of June 30, 2007 that has no recourse to us (see Note 6 of the Consolidated Financial Statements).</w:t>
      </w:r>
    </w:p>
    <w:p>
      <w:pPr>
        <w:spacing w:after="0" w:line="57" w:lineRule="exact"/>
        <w:rPr>
          <w:sz w:val="20"/>
          <w:szCs w:val="20"/>
          <w:color w:val="auto"/>
        </w:rPr>
      </w:pPr>
    </w:p>
    <w:p>
      <w:pPr>
        <w:ind w:right="200" w:firstLine="360"/>
        <w:spacing w:after="0" w:line="289"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June 30, 2007, we had 97 loans with unfunded commitments totaling $3.43 billion, of which $3.41 billion was non-discretionary. In addition, we had $36.8 million of non-discretionary unfunded commitments related to seven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$15.6 million of non-discretionary unfunded commitments related to 15 existing customers in the form of tenant improvements which were negotiated between the Company and the customers at the commencement of the leases. Further, we had eight strategic investments with unfunded non-discretionary commitments of $43.2 million.</w:t>
      </w:r>
    </w:p>
    <w:p>
      <w:pPr>
        <w:spacing w:after="0" w:line="59"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Ratings Triggers—</w:t>
      </w:r>
      <w:r>
        <w:rPr>
          <w:rFonts w:ascii="Arial" w:cs="Arial" w:eastAsia="Arial" w:hAnsi="Arial"/>
          <w:sz w:val="18"/>
          <w:szCs w:val="18"/>
          <w:color w:val="auto"/>
        </w:rPr>
        <w:t>The two commited unsecured revolving credit facilities aggregating $3.40 billion that we had in place at June 30, 2007, bear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at LIBOR + 0.525% per annum based on our senior unsecured credit ratings of BBB from S&amp;P, Baa2 from Moody’s and BBB from Fitch Ratings. Our ability to borrow under our unsecured revolving credit facilities is not dependent on our credit ratings.</w:t>
      </w:r>
    </w:p>
    <w:p>
      <w:pPr>
        <w:spacing w:after="0" w:line="73" w:lineRule="exact"/>
        <w:rPr>
          <w:sz w:val="20"/>
          <w:szCs w:val="20"/>
          <w:color w:val="auto"/>
        </w:rPr>
      </w:pPr>
    </w:p>
    <w:p>
      <w:pPr>
        <w:ind w:right="360" w:firstLine="360"/>
        <w:spacing w:after="0" w:line="302" w:lineRule="auto"/>
        <w:rPr>
          <w:sz w:val="20"/>
          <w:szCs w:val="20"/>
          <w:color w:val="auto"/>
        </w:rPr>
      </w:pPr>
      <w:r>
        <w:rPr>
          <w:rFonts w:ascii="Arial" w:cs="Arial" w:eastAsia="Arial" w:hAnsi="Arial"/>
          <w:sz w:val="16"/>
          <w:szCs w:val="16"/>
          <w:color w:val="auto"/>
        </w:rPr>
        <w:t>Based on our current senior unsecured debt ratings by S&amp;P, Moody’s and Fitch, the financial covenants in most series of our publicly held debt securities, including limitations on incurrence of indebtedness and maintenance of unencumbered assets compared to unsecured indebtedness, are not operative. If we were to be downgraded from our current ratings by two of these three rating agencies, these financial covenants would become operative again. However, as of June 30, 2007, we would be in full compliance with these covenants if they were operative.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described above, there are no other ratings triggers in any of our debt instruments or other operating or financial agreements at June 30, 2007.</w:t>
      </w:r>
    </w:p>
    <w:p>
      <w:pPr>
        <w:spacing w:after="0" w:line="140"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i w:val="1"/>
          <w:iCs w:val="1"/>
          <w:color w:val="auto"/>
        </w:rPr>
        <w:t>Transactions with Related Parties—</w:t>
      </w:r>
      <w:r>
        <w:rPr>
          <w:rFonts w:ascii="Arial" w:cs="Arial" w:eastAsia="Arial" w:hAnsi="Arial"/>
          <w:sz w:val="17"/>
          <w:szCs w:val="17"/>
          <w:color w:val="auto"/>
        </w:rPr>
        <w:t>During 2005, we invested in a substantial minority interest of Oak Hill Advisors, L.P., Oak Hill Credit Alpha MGP,</w:t>
      </w:r>
      <w:r>
        <w:rPr>
          <w:rFonts w:ascii="Arial" w:cs="Arial" w:eastAsia="Arial" w:hAnsi="Arial"/>
          <w:sz w:val="17"/>
          <w:szCs w:val="17"/>
          <w:i w:val="1"/>
          <w:iCs w:val="1"/>
          <w:color w:val="auto"/>
        </w:rPr>
        <w:t xml:space="preserve"> </w:t>
      </w:r>
      <w:r>
        <w:rPr>
          <w:rFonts w:ascii="Arial" w:cs="Arial" w:eastAsia="Arial" w:hAnsi="Arial"/>
          <w:sz w:val="17"/>
          <w:szCs w:val="17"/>
          <w:color w:val="auto"/>
        </w:rPr>
        <w:t>OHSF GP Partners II, LLC, Oak Hill Credit Opportunities MGP, LLC, and in 2006, OHSF GP Partners, LLC (see Note 6 to the Consolidated Financial Statements for more detail). In relation to our investment in these entities, we appointed to our Board of Directors a member that holds a substantial investment in these same five entities. As of June 30, 2007, the carrying value in these ventures was $186.9 million. We have also invested in seven funds managed by Oak Hill Advisors, L.P., which have a carrying value of $12.0 million as of June 30, 2007.</w:t>
      </w:r>
    </w:p>
    <w:p>
      <w:pPr>
        <w:spacing w:after="0" w:line="64"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i w:val="1"/>
          <w:iCs w:val="1"/>
          <w:color w:val="auto"/>
        </w:rPr>
        <w:t>DRIP/Stock Purchase Plans—</w:t>
      </w:r>
      <w:r>
        <w:rPr>
          <w:rFonts w:ascii="Arial" w:cs="Arial" w:eastAsia="Arial" w:hAnsi="Arial"/>
          <w:sz w:val="16"/>
          <w:szCs w:val="16"/>
          <w:color w:val="auto"/>
        </w:rPr>
        <w:t>During the three months ended June 30, 2007 and 2006, we issued a total of approximately 12,400 and 19,000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respectively, and during the six months ended June 30, 2007 amd 2006, we issued a total of approximately 19,800 and 31,000 shares of its Common Stock, respectively, through the dividend reinvestment and direct stock purchase plans. Net proceeds for the three months ended June 30, 2007 and 2006 were approximately $0.6 million and $0.7 million, respectively, and $0.9 million and $1.2 million during the six months ended June 30, 2007 and 2006, respectively. There are approximately 2.1 million shares available for issuance under the plan as of June 30, 2007.</w:t>
      </w:r>
    </w:p>
    <w:p>
      <w:pPr>
        <w:spacing w:after="0" w:line="50"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During the six months ended June 30, 2007 and 2006, we did not repurchase any shares under the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Subsequent to June 30, 2007, we repurchased 300,000 shares of our outstanding Common Stock for $10.0 million at an average cost per share of $33.47.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5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 summary of our critical accounting policies is included in our Annual Report on Form 10-K for the year ended December 31, 2006 in Management’s Discussion and Analysis of Financial Condition. There have been no significant changes to our policies during 2007. Management has reviewed and evaluated these critical accounting estimates and believes they are appropriate.</w:t>
      </w:r>
    </w:p>
    <w:p>
      <w:pPr>
        <w:sectPr>
          <w:pgSz w:w="11900" w:h="16838" w:orient="portrait"/>
          <w:cols w:equalWidth="0" w:num="1">
            <w:col w:w="11400"/>
          </w:cols>
          <w:pgMar w:left="240" w:top="125" w:right="259" w:bottom="0" w:gutter="0" w:footer="0" w:header="0"/>
        </w:sectPr>
      </w:pPr>
    </w:p>
    <w:bookmarkStart w:id="25" w:name="page26"/>
    <w:bookmarkEnd w:id="25"/>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timely alert them to material information relating to the Company (including its consolidated subsidiaries) and are effective to ensure that the information required to be disclosed by the Company in the reports that it files or submits under the Securities Exchange Act of 1934 is (i) recorded, processed, summarized and reported within the time periods specified in SEC rules and forms and (ii) accumulated and communicated to management, including the Chief Executive Officer and Chief Financial Officer, as appropriate, to allow timely decisions regarding disclosure.</w:t>
      </w:r>
    </w:p>
    <w:p>
      <w:pPr>
        <w:spacing w:after="0" w:line="7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62" w:lineRule="exact"/>
        <w:rPr>
          <w:sz w:val="20"/>
          <w:szCs w:val="20"/>
          <w:color w:val="auto"/>
        </w:rPr>
      </w:pPr>
    </w:p>
    <w:p>
      <w:pPr>
        <w:ind w:right="60" w:firstLine="360"/>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2006.</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Annual Meeting of Shareholders of the Company was held on May 30, 2007.</w:t>
      </w:r>
    </w:p>
    <w:p>
      <w:pPr>
        <w:spacing w:after="0" w:line="117" w:lineRule="exact"/>
        <w:rPr>
          <w:sz w:val="20"/>
          <w:szCs w:val="20"/>
          <w:color w:val="auto"/>
        </w:rPr>
      </w:pPr>
    </w:p>
    <w:p>
      <w:pPr>
        <w:ind w:right="120" w:firstLine="368"/>
        <w:spacing w:after="0" w:line="277" w:lineRule="auto"/>
        <w:tabs>
          <w:tab w:leader="none" w:pos="63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At the meeting, eight directors were elected for terms expiring in 2008. For each nominee, the numbers of votes cast for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withheld were as follows:</w:t>
      </w:r>
    </w:p>
    <w:p>
      <w:pPr>
        <w:spacing w:after="0" w:line="149" w:lineRule="exact"/>
        <w:rPr>
          <w:sz w:val="20"/>
          <w:szCs w:val="20"/>
          <w:color w:val="auto"/>
        </w:rPr>
      </w:pPr>
    </w:p>
    <w:tbl>
      <w:tblPr>
        <w:tblLayout w:type="fixed"/>
        <w:tblInd w:w="2240" w:type="dxa"/>
        <w:tblCellMar>
          <w:top w:w="0" w:type="dxa"/>
          <w:left w:w="0" w:type="dxa"/>
          <w:bottom w:w="0" w:type="dxa"/>
          <w:right w:w="0" w:type="dxa"/>
        </w:tblCellMar>
      </w:tblPr>
      <w:tr>
        <w:trPr>
          <w:trHeight w:val="171"/>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FOR</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WITHHELD</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JAY SUGARMAN</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112,286,267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1,205,313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GLENN R. AUGUST</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113,036,023</w:t>
            </w:r>
          </w:p>
        </w:tc>
        <w:tc>
          <w:tcPr>
            <w:tcW w:w="2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455,557</w:t>
            </w: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HOLMAN, JR.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112,472,931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1,018,649</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ROBIN JOSEPHS</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106,328,918</w:t>
            </w:r>
          </w:p>
        </w:tc>
        <w:tc>
          <w:tcPr>
            <w:tcW w:w="2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7,162,662</w:t>
            </w: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CARTER McCLELLAND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111,474,616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2,016,964</w:t>
            </w:r>
          </w:p>
        </w:tc>
        <w:tc>
          <w:tcPr>
            <w:tcW w:w="60" w:type="dxa"/>
            <w:vAlign w:val="bottom"/>
            <w:shd w:val="clear" w:color="auto" w:fill="CCEEFF"/>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JOHN G. McDONALD</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112,609,839</w:t>
            </w:r>
          </w:p>
        </w:tc>
        <w:tc>
          <w:tcPr>
            <w:tcW w:w="22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881,741</w:t>
            </w:r>
          </w:p>
        </w:tc>
        <w:tc>
          <w:tcPr>
            <w:tcW w:w="60" w:type="dxa"/>
            <w:vAlign w:val="bottom"/>
          </w:tcPr>
          <w:p>
            <w:pPr>
              <w:spacing w:after="0"/>
              <w:rPr>
                <w:sz w:val="18"/>
                <w:szCs w:val="18"/>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R. PUSKAR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112,503,080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988,500</w:t>
            </w:r>
          </w:p>
        </w:tc>
        <w:tc>
          <w:tcPr>
            <w:tcW w:w="60" w:type="dxa"/>
            <w:vAlign w:val="bottom"/>
            <w:shd w:val="clear" w:color="auto" w:fill="CCEEFF"/>
          </w:tcPr>
          <w:p>
            <w:pPr>
              <w:spacing w:after="0"/>
              <w:rPr>
                <w:sz w:val="18"/>
                <w:szCs w:val="18"/>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JEFFREY A. WEBER.</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112,249,781</w:t>
            </w: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1,241,799</w:t>
            </w:r>
          </w:p>
        </w:tc>
        <w:tc>
          <w:tcPr>
            <w:tcW w:w="60" w:type="dxa"/>
            <w:vAlign w:val="bottom"/>
          </w:tcPr>
          <w:p>
            <w:pPr>
              <w:spacing w:after="0"/>
              <w:rPr>
                <w:sz w:val="20"/>
                <w:szCs w:val="20"/>
                <w:color w:val="auto"/>
              </w:rPr>
            </w:pPr>
          </w:p>
        </w:tc>
      </w:tr>
    </w:tbl>
    <w:p>
      <w:pPr>
        <w:spacing w:after="0" w:line="241" w:lineRule="exact"/>
        <w:rPr>
          <w:sz w:val="20"/>
          <w:szCs w:val="20"/>
          <w:color w:val="auto"/>
        </w:rPr>
      </w:pPr>
    </w:p>
    <w:p>
      <w:pPr>
        <w:ind w:right="380" w:firstLine="368"/>
        <w:spacing w:after="0" w:line="308" w:lineRule="auto"/>
        <w:tabs>
          <w:tab w:leader="none" w:pos="63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iStar Financial Inc. 2007 Incentive Compensation Plan. </w:t>
      </w:r>
      <w:r>
        <w:rPr>
          <w:rFonts w:ascii="Arial" w:cs="Arial" w:eastAsia="Arial" w:hAnsi="Arial"/>
          <w:sz w:val="17"/>
          <w:szCs w:val="17"/>
          <w:color w:val="auto"/>
        </w:rPr>
        <w:t>Also at the meeting, the shareholders approved the iStar Financial Inc. 2007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Plan. The numbers of votes cast for and against the proposal and the number of abstentions were as follows:</w:t>
      </w:r>
    </w:p>
    <w:p>
      <w:pPr>
        <w:spacing w:after="0" w:line="143"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FOR</w:t>
            </w:r>
          </w:p>
        </w:tc>
        <w:tc>
          <w:tcPr>
            <w:tcW w:w="2500" w:type="dxa"/>
            <w:vAlign w:val="bottom"/>
            <w:gridSpan w:val="2"/>
          </w:tcPr>
          <w:p>
            <w:pPr>
              <w:ind w:left="740"/>
              <w:spacing w:after="0"/>
              <w:rPr>
                <w:sz w:val="20"/>
                <w:szCs w:val="20"/>
                <w:color w:val="auto"/>
              </w:rPr>
            </w:pPr>
            <w:r>
              <w:rPr>
                <w:rFonts w:ascii="Arial" w:cs="Arial" w:eastAsia="Arial" w:hAnsi="Arial"/>
                <w:sz w:val="18"/>
                <w:szCs w:val="18"/>
                <w:b w:val="1"/>
                <w:bCs w:val="1"/>
                <w:color w:val="auto"/>
              </w:rPr>
              <w:t>AGAINST</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7"/>
              </w:rPr>
              <w:t>ABSTAIN</w:t>
            </w:r>
          </w:p>
        </w:tc>
      </w:tr>
      <w:tr>
        <w:trPr>
          <w:trHeight w:val="224"/>
        </w:trPr>
        <w:tc>
          <w:tcPr>
            <w:tcW w:w="230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96,051,355</w:t>
            </w:r>
          </w:p>
        </w:tc>
        <w:tc>
          <w:tcPr>
            <w:tcW w:w="200" w:type="dxa"/>
            <w:vAlign w:val="bottom"/>
          </w:tcPr>
          <w:p>
            <w:pPr>
              <w:spacing w:after="0"/>
              <w:rPr>
                <w:sz w:val="19"/>
                <w:szCs w:val="19"/>
                <w:color w:val="auto"/>
              </w:rPr>
            </w:pPr>
          </w:p>
        </w:tc>
        <w:tc>
          <w:tcPr>
            <w:tcW w:w="230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16,213,358</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1,226,867</w:t>
            </w:r>
          </w:p>
        </w:tc>
      </w:tr>
    </w:tbl>
    <w:p>
      <w:pPr>
        <w:spacing w:after="0" w:line="241" w:lineRule="exact"/>
        <w:rPr>
          <w:sz w:val="20"/>
          <w:szCs w:val="20"/>
          <w:color w:val="auto"/>
        </w:rPr>
      </w:pPr>
    </w:p>
    <w:p>
      <w:pPr>
        <w:ind w:right="80" w:firstLine="368"/>
        <w:spacing w:after="0" w:line="312" w:lineRule="auto"/>
        <w:tabs>
          <w:tab w:leader="none" w:pos="63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Ratification of Independent Registered Public Accounting Firm. </w:t>
      </w:r>
      <w:r>
        <w:rPr>
          <w:rFonts w:ascii="Arial" w:cs="Arial" w:eastAsia="Arial" w:hAnsi="Arial"/>
          <w:sz w:val="16"/>
          <w:szCs w:val="16"/>
          <w:color w:val="auto"/>
        </w:rPr>
        <w:t>Also at the meeting, the shareholders ratified the selection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PricewaterhouseCoopers LLP as the Company’s independent registered public accounting firm for the year ending December 31, 2007. The number of votes cast for and against the ratification of the selection of independent registered public accounting firm and the number of abstentions were as follows:</w:t>
      </w:r>
    </w:p>
    <w:p>
      <w:pPr>
        <w:spacing w:after="0" w:line="143" w:lineRule="exact"/>
        <w:rPr>
          <w:sz w:val="20"/>
          <w:szCs w:val="20"/>
          <w:color w:val="auto"/>
        </w:rPr>
      </w:pPr>
    </w:p>
    <w:p>
      <w:pPr>
        <w:ind w:left="3200"/>
        <w:spacing w:after="0"/>
        <w:tabs>
          <w:tab w:leader="none" w:pos="5460" w:val="left"/>
          <w:tab w:leader="none" w:pos="780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7"/>
          <w:szCs w:val="17"/>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17145</wp:posOffset>
            </wp:positionV>
            <wp:extent cx="44164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bookmarkStart w:id="26" w:name="page27"/>
    <w:bookmarkEnd w:id="26"/>
    <w:p>
      <w:pPr>
        <w:ind w:left="2940"/>
        <w:spacing w:after="0"/>
        <w:tabs>
          <w:tab w:leader="none" w:pos="5500" w:val="left"/>
          <w:tab w:leader="none" w:pos="7900" w:val="left"/>
        </w:tabs>
        <w:rPr>
          <w:sz w:val="20"/>
          <w:szCs w:val="20"/>
          <w:color w:val="auto"/>
        </w:rPr>
      </w:pPr>
      <w:r>
        <w:rPr>
          <w:rFonts w:ascii="Arial" w:cs="Arial" w:eastAsia="Arial" w:hAnsi="Arial"/>
          <w:sz w:val="18"/>
          <w:szCs w:val="18"/>
          <w:color w:val="auto"/>
        </w:rPr>
        <w:t>111,454,617</w:t>
      </w:r>
      <w:r>
        <w:rPr>
          <w:sz w:val="20"/>
          <w:szCs w:val="20"/>
          <w:color w:val="auto"/>
        </w:rPr>
        <w:tab/>
      </w:r>
      <w:r>
        <w:rPr>
          <w:rFonts w:ascii="Arial" w:cs="Arial" w:eastAsia="Arial" w:hAnsi="Arial"/>
          <w:sz w:val="18"/>
          <w:szCs w:val="18"/>
          <w:color w:val="auto"/>
        </w:rPr>
        <w:t>1,897,894</w:t>
      </w:r>
      <w:r>
        <w:rPr>
          <w:sz w:val="20"/>
          <w:szCs w:val="20"/>
          <w:color w:val="auto"/>
        </w:rPr>
        <w:tab/>
      </w:r>
      <w:r>
        <w:rPr>
          <w:rFonts w:ascii="Arial" w:cs="Arial" w:eastAsia="Arial" w:hAnsi="Arial"/>
          <w:sz w:val="16"/>
          <w:szCs w:val="16"/>
          <w:color w:val="auto"/>
        </w:rPr>
        <w:t>139,069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ind w:left="360"/>
              <w:spacing w:after="0"/>
              <w:rPr>
                <w:sz w:val="20"/>
                <w:szCs w:val="20"/>
                <w:color w:val="auto"/>
              </w:rPr>
            </w:pPr>
            <w:r>
              <w:rPr>
                <w:rFonts w:ascii="Arial" w:cs="Arial" w:eastAsia="Arial" w:hAnsi="Arial"/>
                <w:sz w:val="18"/>
                <w:szCs w:val="18"/>
                <w:b w:val="1"/>
                <w:bCs w:val="1"/>
                <w:color w:val="auto"/>
              </w:rPr>
              <w:t>a.  Exhibits</w:t>
            </w:r>
          </w:p>
        </w:tc>
        <w:tc>
          <w:tcPr>
            <w:tcW w:w="9280" w:type="dxa"/>
            <w:vAlign w:val="bottom"/>
          </w:tcPr>
          <w:p>
            <w:pPr>
              <w:spacing w:after="0"/>
              <w:rPr>
                <w:sz w:val="20"/>
                <w:szCs w:val="20"/>
                <w:color w:val="auto"/>
              </w:rPr>
            </w:pPr>
          </w:p>
        </w:tc>
      </w:tr>
      <w:tr>
        <w:trPr>
          <w:trHeight w:val="418"/>
        </w:trPr>
        <w:tc>
          <w:tcPr>
            <w:tcW w:w="2180" w:type="dxa"/>
            <w:vAlign w:val="bottom"/>
          </w:tcPr>
          <w:p>
            <w:pPr>
              <w:ind w:left="1580"/>
              <w:spacing w:after="0"/>
              <w:rPr>
                <w:sz w:val="20"/>
                <w:szCs w:val="20"/>
                <w:color w:val="auto"/>
              </w:rPr>
            </w:pPr>
            <w:r>
              <w:rPr>
                <w:rFonts w:ascii="Arial" w:cs="Arial" w:eastAsia="Arial" w:hAnsi="Arial"/>
                <w:sz w:val="18"/>
                <w:szCs w:val="18"/>
                <w:color w:val="auto"/>
              </w:rPr>
              <w:t>2.1.</w:t>
            </w:r>
          </w:p>
        </w:tc>
        <w:tc>
          <w:tcPr>
            <w:tcW w:w="9280" w:type="dxa"/>
            <w:vAlign w:val="bottom"/>
          </w:tcPr>
          <w:p>
            <w:pPr>
              <w:ind w:left="260"/>
              <w:spacing w:after="0"/>
              <w:rPr>
                <w:sz w:val="20"/>
                <w:szCs w:val="20"/>
                <w:color w:val="auto"/>
              </w:rPr>
            </w:pPr>
            <w:r>
              <w:rPr>
                <w:rFonts w:ascii="Arial" w:cs="Arial" w:eastAsia="Arial" w:hAnsi="Arial"/>
                <w:sz w:val="18"/>
                <w:szCs w:val="18"/>
                <w:color w:val="auto"/>
              </w:rPr>
              <w:t>Asset Purchase Agreement dated as of May 21, 2007 between Fremont Investment &amp; Loan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Company (incorporated by reference from exhibit 2.1 of the Company’s Current Report on Form 8-K</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May 24, 2007).</w:t>
            </w:r>
          </w:p>
        </w:tc>
      </w:tr>
      <w:tr>
        <w:trPr>
          <w:trHeight w:val="216"/>
        </w:trPr>
        <w:tc>
          <w:tcPr>
            <w:tcW w:w="2180" w:type="dxa"/>
            <w:vAlign w:val="bottom"/>
          </w:tcPr>
          <w:p>
            <w:pPr>
              <w:ind w:left="1580"/>
              <w:spacing w:after="0"/>
              <w:rPr>
                <w:sz w:val="20"/>
                <w:szCs w:val="20"/>
                <w:color w:val="auto"/>
              </w:rPr>
            </w:pPr>
            <w:r>
              <w:rPr>
                <w:rFonts w:ascii="Arial" w:cs="Arial" w:eastAsia="Arial" w:hAnsi="Arial"/>
                <w:sz w:val="18"/>
                <w:szCs w:val="18"/>
                <w:color w:val="auto"/>
              </w:rPr>
              <w:t>4.1</w:t>
            </w:r>
          </w:p>
        </w:tc>
        <w:tc>
          <w:tcPr>
            <w:tcW w:w="9280" w:type="dxa"/>
            <w:vAlign w:val="bottom"/>
          </w:tcPr>
          <w:p>
            <w:pPr>
              <w:ind w:left="260"/>
              <w:spacing w:after="0"/>
              <w:rPr>
                <w:sz w:val="20"/>
                <w:szCs w:val="20"/>
                <w:color w:val="auto"/>
              </w:rPr>
            </w:pPr>
            <w:r>
              <w:rPr>
                <w:rFonts w:ascii="Arial" w:cs="Arial" w:eastAsia="Arial" w:hAnsi="Arial"/>
                <w:sz w:val="18"/>
                <w:szCs w:val="18"/>
                <w:color w:val="auto"/>
              </w:rPr>
              <w:t>Form of Global Note evidencing 5.500% Senior Notes due 2012 issued on March 9, 2006</w:t>
            </w:r>
          </w:p>
        </w:tc>
      </w:tr>
      <w:tr>
        <w:trPr>
          <w:trHeight w:val="230"/>
        </w:trPr>
        <w:tc>
          <w:tcPr>
            <w:tcW w:w="2180" w:type="dxa"/>
            <w:vAlign w:val="bottom"/>
          </w:tcPr>
          <w:p>
            <w:pPr>
              <w:spacing w:after="0"/>
              <w:rPr>
                <w:sz w:val="20"/>
                <w:szCs w:val="20"/>
                <w:color w:val="auto"/>
              </w:rPr>
            </w:pPr>
          </w:p>
        </w:tc>
        <w:tc>
          <w:tcPr>
            <w:tcW w:w="9280" w:type="dxa"/>
            <w:vAlign w:val="bottom"/>
          </w:tcPr>
          <w:p>
            <w:pPr>
              <w:ind w:left="320"/>
              <w:spacing w:after="0"/>
              <w:rPr>
                <w:sz w:val="20"/>
                <w:szCs w:val="20"/>
                <w:color w:val="auto"/>
              </w:rPr>
            </w:pPr>
            <w:r>
              <w:rPr>
                <w:rFonts w:ascii="Arial" w:cs="Arial" w:eastAsia="Arial" w:hAnsi="Arial"/>
                <w:sz w:val="18"/>
                <w:szCs w:val="18"/>
                <w:color w:val="auto"/>
              </w:rPr>
              <w:t>(incorporated by reference from exhibit 4.1 of the Company’s March 31, 2007 Form 10-Q).</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4.2</w:t>
            </w:r>
          </w:p>
        </w:tc>
        <w:tc>
          <w:tcPr>
            <w:tcW w:w="9280" w:type="dxa"/>
            <w:vAlign w:val="bottom"/>
          </w:tcPr>
          <w:p>
            <w:pPr>
              <w:ind w:left="260"/>
              <w:spacing w:after="0"/>
              <w:rPr>
                <w:sz w:val="20"/>
                <w:szCs w:val="20"/>
                <w:color w:val="auto"/>
              </w:rPr>
            </w:pPr>
            <w:r>
              <w:rPr>
                <w:rFonts w:ascii="Arial" w:cs="Arial" w:eastAsia="Arial" w:hAnsi="Arial"/>
                <w:sz w:val="18"/>
                <w:szCs w:val="18"/>
                <w:color w:val="auto"/>
              </w:rPr>
              <w:t>Form of Global Note evidencing 5.850% Senior Notes due 2017 issued on March 9, 2006</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4.2 of the Company’s March 31, 2007 Form 10-Q).</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4.3</w:t>
            </w:r>
          </w:p>
        </w:tc>
        <w:tc>
          <w:tcPr>
            <w:tcW w:w="9280" w:type="dxa"/>
            <w:vAlign w:val="bottom"/>
          </w:tcPr>
          <w:p>
            <w:pPr>
              <w:ind w:left="260"/>
              <w:spacing w:after="0"/>
              <w:rPr>
                <w:sz w:val="20"/>
                <w:szCs w:val="20"/>
                <w:color w:val="auto"/>
              </w:rPr>
            </w:pPr>
            <w:r>
              <w:rPr>
                <w:rFonts w:ascii="Arial" w:cs="Arial" w:eastAsia="Arial" w:hAnsi="Arial"/>
                <w:sz w:val="18"/>
                <w:szCs w:val="18"/>
                <w:color w:val="auto"/>
              </w:rPr>
              <w:t>Form of Global Note evidencing Senior Floating Rate Notes due 2010 issued on March 9, 2006</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4.3 of the Company’s March 31, 2007 Form 10-Q).</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4.4</w:t>
            </w:r>
          </w:p>
        </w:tc>
        <w:tc>
          <w:tcPr>
            <w:tcW w:w="9280" w:type="dxa"/>
            <w:vAlign w:val="bottom"/>
          </w:tcPr>
          <w:p>
            <w:pPr>
              <w:ind w:left="260"/>
              <w:spacing w:after="0"/>
              <w:rPr>
                <w:sz w:val="20"/>
                <w:szCs w:val="20"/>
                <w:color w:val="auto"/>
              </w:rPr>
            </w:pPr>
            <w:r>
              <w:rPr>
                <w:rFonts w:ascii="Arial" w:cs="Arial" w:eastAsia="Arial" w:hAnsi="Arial"/>
                <w:sz w:val="18"/>
                <w:szCs w:val="18"/>
                <w:color w:val="auto"/>
              </w:rPr>
              <w:t>First Supplemental Indenture dated January 9, 2007, by and between the Company and the Trustee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4.1 of the Company’s Current Report on Form 8-K filed on</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January 16,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4.5</w:t>
            </w:r>
          </w:p>
        </w:tc>
        <w:tc>
          <w:tcPr>
            <w:tcW w:w="9280" w:type="dxa"/>
            <w:vAlign w:val="bottom"/>
          </w:tcPr>
          <w:p>
            <w:pPr>
              <w:ind w:left="260"/>
              <w:spacing w:after="0"/>
              <w:rPr>
                <w:sz w:val="20"/>
                <w:szCs w:val="20"/>
                <w:color w:val="auto"/>
              </w:rPr>
            </w:pPr>
            <w:r>
              <w:rPr>
                <w:rFonts w:ascii="Arial" w:cs="Arial" w:eastAsia="Arial" w:hAnsi="Arial"/>
                <w:sz w:val="18"/>
                <w:szCs w:val="18"/>
                <w:color w:val="auto"/>
              </w:rPr>
              <w:t>First Supplemental Indenture dated January 9, 2007, by and between the Company and the Trustee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4.2 of the Company’s Current Report on Form 8-K filed on</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January 16,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4.6</w:t>
            </w:r>
          </w:p>
        </w:tc>
        <w:tc>
          <w:tcPr>
            <w:tcW w:w="9280" w:type="dxa"/>
            <w:vAlign w:val="bottom"/>
          </w:tcPr>
          <w:p>
            <w:pPr>
              <w:ind w:left="260"/>
              <w:spacing w:after="0"/>
              <w:rPr>
                <w:sz w:val="20"/>
                <w:szCs w:val="20"/>
                <w:color w:val="auto"/>
              </w:rPr>
            </w:pPr>
            <w:r>
              <w:rPr>
                <w:rFonts w:ascii="Arial" w:cs="Arial" w:eastAsia="Arial" w:hAnsi="Arial"/>
                <w:sz w:val="18"/>
                <w:szCs w:val="18"/>
                <w:color w:val="auto"/>
              </w:rPr>
              <w:t>First Supplemental Indenture dated January 9, 2007, by and between the Company and the Trustee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4.3 of the Company’s Current Report on Form 8-K filed on</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January 16,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4.7</w:t>
            </w:r>
          </w:p>
        </w:tc>
        <w:tc>
          <w:tcPr>
            <w:tcW w:w="9280" w:type="dxa"/>
            <w:vAlign w:val="bottom"/>
          </w:tcPr>
          <w:p>
            <w:pPr>
              <w:ind w:left="260"/>
              <w:spacing w:after="0"/>
              <w:rPr>
                <w:sz w:val="20"/>
                <w:szCs w:val="20"/>
                <w:color w:val="auto"/>
              </w:rPr>
            </w:pPr>
            <w:r>
              <w:rPr>
                <w:rFonts w:ascii="Arial" w:cs="Arial" w:eastAsia="Arial" w:hAnsi="Arial"/>
                <w:sz w:val="18"/>
                <w:szCs w:val="18"/>
                <w:color w:val="auto"/>
              </w:rPr>
              <w:t>Thirteenth Supplemental Indenture dated January 9, 2007, by and between the Company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Trustee (incorporated by reference from exhibit 4.4 of the Company’s Current Report on Form 8-K</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January 16,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4.8</w:t>
            </w:r>
          </w:p>
        </w:tc>
        <w:tc>
          <w:tcPr>
            <w:tcW w:w="9280" w:type="dxa"/>
            <w:vAlign w:val="bottom"/>
          </w:tcPr>
          <w:p>
            <w:pPr>
              <w:ind w:left="260"/>
              <w:spacing w:after="0"/>
              <w:rPr>
                <w:sz w:val="20"/>
                <w:szCs w:val="20"/>
                <w:color w:val="auto"/>
              </w:rPr>
            </w:pPr>
            <w:r>
              <w:rPr>
                <w:rFonts w:ascii="Arial" w:cs="Arial" w:eastAsia="Arial" w:hAnsi="Arial"/>
                <w:sz w:val="18"/>
                <w:szCs w:val="18"/>
                <w:color w:val="auto"/>
              </w:rPr>
              <w:t>Fourteenth Supplemental Indenture dated January 9, 2007, by and between the Company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Trustee (incorporated by reference from exhibit 4.5 of the Company’s Current Report on Form 8-K</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January 16,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4.9</w:t>
            </w:r>
          </w:p>
        </w:tc>
        <w:tc>
          <w:tcPr>
            <w:tcW w:w="9280" w:type="dxa"/>
            <w:vAlign w:val="bottom"/>
          </w:tcPr>
          <w:p>
            <w:pPr>
              <w:ind w:left="260"/>
              <w:spacing w:after="0"/>
              <w:rPr>
                <w:sz w:val="20"/>
                <w:szCs w:val="20"/>
                <w:color w:val="auto"/>
              </w:rPr>
            </w:pPr>
            <w:r>
              <w:rPr>
                <w:rFonts w:ascii="Arial" w:cs="Arial" w:eastAsia="Arial" w:hAnsi="Arial"/>
                <w:sz w:val="18"/>
                <w:szCs w:val="18"/>
                <w:color w:val="auto"/>
              </w:rPr>
              <w:t>Fifteenth Supplemental Indenture dated January 9, 2007, by and between the Company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Trustee (incorporated by reference from exhibit 4.6 of the Company’s Current Report on Form 8-K</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January 16, 2007).</w:t>
            </w:r>
          </w:p>
        </w:tc>
      </w:tr>
      <w:tr>
        <w:trPr>
          <w:trHeight w:val="216"/>
        </w:trPr>
        <w:tc>
          <w:tcPr>
            <w:tcW w:w="2180" w:type="dxa"/>
            <w:vAlign w:val="bottom"/>
          </w:tcPr>
          <w:p>
            <w:pPr>
              <w:ind w:left="1580"/>
              <w:spacing w:after="0"/>
              <w:rPr>
                <w:sz w:val="20"/>
                <w:szCs w:val="20"/>
                <w:color w:val="auto"/>
              </w:rPr>
            </w:pPr>
            <w:r>
              <w:rPr>
                <w:rFonts w:ascii="Arial" w:cs="Arial" w:eastAsia="Arial" w:hAnsi="Arial"/>
                <w:sz w:val="18"/>
                <w:szCs w:val="18"/>
                <w:color w:val="auto"/>
              </w:rPr>
              <w:t>4.10</w:t>
            </w:r>
          </w:p>
        </w:tc>
        <w:tc>
          <w:tcPr>
            <w:tcW w:w="9280" w:type="dxa"/>
            <w:vAlign w:val="bottom"/>
          </w:tcPr>
          <w:p>
            <w:pPr>
              <w:ind w:left="260"/>
              <w:spacing w:after="0"/>
              <w:rPr>
                <w:sz w:val="20"/>
                <w:szCs w:val="20"/>
                <w:color w:val="auto"/>
              </w:rPr>
            </w:pPr>
            <w:r>
              <w:rPr>
                <w:rFonts w:ascii="Arial" w:cs="Arial" w:eastAsia="Arial" w:hAnsi="Arial"/>
                <w:sz w:val="18"/>
                <w:szCs w:val="18"/>
                <w:color w:val="auto"/>
              </w:rPr>
              <w:t>Sixteenth Supplemental Indenture dated March 9, 2007, by and between the Company and the Trustee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4.1 of the Company’s Current Report on Form 8-K filed on</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March 15,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4.11</w:t>
            </w:r>
          </w:p>
        </w:tc>
        <w:tc>
          <w:tcPr>
            <w:tcW w:w="9280" w:type="dxa"/>
            <w:vAlign w:val="bottom"/>
          </w:tcPr>
          <w:p>
            <w:pPr>
              <w:ind w:left="260"/>
              <w:spacing w:after="0"/>
              <w:rPr>
                <w:sz w:val="20"/>
                <w:szCs w:val="20"/>
                <w:color w:val="auto"/>
              </w:rPr>
            </w:pPr>
            <w:r>
              <w:rPr>
                <w:rFonts w:ascii="Arial" w:cs="Arial" w:eastAsia="Arial" w:hAnsi="Arial"/>
                <w:sz w:val="18"/>
                <w:szCs w:val="18"/>
                <w:color w:val="auto"/>
              </w:rPr>
              <w:t>Seventeenth Supplemental Indenture dated March 9, 2007, by and between the Company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Trustee (incorporated by reference from exhibit 4.2 of the Company’s Current Report on Form 8-K</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March 15,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4.12</w:t>
            </w:r>
          </w:p>
        </w:tc>
        <w:tc>
          <w:tcPr>
            <w:tcW w:w="9280" w:type="dxa"/>
            <w:vAlign w:val="bottom"/>
          </w:tcPr>
          <w:p>
            <w:pPr>
              <w:ind w:left="260"/>
              <w:spacing w:after="0"/>
              <w:rPr>
                <w:sz w:val="20"/>
                <w:szCs w:val="20"/>
                <w:color w:val="auto"/>
              </w:rPr>
            </w:pPr>
            <w:r>
              <w:rPr>
                <w:rFonts w:ascii="Arial" w:cs="Arial" w:eastAsia="Arial" w:hAnsi="Arial"/>
                <w:sz w:val="18"/>
                <w:szCs w:val="18"/>
                <w:color w:val="auto"/>
              </w:rPr>
              <w:t>Eighteenth Supplemental Indenture dated March 9, 2007, by and between the Company and the</w:t>
            </w:r>
          </w:p>
        </w:tc>
      </w:tr>
      <w:tr>
        <w:trPr>
          <w:trHeight w:val="216"/>
        </w:trPr>
        <w:tc>
          <w:tcPr>
            <w:tcW w:w="2180" w:type="dxa"/>
            <w:vAlign w:val="bottom"/>
          </w:tcPr>
          <w:p>
            <w:pPr>
              <w:spacing w:after="0"/>
              <w:rPr>
                <w:sz w:val="18"/>
                <w:szCs w:val="18"/>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Trustee (incorporated by reference from exhibit 4.3 of the Company’s Current Report on Form 8-K</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filed on March 15, 2007).</w:t>
            </w:r>
          </w:p>
        </w:tc>
      </w:tr>
      <w:tr>
        <w:trPr>
          <w:trHeight w:val="269"/>
        </w:trPr>
        <w:tc>
          <w:tcPr>
            <w:tcW w:w="2180" w:type="dxa"/>
            <w:vAlign w:val="bottom"/>
          </w:tcPr>
          <w:p>
            <w:pPr>
              <w:ind w:left="1580"/>
              <w:spacing w:after="0"/>
              <w:rPr>
                <w:sz w:val="20"/>
                <w:szCs w:val="20"/>
                <w:color w:val="auto"/>
              </w:rPr>
            </w:pPr>
            <w:r>
              <w:rPr>
                <w:rFonts w:ascii="Arial" w:cs="Arial" w:eastAsia="Arial" w:hAnsi="Arial"/>
                <w:sz w:val="18"/>
                <w:szCs w:val="18"/>
                <w:color w:val="auto"/>
              </w:rPr>
              <w:t>10.1</w:t>
            </w:r>
          </w:p>
        </w:tc>
        <w:tc>
          <w:tcPr>
            <w:tcW w:w="9280" w:type="dxa"/>
            <w:vAlign w:val="bottom"/>
          </w:tcPr>
          <w:p>
            <w:pPr>
              <w:ind w:left="260"/>
              <w:spacing w:after="0"/>
              <w:rPr>
                <w:sz w:val="20"/>
                <w:szCs w:val="20"/>
                <w:color w:val="auto"/>
              </w:rPr>
            </w:pPr>
            <w:r>
              <w:rPr>
                <w:rFonts w:ascii="Arial" w:cs="Arial" w:eastAsia="Arial" w:hAnsi="Arial"/>
                <w:sz w:val="18"/>
                <w:szCs w:val="18"/>
                <w:color w:val="auto"/>
              </w:rPr>
              <w:t>Form of Restricted Stock Unit Award Agreement (incorporated by reference from exhibit 10.1 of the</w:t>
            </w:r>
          </w:p>
        </w:tc>
      </w:tr>
      <w:tr>
        <w:trPr>
          <w:trHeight w:val="230"/>
        </w:trPr>
        <w:tc>
          <w:tcPr>
            <w:tcW w:w="2180" w:type="dxa"/>
            <w:vAlign w:val="bottom"/>
          </w:tcPr>
          <w:p>
            <w:pPr>
              <w:spacing w:after="0"/>
              <w:rPr>
                <w:sz w:val="20"/>
                <w:szCs w:val="20"/>
                <w:color w:val="auto"/>
              </w:rPr>
            </w:pPr>
          </w:p>
        </w:tc>
        <w:tc>
          <w:tcPr>
            <w:tcW w:w="9280" w:type="dxa"/>
            <w:vAlign w:val="bottom"/>
          </w:tcPr>
          <w:p>
            <w:pPr>
              <w:ind w:left="260"/>
              <w:spacing w:after="0"/>
              <w:rPr>
                <w:sz w:val="20"/>
                <w:szCs w:val="20"/>
                <w:color w:val="auto"/>
              </w:rPr>
            </w:pPr>
            <w:r>
              <w:rPr>
                <w:rFonts w:ascii="Arial" w:cs="Arial" w:eastAsia="Arial" w:hAnsi="Arial"/>
                <w:sz w:val="18"/>
                <w:szCs w:val="18"/>
                <w:color w:val="auto"/>
              </w:rPr>
              <w:t>Company’s Current Report on Form 8-K filed on January 25, 2007).</w:t>
            </w:r>
          </w:p>
        </w:tc>
      </w:tr>
      <w:tr>
        <w:trPr>
          <w:trHeight w:val="648"/>
        </w:trPr>
        <w:tc>
          <w:tcPr>
            <w:tcW w:w="2180" w:type="dxa"/>
            <w:vAlign w:val="bottom"/>
          </w:tcPr>
          <w:p>
            <w:pPr>
              <w:spacing w:after="0"/>
              <w:rPr>
                <w:sz w:val="24"/>
                <w:szCs w:val="24"/>
                <w:color w:val="auto"/>
              </w:rPr>
            </w:pPr>
          </w:p>
        </w:tc>
        <w:tc>
          <w:tcPr>
            <w:tcW w:w="9280" w:type="dxa"/>
            <w:vAlign w:val="bottom"/>
          </w:tcPr>
          <w:p>
            <w:pPr>
              <w:ind w:left="3440"/>
              <w:spacing w:after="0"/>
              <w:rPr>
                <w:sz w:val="20"/>
                <w:szCs w:val="20"/>
                <w:color w:val="auto"/>
              </w:rPr>
            </w:pPr>
            <w:r>
              <w:rPr>
                <w:rFonts w:ascii="Arial" w:cs="Arial" w:eastAsia="Arial" w:hAnsi="Arial"/>
                <w:sz w:val="18"/>
                <w:szCs w:val="18"/>
                <w:color w:val="auto"/>
              </w:rPr>
              <w:t>46</w:t>
            </w:r>
          </w:p>
        </w:tc>
      </w:tr>
      <w:tr>
        <w:trPr>
          <w:trHeight w:val="375"/>
        </w:trPr>
        <w:tc>
          <w:tcPr>
            <w:tcW w:w="2180" w:type="dxa"/>
            <w:vAlign w:val="bottom"/>
            <w:tcBorders>
              <w:bottom w:val="single" w:sz="8" w:color="010101"/>
            </w:tcBorders>
          </w:tcPr>
          <w:p>
            <w:pPr>
              <w:spacing w:after="0"/>
              <w:rPr>
                <w:sz w:val="24"/>
                <w:szCs w:val="24"/>
                <w:color w:val="auto"/>
              </w:rPr>
            </w:pPr>
          </w:p>
        </w:tc>
        <w:tc>
          <w:tcPr>
            <w:tcW w:w="9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440" w:right="1640" w:hanging="863"/>
        <w:spacing w:after="0" w:line="279" w:lineRule="auto"/>
        <w:tabs>
          <w:tab w:leader="none" w:pos="24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Revolving Credit Agreement dated as of June 26, 2007 among the Company and J.P. Morgan Securities Inc. and Banc of America Securities LLC, as joint lead arrangers and joint-bookrunners and various other agents and lenders party thereto (incorporated by reference from exhibit 10.1 of the Company’s Current Report on Form 8-K filed on July 2, 2007).</w:t>
      </w:r>
    </w:p>
    <w:p>
      <w:pPr>
        <w:spacing w:after="0" w:line="23" w:lineRule="exact"/>
        <w:rPr>
          <w:sz w:val="20"/>
          <w:szCs w:val="20"/>
          <w:color w:val="auto"/>
        </w:rPr>
      </w:pPr>
    </w:p>
    <w:p>
      <w:pPr>
        <w:ind w:left="2440" w:right="1740" w:hanging="863"/>
        <w:spacing w:after="0" w:line="259" w:lineRule="auto"/>
        <w:tabs>
          <w:tab w:leader="none" w:pos="24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364-Day Credit Agreement dated as of June 26, 2007 among the Company, J.P. Morgan Securities Inc. and Citigroup Global Markets Inc., as joint lead arrangers and joint bookrunners and various other agents and lenders party thereto (incorporated by reference from exhibit 10.2 of the Company’s Current Report on Form 8-K filed on July 2, 2007).</w:t>
      </w:r>
    </w:p>
    <w:p>
      <w:pPr>
        <w:sectPr>
          <w:pgSz w:w="11900" w:h="16838" w:orient="portrait"/>
          <w:cols w:equalWidth="0" w:num="1">
            <w:col w:w="11460"/>
          </w:cols>
          <w:pgMar w:left="240" w:top="125" w:right="199" w:bottom="250" w:gutter="0" w:footer="0" w:header="0"/>
        </w:sectPr>
      </w:pPr>
    </w:p>
    <w:bookmarkStart w:id="27" w:name="page28"/>
    <w:bookmarkEnd w:id="27"/>
    <w:p>
      <w:pPr>
        <w:ind w:left="2440" w:right="1680" w:hanging="863"/>
        <w:spacing w:after="0" w:line="302" w:lineRule="auto"/>
        <w:tabs>
          <w:tab w:leader="none" w:pos="24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First Amendment dated as of June 26, 2007 to the Credit Agreement dated as of June 28, 2006 among the Company and J.P. Morgan Securities Inc. and Banc of America Securities LLC, as joint lead arrangers and joint bookrunners and various other agents and lenders party thereto (incorporated by reference from exhibit 10.3 of the Company’s Current Report on Form 8-K filed on July 2, 2007).</w:t>
      </w:r>
    </w:p>
    <w:p>
      <w:pPr>
        <w:spacing w:after="0" w:line="6" w:lineRule="exact"/>
        <w:rPr>
          <w:sz w:val="20"/>
          <w:szCs w:val="20"/>
          <w:color w:val="auto"/>
        </w:rPr>
      </w:pPr>
    </w:p>
    <w:p>
      <w:pPr>
        <w:ind w:left="1580"/>
        <w:spacing w:after="0"/>
        <w:tabs>
          <w:tab w:leader="none" w:pos="24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Certifications pursuant to Section 302 of the Sarbanes-Oxley Act.</w:t>
      </w:r>
    </w:p>
    <w:p>
      <w:pPr>
        <w:spacing w:after="0" w:line="77" w:lineRule="exact"/>
        <w:rPr>
          <w:sz w:val="20"/>
          <w:szCs w:val="20"/>
          <w:color w:val="auto"/>
        </w:rPr>
      </w:pPr>
    </w:p>
    <w:p>
      <w:pPr>
        <w:ind w:left="1580"/>
        <w:spacing w:after="0"/>
        <w:tabs>
          <w:tab w:leader="none" w:pos="242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6"/>
          <w:szCs w:val="16"/>
          <w:color w:val="auto"/>
        </w:rPr>
        <w:t>Certifications pursuant to Section 906 of the Sarbanes-Oxley Act.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iSTAR FINANCIAL INC.</w:t>
            </w:r>
          </w:p>
        </w:tc>
        <w:tc>
          <w:tcPr>
            <w:tcW w:w="32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i w:val="1"/>
                <w:iCs w:val="1"/>
                <w:color w:val="auto"/>
              </w:rPr>
              <w:t>Registrant</w:t>
            </w:r>
          </w:p>
        </w:tc>
        <w:tc>
          <w:tcPr>
            <w:tcW w:w="3220" w:type="dxa"/>
            <w:vAlign w:val="bottom"/>
          </w:tcPr>
          <w:p>
            <w:pPr>
              <w:spacing w:after="0"/>
              <w:rPr>
                <w:sz w:val="20"/>
                <w:szCs w:val="20"/>
                <w:color w:val="auto"/>
              </w:rPr>
            </w:pP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Date: August 9, 2007</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SUGARMAN</w:t>
            </w:r>
          </w:p>
        </w:tc>
        <w:tc>
          <w:tcPr>
            <w:tcW w:w="3220" w:type="dxa"/>
            <w:vAlign w:val="bottom"/>
          </w:tcPr>
          <w:p>
            <w:pPr>
              <w:spacing w:after="0"/>
              <w:rPr>
                <w:sz w:val="24"/>
                <w:szCs w:val="24"/>
                <w:color w:val="auto"/>
              </w:rPr>
            </w:pPr>
          </w:p>
        </w:tc>
      </w:tr>
      <w:tr>
        <w:trPr>
          <w:trHeight w:val="195"/>
        </w:trPr>
        <w:tc>
          <w:tcPr>
            <w:tcW w:w="41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86"/>
              </w:rPr>
              <w:t>Jay Sugarman</w:t>
            </w:r>
          </w:p>
        </w:tc>
        <w:tc>
          <w:tcPr>
            <w:tcW w:w="322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1"/>
              </w:rPr>
              <w:t>Chairman of the Board of Directors and</w:t>
            </w:r>
          </w:p>
        </w:tc>
        <w:tc>
          <w:tcPr>
            <w:tcW w:w="32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3"/>
              </w:rPr>
              <w:t>Chief Executive Officer (Principal executive officer)</w:t>
            </w:r>
          </w:p>
        </w:tc>
        <w:tc>
          <w:tcPr>
            <w:tcW w:w="3220" w:type="dxa"/>
            <w:vAlign w:val="bottom"/>
          </w:tcPr>
          <w:p>
            <w:pPr>
              <w:spacing w:after="0"/>
              <w:rPr>
                <w:sz w:val="20"/>
                <w:szCs w:val="20"/>
                <w:color w:val="auto"/>
              </w:rPr>
            </w:pP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Date: August 9, 2007</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D. RICE</w:t>
            </w:r>
          </w:p>
        </w:tc>
        <w:tc>
          <w:tcPr>
            <w:tcW w:w="3220" w:type="dxa"/>
            <w:vAlign w:val="bottom"/>
          </w:tcPr>
          <w:p>
            <w:pPr>
              <w:spacing w:after="0"/>
              <w:rPr>
                <w:sz w:val="24"/>
                <w:szCs w:val="24"/>
                <w:color w:val="auto"/>
              </w:rPr>
            </w:pPr>
          </w:p>
        </w:tc>
      </w:tr>
      <w:tr>
        <w:trPr>
          <w:trHeight w:val="195"/>
        </w:trPr>
        <w:tc>
          <w:tcPr>
            <w:tcW w:w="4120" w:type="dxa"/>
            <w:vAlign w:val="bottom"/>
          </w:tcPr>
          <w:p>
            <w:pPr>
              <w:spacing w:after="0"/>
              <w:rPr>
                <w:sz w:val="16"/>
                <w:szCs w:val="16"/>
                <w:color w:val="auto"/>
              </w:rPr>
            </w:pPr>
          </w:p>
        </w:tc>
        <w:tc>
          <w:tcPr>
            <w:tcW w:w="4120" w:type="dxa"/>
            <w:vAlign w:val="bottom"/>
          </w:tcPr>
          <w:p>
            <w:pPr>
              <w:jc w:val="center"/>
              <w:spacing w:after="0" w:line="195" w:lineRule="exact"/>
              <w:rPr>
                <w:sz w:val="20"/>
                <w:szCs w:val="20"/>
                <w:color w:val="auto"/>
              </w:rPr>
            </w:pPr>
            <w:r>
              <w:rPr>
                <w:rFonts w:ascii="Arial" w:cs="Arial" w:eastAsia="Arial" w:hAnsi="Arial"/>
                <w:sz w:val="18"/>
                <w:szCs w:val="18"/>
                <w:color w:val="auto"/>
                <w:w w:val="90"/>
              </w:rPr>
              <w:t>Catherine D. Rice</w:t>
            </w:r>
          </w:p>
        </w:tc>
        <w:tc>
          <w:tcPr>
            <w:tcW w:w="322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c>
          <w:tcPr>
            <w:tcW w:w="32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financial and accounting officer)</w:t>
            </w:r>
          </w:p>
        </w:tc>
        <w:tc>
          <w:tcPr>
            <w:tcW w:w="3220" w:type="dxa"/>
            <w:vAlign w:val="bottom"/>
          </w:tcPr>
          <w:p>
            <w:pPr>
              <w:spacing w:after="0"/>
              <w:rPr>
                <w:sz w:val="20"/>
                <w:szCs w:val="20"/>
                <w:color w:val="auto"/>
              </w:rPr>
            </w:pPr>
          </w:p>
        </w:tc>
      </w:tr>
      <w:tr>
        <w:trPr>
          <w:trHeight w:val="797"/>
        </w:trPr>
        <w:tc>
          <w:tcPr>
            <w:tcW w:w="4120" w:type="dxa"/>
            <w:vAlign w:val="bottom"/>
          </w:tcPr>
          <w:p>
            <w:pPr>
              <w:spacing w:after="0"/>
              <w:rPr>
                <w:sz w:val="24"/>
                <w:szCs w:val="24"/>
                <w:color w:val="auto"/>
              </w:rPr>
            </w:pPr>
          </w:p>
        </w:tc>
        <w:tc>
          <w:tcPr>
            <w:tcW w:w="4120" w:type="dxa"/>
            <w:vAlign w:val="bottom"/>
          </w:tcPr>
          <w:p>
            <w:pPr>
              <w:ind w:left="1500"/>
              <w:spacing w:after="0"/>
              <w:rPr>
                <w:sz w:val="20"/>
                <w:szCs w:val="20"/>
                <w:color w:val="auto"/>
              </w:rPr>
            </w:pPr>
            <w:r>
              <w:rPr>
                <w:rFonts w:ascii="Arial" w:cs="Arial" w:eastAsia="Arial" w:hAnsi="Arial"/>
                <w:sz w:val="18"/>
                <w:szCs w:val="18"/>
                <w:color w:val="auto"/>
              </w:rPr>
              <w:t>48</w:t>
            </w:r>
          </w:p>
        </w:tc>
        <w:tc>
          <w:tcPr>
            <w:tcW w:w="3220" w:type="dxa"/>
            <w:vAlign w:val="bottom"/>
          </w:tcPr>
          <w:p>
            <w:pPr>
              <w:spacing w:after="0"/>
              <w:rPr>
                <w:sz w:val="24"/>
                <w:szCs w:val="24"/>
                <w:color w:val="auto"/>
              </w:rPr>
            </w:pPr>
          </w:p>
        </w:tc>
      </w:tr>
      <w:tr>
        <w:trPr>
          <w:trHeight w:val="375"/>
        </w:trPr>
        <w:tc>
          <w:tcPr>
            <w:tcW w:w="4120" w:type="dxa"/>
            <w:vAlign w:val="bottom"/>
            <w:tcBorders>
              <w:bottom w:val="single" w:sz="8" w:color="010101"/>
            </w:tcBorders>
          </w:tcPr>
          <w:p>
            <w:pPr>
              <w:spacing w:after="0"/>
              <w:rPr>
                <w:sz w:val="24"/>
                <w:szCs w:val="24"/>
                <w:color w:val="auto"/>
              </w:rPr>
            </w:pPr>
          </w:p>
        </w:tc>
        <w:tc>
          <w:tcPr>
            <w:tcW w:w="412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17" w:lineRule="exact"/>
        <w:rPr>
          <w:sz w:val="20"/>
          <w:szCs w:val="20"/>
          <w:color w:val="auto"/>
        </w:rPr>
      </w:pPr>
    </w:p>
    <w:p>
      <w:pPr>
        <w:ind w:left="720" w:hanging="352"/>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17" w:lineRule="exact"/>
        <w:rPr>
          <w:rFonts w:ascii="Arial" w:cs="Arial" w:eastAsia="Arial" w:hAnsi="Arial"/>
          <w:sz w:val="18"/>
          <w:szCs w:val="18"/>
          <w:color w:val="auto"/>
        </w:rPr>
      </w:pPr>
    </w:p>
    <w:p>
      <w:pPr>
        <w:jc w:val="both"/>
        <w:ind w:left="720" w:right="220" w:hanging="352"/>
        <w:spacing w:after="0" w:line="264"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20" w:right="200" w:hanging="352"/>
        <w:spacing w:after="0" w:line="308"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20" w:right="220" w:hanging="352"/>
        <w:spacing w:after="0" w:line="264" w:lineRule="auto"/>
        <w:tabs>
          <w:tab w:leader="none" w:pos="7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80" w:right="140" w:hanging="352"/>
        <w:spacing w:after="0" w:line="264" w:lineRule="auto"/>
        <w:tabs>
          <w:tab w:leader="none" w:pos="10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80" w:right="440" w:hanging="352"/>
        <w:spacing w:after="0" w:line="264" w:lineRule="auto"/>
        <w:tabs>
          <w:tab w:leader="none" w:pos="10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80" w:right="600" w:hanging="352"/>
        <w:spacing w:after="0" w:line="342" w:lineRule="auto"/>
        <w:tabs>
          <w:tab w:leader="none" w:pos="1068"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80" w:right="120" w:hanging="352"/>
        <w:spacing w:after="0" w:line="264" w:lineRule="auto"/>
        <w:tabs>
          <w:tab w:leader="none" w:pos="10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20" w:right="120" w:hanging="352"/>
        <w:spacing w:after="0" w:line="308"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80" w:right="40" w:hanging="352"/>
        <w:spacing w:after="0" w:line="277" w:lineRule="auto"/>
        <w:tabs>
          <w:tab w:leader="none" w:pos="106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80" w:right="540" w:hanging="352"/>
        <w:spacing w:after="0" w:line="277" w:lineRule="auto"/>
        <w:tabs>
          <w:tab w:leader="none" w:pos="106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Date: August 9, 2007</w:t>
            </w:r>
          </w:p>
        </w:tc>
        <w:tc>
          <w:tcPr>
            <w:tcW w:w="5520" w:type="dxa"/>
            <w:vAlign w:val="bottom"/>
            <w:gridSpan w:val="2"/>
          </w:tcPr>
          <w:p>
            <w:pPr>
              <w:ind w:left="1200"/>
              <w:spacing w:after="0"/>
              <w:rPr>
                <w:sz w:val="20"/>
                <w:szCs w:val="20"/>
                <w:color w:val="auto"/>
              </w:rPr>
            </w:pPr>
            <w:r>
              <w:rPr>
                <w:rFonts w:ascii="Arial" w:cs="Arial" w:eastAsia="Arial" w:hAnsi="Arial"/>
                <w:sz w:val="18"/>
                <w:szCs w:val="18"/>
                <w:color w:val="auto"/>
              </w:rPr>
              <w:t>By: /s/ JAY SUGARMAN</w:t>
            </w:r>
          </w:p>
        </w:tc>
      </w:tr>
      <w:tr>
        <w:trPr>
          <w:trHeight w:val="195"/>
        </w:trPr>
        <w:tc>
          <w:tcPr>
            <w:tcW w:w="2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Jay Sugarman</w:t>
            </w:r>
          </w:p>
        </w:tc>
      </w:tr>
      <w:tr>
        <w:trPr>
          <w:trHeight w:val="230"/>
        </w:trPr>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117" w:lineRule="exact"/>
        <w:rPr>
          <w:sz w:val="20"/>
          <w:szCs w:val="20"/>
          <w:color w:val="auto"/>
        </w:rPr>
      </w:pPr>
    </w:p>
    <w:p>
      <w:pPr>
        <w:ind w:left="720" w:hanging="35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17" w:lineRule="exact"/>
        <w:rPr>
          <w:rFonts w:ascii="Arial" w:cs="Arial" w:eastAsia="Arial" w:hAnsi="Arial"/>
          <w:sz w:val="18"/>
          <w:szCs w:val="18"/>
          <w:color w:val="auto"/>
        </w:rPr>
      </w:pPr>
    </w:p>
    <w:p>
      <w:pPr>
        <w:jc w:val="both"/>
        <w:ind w:left="720" w:right="220" w:hanging="352"/>
        <w:spacing w:after="0" w:line="264"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20" w:right="200" w:hanging="352"/>
        <w:spacing w:after="0" w:line="308"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20" w:right="220" w:hanging="352"/>
        <w:spacing w:after="0" w:line="264" w:lineRule="auto"/>
        <w:tabs>
          <w:tab w:leader="none" w:pos="7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80" w:right="140" w:hanging="352"/>
        <w:spacing w:after="0" w:line="264" w:lineRule="auto"/>
        <w:tabs>
          <w:tab w:leader="none" w:pos="1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80" w:right="440" w:hanging="352"/>
        <w:spacing w:after="0" w:line="264" w:lineRule="auto"/>
        <w:tabs>
          <w:tab w:leader="none" w:pos="10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80" w:right="600" w:hanging="352"/>
        <w:spacing w:after="0" w:line="342" w:lineRule="auto"/>
        <w:tabs>
          <w:tab w:leader="none" w:pos="1068"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80" w:right="120" w:hanging="352"/>
        <w:spacing w:after="0" w:line="264" w:lineRule="auto"/>
        <w:tabs>
          <w:tab w:leader="none" w:pos="10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20" w:right="120" w:hanging="352"/>
        <w:spacing w:after="0" w:line="308" w:lineRule="auto"/>
        <w:tabs>
          <w:tab w:leader="none" w:pos="7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80" w:right="40" w:hanging="352"/>
        <w:spacing w:after="0" w:line="277" w:lineRule="auto"/>
        <w:tabs>
          <w:tab w:leader="none" w:pos="1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420"/>
          </w:cols>
          <w:pgMar w:left="240" w:top="121" w:right="239" w:bottom="0" w:gutter="0" w:footer="0" w:header="0"/>
        </w:sectPr>
      </w:pPr>
    </w:p>
    <w:bookmarkStart w:id="29" w:name="page30"/>
    <w:bookmarkEnd w:id="29"/>
    <w:p>
      <w:pPr>
        <w:ind w:left="1080" w:right="580" w:hanging="352"/>
        <w:spacing w:after="0" w:line="277" w:lineRule="auto"/>
        <w:tabs>
          <w:tab w:leader="none" w:pos="10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Date: August 9, 2007</w:t>
            </w:r>
          </w:p>
        </w:tc>
        <w:tc>
          <w:tcPr>
            <w:tcW w:w="5380" w:type="dxa"/>
            <w:vAlign w:val="bottom"/>
            <w:gridSpan w:val="2"/>
          </w:tcPr>
          <w:p>
            <w:pPr>
              <w:ind w:left="1300"/>
              <w:spacing w:after="0"/>
              <w:rPr>
                <w:sz w:val="20"/>
                <w:szCs w:val="20"/>
                <w:color w:val="auto"/>
              </w:rPr>
            </w:pPr>
            <w:r>
              <w:rPr>
                <w:rFonts w:ascii="Arial" w:cs="Arial" w:eastAsia="Arial" w:hAnsi="Arial"/>
                <w:sz w:val="18"/>
                <w:szCs w:val="18"/>
                <w:color w:val="auto"/>
              </w:rPr>
              <w:t>By: /s/ CATHERINE D. RICE</w:t>
            </w:r>
          </w:p>
        </w:tc>
        <w:tc>
          <w:tcPr>
            <w:tcW w:w="3220" w:type="dxa"/>
            <w:vAlign w:val="bottom"/>
          </w:tcPr>
          <w:p>
            <w:pPr>
              <w:spacing w:after="0"/>
              <w:rPr>
                <w:sz w:val="20"/>
                <w:szCs w:val="20"/>
                <w:color w:val="auto"/>
              </w:rPr>
            </w:pPr>
          </w:p>
        </w:tc>
      </w:tr>
      <w:tr>
        <w:trPr>
          <w:trHeight w:val="195"/>
        </w:trPr>
        <w:tc>
          <w:tcPr>
            <w:tcW w:w="2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Catherine D. Rice</w:t>
            </w:r>
          </w:p>
        </w:tc>
        <w:tc>
          <w:tcPr>
            <w:tcW w:w="3220" w:type="dxa"/>
            <w:vAlign w:val="bottom"/>
          </w:tcPr>
          <w:p>
            <w:pPr>
              <w:spacing w:after="0"/>
              <w:rPr>
                <w:sz w:val="16"/>
                <w:szCs w:val="16"/>
                <w:color w:val="auto"/>
              </w:rPr>
            </w:pPr>
          </w:p>
        </w:tc>
      </w:tr>
      <w:tr>
        <w:trPr>
          <w:trHeight w:val="230"/>
        </w:trPr>
        <w:tc>
          <w:tcPr>
            <w:tcW w:w="2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tc>
        <w:tc>
          <w:tcPr>
            <w:tcW w:w="3220" w:type="dxa"/>
            <w:vAlign w:val="bottom"/>
          </w:tcPr>
          <w:p>
            <w:pPr>
              <w:spacing w:after="0"/>
              <w:rPr>
                <w:sz w:val="20"/>
                <w:szCs w:val="20"/>
                <w:color w:val="auto"/>
              </w:rPr>
            </w:pPr>
          </w:p>
        </w:tc>
      </w:tr>
      <w:tr>
        <w:trPr>
          <w:trHeight w:val="645"/>
        </w:trPr>
        <w:tc>
          <w:tcPr>
            <w:tcW w:w="286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3780" w:type="dxa"/>
            <w:vAlign w:val="bottom"/>
            <w:tcBorders>
              <w:bottom w:val="single" w:sz="8" w:color="010101"/>
            </w:tcBorders>
          </w:tcPr>
          <w:p>
            <w:pPr>
              <w:spacing w:after="0"/>
              <w:rPr>
                <w:sz w:val="24"/>
                <w:szCs w:val="24"/>
                <w:color w:val="auto"/>
              </w:rPr>
            </w:pPr>
          </w:p>
        </w:tc>
        <w:tc>
          <w:tcPr>
            <w:tcW w:w="3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June 30,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 JAY SUGARMAN</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-130810</wp:posOffset>
            </wp:positionV>
            <wp:extent cx="2418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June 30,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4120"/>
        <w:spacing w:after="0"/>
        <w:tabs>
          <w:tab w:leader="none" w:pos="4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CATHERINE D. RICE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-130810</wp:posOffset>
            </wp:positionV>
            <wp:extent cx="23666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2"/>
    </w:lvl>
  </w:abstractNum>
  <w:abstractNum w:abstractNumId="18">
    <w:nsid w:val="436C6125"/>
    <w:multiLevelType w:val="hybridMultilevel"/>
    <w:lvl w:ilvl="0">
      <w:lvlJc w:val="left"/>
      <w:lvlText w:val="%1."/>
      <w:numFmt w:val="decimal"/>
      <w:start w:val="3"/>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2019-12-15T00:37:39Z</dcterms:created>
  <dcterms:modified xsi:type="dcterms:W3CDTF">2019-12-15T00:37:39Z</dcterms:modified>
</cp:coreProperties>
</file>