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246620" cy="774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77470"/>
                    </a:xfrm>
                    <a:prstGeom prst="rect">
                      <a:avLst/>
                    </a:prstGeom>
                    <a:noFill/>
                  </pic:spPr>
                </pic:pic>
              </a:graphicData>
            </a:graphic>
          </wp:anchor>
        </w:drawing>
      </w:r>
    </w:p>
    <w:p>
      <w:pPr>
        <w:spacing w:after="0" w:line="200" w:lineRule="exact"/>
        <w:rPr>
          <w:sz w:val="24"/>
          <w:szCs w:val="24"/>
          <w:color w:val="auto"/>
        </w:rPr>
      </w:pPr>
    </w:p>
    <w:p>
      <w:pPr>
        <w:spacing w:after="0" w:line="32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 w:lineRule="exact"/>
        <w:rPr>
          <w:sz w:val="24"/>
          <w:szCs w:val="24"/>
          <w:color w:val="auto"/>
        </w:rPr>
      </w:pPr>
    </w:p>
    <w:p>
      <w:pPr>
        <w:ind w:left="2880"/>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1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317" w:lineRule="exact"/>
        <w:rPr>
          <w:sz w:val="24"/>
          <w:szCs w:val="24"/>
          <w:color w:val="auto"/>
        </w:rPr>
      </w:pPr>
    </w:p>
    <w:p>
      <w:pPr>
        <w:ind w:left="1380"/>
        <w:spacing w:after="0"/>
        <w:rPr>
          <w:sz w:val="20"/>
          <w:szCs w:val="20"/>
          <w:color w:val="auto"/>
        </w:rPr>
      </w:pPr>
      <w:r>
        <w:rPr>
          <w:rFonts w:ascii="Arial" w:cs="Arial" w:eastAsia="Arial" w:hAnsi="Arial"/>
          <w:sz w:val="18"/>
          <w:szCs w:val="18"/>
          <w:b w:val="1"/>
          <w:bCs w:val="1"/>
          <w:color w:val="auto"/>
        </w:rPr>
        <w:t>(Mark One)</w:t>
      </w:r>
    </w:p>
    <w:p>
      <w:pPr>
        <w:spacing w:after="0" w:line="54" w:lineRule="exact"/>
        <w:rPr>
          <w:sz w:val="24"/>
          <w:szCs w:val="24"/>
          <w:color w:val="auto"/>
        </w:rPr>
      </w:pPr>
    </w:p>
    <w:p>
      <w:pPr>
        <w:ind w:left="2600" w:right="1840" w:hanging="850"/>
        <w:spacing w:after="0" w:line="256" w:lineRule="auto"/>
        <w:tabs>
          <w:tab w:leader="none" w:pos="260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March 31, 2014</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54" w:lineRule="exact"/>
        <w:rPr>
          <w:sz w:val="24"/>
          <w:szCs w:val="24"/>
          <w:color w:val="auto"/>
        </w:rPr>
      </w:pPr>
    </w:p>
    <w:p>
      <w:pPr>
        <w:ind w:left="2600" w:right="1820" w:hanging="809"/>
        <w:spacing w:after="0" w:line="256" w:lineRule="auto"/>
        <w:tabs>
          <w:tab w:leader="none" w:pos="260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420"/>
          </w:cols>
          <w:pgMar w:left="240" w:top="233" w:right="239" w:bottom="1440" w:gutter="0" w:footer="0" w:header="0"/>
        </w:sectPr>
      </w:pPr>
    </w:p>
    <w:p>
      <w:pPr>
        <w:spacing w:after="0" w:line="10" w:lineRule="exact"/>
        <w:rPr>
          <w:sz w:val="24"/>
          <w:szCs w:val="24"/>
          <w:color w:val="auto"/>
        </w:rPr>
      </w:pPr>
    </w:p>
    <w:p>
      <w:pPr>
        <w:ind w:left="390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to</w:t>
      </w:r>
    </w:p>
    <w:p>
      <w:pPr>
        <w:spacing w:after="0" w:line="194" w:lineRule="exact"/>
        <w:rPr>
          <w:sz w:val="24"/>
          <w:szCs w:val="24"/>
          <w:color w:val="auto"/>
        </w:rPr>
      </w:pPr>
    </w:p>
    <w:p>
      <w:pPr>
        <w:sectPr>
          <w:pgSz w:w="11900" w:h="16838" w:orient="portrait"/>
          <w:cols w:equalWidth="0" w:num="2">
            <w:col w:w="6220" w:space="620"/>
            <w:col w:w="4580"/>
          </w:cols>
          <w:pgMar w:left="240" w:top="233" w:right="239" w:bottom="144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Commission File No. 1-15371</w:t>
      </w:r>
    </w:p>
    <w:p>
      <w:pPr>
        <w:spacing w:after="0" w:line="144" w:lineRule="exact"/>
        <w:rPr>
          <w:sz w:val="24"/>
          <w:szCs w:val="24"/>
          <w:color w:val="auto"/>
        </w:rPr>
      </w:pPr>
    </w:p>
    <w:p>
      <w:pPr>
        <w:ind w:left="2880"/>
        <w:spacing w:after="0"/>
        <w:rPr>
          <w:sz w:val="20"/>
          <w:szCs w:val="20"/>
          <w:color w:val="auto"/>
        </w:rPr>
      </w:pPr>
      <w:r>
        <w:rPr>
          <w:rFonts w:ascii="Arial" w:cs="Arial" w:eastAsia="Arial" w:hAnsi="Arial"/>
          <w:sz w:val="12"/>
          <w:szCs w:val="12"/>
          <w:color w:val="auto"/>
        </w:rPr>
        <w:t>_______________________________________________________________________________</w:t>
      </w:r>
    </w:p>
    <w:p>
      <w:pPr>
        <w:sectPr>
          <w:pgSz w:w="11900" w:h="16838" w:orient="portrait"/>
          <w:cols w:equalWidth="0" w:num="1">
            <w:col w:w="11420"/>
          </w:cols>
          <w:pgMar w:left="240" w:top="233" w:right="239" w:bottom="1440" w:gutter="0" w:footer="0" w:header="0"/>
          <w:type w:val="continuous"/>
        </w:sectPr>
      </w:pPr>
    </w:p>
    <w:p>
      <w:pPr>
        <w:spacing w:after="0" w:line="150" w:lineRule="exact"/>
        <w:rPr>
          <w:sz w:val="24"/>
          <w:szCs w:val="24"/>
          <w:color w:val="auto"/>
        </w:rPr>
      </w:pPr>
    </w:p>
    <w:tbl>
      <w:tblPr>
        <w:tblLayout w:type="fixed"/>
        <w:tblInd w:w="1220" w:type="dxa"/>
        <w:tblCellMar>
          <w:top w:w="0" w:type="dxa"/>
          <w:left w:w="0" w:type="dxa"/>
          <w:bottom w:w="0" w:type="dxa"/>
          <w:right w:w="0" w:type="dxa"/>
        </w:tblCellMar>
      </w:tblPr>
      <w:tr>
        <w:trPr>
          <w:trHeight w:val="391"/>
        </w:trPr>
        <w:tc>
          <w:tcPr>
            <w:tcW w:w="6500" w:type="dxa"/>
            <w:vAlign w:val="bottom"/>
          </w:tcPr>
          <w:p>
            <w:pPr>
              <w:jc w:val="center"/>
              <w:ind w:left="2381"/>
              <w:spacing w:after="0"/>
              <w:rPr>
                <w:sz w:val="20"/>
                <w:szCs w:val="20"/>
                <w:color w:val="auto"/>
              </w:rPr>
            </w:pPr>
            <w:r>
              <w:rPr>
                <w:rFonts w:ascii="Arial" w:cs="Arial" w:eastAsia="Arial" w:hAnsi="Arial"/>
                <w:sz w:val="32"/>
                <w:szCs w:val="32"/>
                <w:b w:val="1"/>
                <w:bCs w:val="1"/>
                <w:color w:val="auto"/>
              </w:rPr>
              <w:t>iSTAR FINANCIAL INC.</w:t>
            </w:r>
          </w:p>
        </w:tc>
        <w:tc>
          <w:tcPr>
            <w:tcW w:w="1800" w:type="dxa"/>
            <w:vAlign w:val="bottom"/>
          </w:tcPr>
          <w:p>
            <w:pPr>
              <w:spacing w:after="0"/>
              <w:rPr>
                <w:sz w:val="24"/>
                <w:szCs w:val="24"/>
                <w:color w:val="auto"/>
              </w:rPr>
            </w:pPr>
          </w:p>
        </w:tc>
      </w:tr>
      <w:tr>
        <w:trPr>
          <w:trHeight w:val="230"/>
        </w:trPr>
        <w:tc>
          <w:tcPr>
            <w:tcW w:w="6500" w:type="dxa"/>
            <w:vAlign w:val="bottom"/>
          </w:tcPr>
          <w:p>
            <w:pPr>
              <w:jc w:val="center"/>
              <w:ind w:left="2401"/>
              <w:spacing w:after="0"/>
              <w:rPr>
                <w:sz w:val="20"/>
                <w:szCs w:val="20"/>
                <w:color w:val="auto"/>
              </w:rPr>
            </w:pPr>
            <w:r>
              <w:rPr>
                <w:rFonts w:ascii="Arial" w:cs="Arial" w:eastAsia="Arial" w:hAnsi="Arial"/>
                <w:sz w:val="18"/>
                <w:szCs w:val="18"/>
                <w:color w:val="auto"/>
                <w:w w:val="90"/>
              </w:rPr>
              <w:t>(Exact name of registrant as specified in its charter)</w:t>
            </w:r>
          </w:p>
        </w:tc>
        <w:tc>
          <w:tcPr>
            <w:tcW w:w="1800" w:type="dxa"/>
            <w:vAlign w:val="bottom"/>
          </w:tcPr>
          <w:p>
            <w:pPr>
              <w:spacing w:after="0"/>
              <w:rPr>
                <w:sz w:val="20"/>
                <w:szCs w:val="20"/>
                <w:color w:val="auto"/>
              </w:rPr>
            </w:pPr>
          </w:p>
        </w:tc>
      </w:tr>
      <w:tr>
        <w:trPr>
          <w:trHeight w:val="499"/>
        </w:trPr>
        <w:tc>
          <w:tcPr>
            <w:tcW w:w="6500" w:type="dxa"/>
            <w:vAlign w:val="bottom"/>
          </w:tcPr>
          <w:p>
            <w:pPr>
              <w:jc w:val="center"/>
              <w:ind w:right="3341"/>
              <w:spacing w:after="0"/>
              <w:rPr>
                <w:sz w:val="20"/>
                <w:szCs w:val="20"/>
                <w:color w:val="auto"/>
              </w:rPr>
            </w:pPr>
            <w:r>
              <w:rPr>
                <w:rFonts w:ascii="Arial" w:cs="Arial" w:eastAsia="Arial" w:hAnsi="Arial"/>
                <w:sz w:val="18"/>
                <w:szCs w:val="18"/>
                <w:b w:val="1"/>
                <w:bCs w:val="1"/>
                <w:color w:val="auto"/>
                <w:w w:val="98"/>
              </w:rPr>
              <w:t>Maryland</w:t>
            </w:r>
          </w:p>
        </w:tc>
        <w:tc>
          <w:tcPr>
            <w:tcW w:w="1800" w:type="dxa"/>
            <w:vAlign w:val="bottom"/>
          </w:tcPr>
          <w:p>
            <w:pPr>
              <w:jc w:val="right"/>
              <w:ind w:right="310"/>
              <w:spacing w:after="0"/>
              <w:rPr>
                <w:sz w:val="20"/>
                <w:szCs w:val="20"/>
                <w:color w:val="auto"/>
              </w:rPr>
            </w:pPr>
            <w:r>
              <w:rPr>
                <w:rFonts w:ascii="Arial" w:cs="Arial" w:eastAsia="Arial" w:hAnsi="Arial"/>
                <w:sz w:val="18"/>
                <w:szCs w:val="18"/>
                <w:b w:val="1"/>
                <w:bCs w:val="1"/>
                <w:color w:val="auto"/>
              </w:rPr>
              <w:t>95-6881527</w:t>
            </w:r>
          </w:p>
        </w:tc>
      </w:tr>
      <w:tr>
        <w:trPr>
          <w:trHeight w:val="216"/>
        </w:trPr>
        <w:tc>
          <w:tcPr>
            <w:tcW w:w="6500" w:type="dxa"/>
            <w:vAlign w:val="bottom"/>
          </w:tcPr>
          <w:p>
            <w:pPr>
              <w:jc w:val="center"/>
              <w:ind w:right="3341"/>
              <w:spacing w:after="0"/>
              <w:rPr>
                <w:sz w:val="20"/>
                <w:szCs w:val="20"/>
                <w:color w:val="auto"/>
              </w:rPr>
            </w:pPr>
            <w:r>
              <w:rPr>
                <w:rFonts w:ascii="Arial" w:cs="Arial" w:eastAsia="Arial" w:hAnsi="Arial"/>
                <w:sz w:val="18"/>
                <w:szCs w:val="18"/>
                <w:color w:val="auto"/>
                <w:w w:val="93"/>
              </w:rPr>
              <w:t>(State or other jurisdiction of</w:t>
            </w:r>
          </w:p>
        </w:tc>
        <w:tc>
          <w:tcPr>
            <w:tcW w:w="1800" w:type="dxa"/>
            <w:vAlign w:val="bottom"/>
          </w:tcPr>
          <w:p>
            <w:pPr>
              <w:jc w:val="center"/>
              <w:ind w:left="50"/>
              <w:spacing w:after="0"/>
              <w:rPr>
                <w:sz w:val="20"/>
                <w:szCs w:val="20"/>
                <w:color w:val="auto"/>
              </w:rPr>
            </w:pPr>
            <w:r>
              <w:rPr>
                <w:rFonts w:ascii="Arial" w:cs="Arial" w:eastAsia="Arial" w:hAnsi="Arial"/>
                <w:sz w:val="18"/>
                <w:szCs w:val="18"/>
                <w:color w:val="auto"/>
                <w:w w:val="92"/>
              </w:rPr>
              <w:t>(I.R.S. Employer</w:t>
            </w:r>
          </w:p>
        </w:tc>
      </w:tr>
      <w:tr>
        <w:trPr>
          <w:trHeight w:val="230"/>
        </w:trPr>
        <w:tc>
          <w:tcPr>
            <w:tcW w:w="6500" w:type="dxa"/>
            <w:vAlign w:val="bottom"/>
          </w:tcPr>
          <w:p>
            <w:pPr>
              <w:jc w:val="center"/>
              <w:ind w:right="3341"/>
              <w:spacing w:after="0"/>
              <w:rPr>
                <w:sz w:val="20"/>
                <w:szCs w:val="20"/>
                <w:color w:val="auto"/>
              </w:rPr>
            </w:pPr>
            <w:r>
              <w:rPr>
                <w:rFonts w:ascii="Arial" w:cs="Arial" w:eastAsia="Arial" w:hAnsi="Arial"/>
                <w:sz w:val="18"/>
                <w:szCs w:val="18"/>
                <w:color w:val="auto"/>
                <w:w w:val="93"/>
              </w:rPr>
              <w:t>incorporation or organization)</w:t>
            </w:r>
          </w:p>
        </w:tc>
        <w:tc>
          <w:tcPr>
            <w:tcW w:w="1800" w:type="dxa"/>
            <w:vAlign w:val="bottom"/>
          </w:tcPr>
          <w:p>
            <w:pPr>
              <w:jc w:val="center"/>
              <w:ind w:left="50"/>
              <w:spacing w:after="0"/>
              <w:rPr>
                <w:sz w:val="20"/>
                <w:szCs w:val="20"/>
                <w:color w:val="auto"/>
              </w:rPr>
            </w:pPr>
            <w:r>
              <w:rPr>
                <w:rFonts w:ascii="Arial" w:cs="Arial" w:eastAsia="Arial" w:hAnsi="Arial"/>
                <w:sz w:val="18"/>
                <w:szCs w:val="18"/>
                <w:color w:val="auto"/>
                <w:w w:val="94"/>
              </w:rPr>
              <w:t>Identification Number)</w:t>
            </w:r>
          </w:p>
        </w:tc>
      </w:tr>
      <w:tr>
        <w:trPr>
          <w:trHeight w:val="270"/>
        </w:trPr>
        <w:tc>
          <w:tcPr>
            <w:tcW w:w="6500" w:type="dxa"/>
            <w:vAlign w:val="bottom"/>
          </w:tcPr>
          <w:p>
            <w:pPr>
              <w:jc w:val="center"/>
              <w:ind w:right="3341"/>
              <w:spacing w:after="0"/>
              <w:rPr>
                <w:sz w:val="20"/>
                <w:szCs w:val="20"/>
                <w:color w:val="auto"/>
              </w:rPr>
            </w:pPr>
            <w:r>
              <w:rPr>
                <w:rFonts w:ascii="Arial" w:cs="Arial" w:eastAsia="Arial" w:hAnsi="Arial"/>
                <w:sz w:val="18"/>
                <w:szCs w:val="18"/>
                <w:b w:val="1"/>
                <w:bCs w:val="1"/>
                <w:color w:val="auto"/>
                <w:w w:val="89"/>
              </w:rPr>
              <w:t>1114 Avenue of the Americas, 39</w:t>
            </w:r>
            <w:r>
              <w:rPr>
                <w:rFonts w:ascii="Arial" w:cs="Arial" w:eastAsia="Arial" w:hAnsi="Arial"/>
                <w:sz w:val="14"/>
                <w:szCs w:val="14"/>
                <w:b w:val="1"/>
                <w:bCs w:val="1"/>
                <w:color w:val="auto"/>
                <w:w w:val="89"/>
              </w:rPr>
              <w:t>th</w:t>
            </w:r>
            <w:r>
              <w:rPr>
                <w:rFonts w:ascii="Arial" w:cs="Arial" w:eastAsia="Arial" w:hAnsi="Arial"/>
                <w:sz w:val="18"/>
                <w:szCs w:val="18"/>
                <w:b w:val="1"/>
                <w:bCs w:val="1"/>
                <w:color w:val="auto"/>
                <w:w w:val="89"/>
              </w:rPr>
              <w:t xml:space="preserve"> Floor</w:t>
            </w:r>
          </w:p>
        </w:tc>
        <w:tc>
          <w:tcPr>
            <w:tcW w:w="1800" w:type="dxa"/>
            <w:vAlign w:val="bottom"/>
          </w:tcPr>
          <w:p>
            <w:pPr>
              <w:spacing w:after="0"/>
              <w:rPr>
                <w:sz w:val="23"/>
                <w:szCs w:val="23"/>
                <w:color w:val="auto"/>
              </w:rPr>
            </w:pPr>
          </w:p>
        </w:tc>
      </w:tr>
      <w:tr>
        <w:trPr>
          <w:trHeight w:val="256"/>
        </w:trPr>
        <w:tc>
          <w:tcPr>
            <w:tcW w:w="6500" w:type="dxa"/>
            <w:vAlign w:val="bottom"/>
          </w:tcPr>
          <w:p>
            <w:pPr>
              <w:jc w:val="center"/>
              <w:ind w:right="3341"/>
              <w:spacing w:after="0"/>
              <w:rPr>
                <w:sz w:val="20"/>
                <w:szCs w:val="20"/>
                <w:color w:val="auto"/>
              </w:rPr>
            </w:pPr>
            <w:r>
              <w:rPr>
                <w:rFonts w:ascii="Arial" w:cs="Arial" w:eastAsia="Arial" w:hAnsi="Arial"/>
                <w:sz w:val="18"/>
                <w:szCs w:val="18"/>
                <w:b w:val="1"/>
                <w:bCs w:val="1"/>
                <w:color w:val="auto"/>
                <w:w w:val="93"/>
              </w:rPr>
              <w:t>New York, NY</w:t>
            </w:r>
          </w:p>
        </w:tc>
        <w:tc>
          <w:tcPr>
            <w:tcW w:w="1800" w:type="dxa"/>
            <w:vAlign w:val="bottom"/>
          </w:tcPr>
          <w:p>
            <w:pPr>
              <w:jc w:val="right"/>
              <w:ind w:right="510"/>
              <w:spacing w:after="0"/>
              <w:rPr>
                <w:sz w:val="20"/>
                <w:szCs w:val="20"/>
                <w:color w:val="auto"/>
              </w:rPr>
            </w:pPr>
            <w:r>
              <w:rPr>
                <w:rFonts w:ascii="Arial" w:cs="Arial" w:eastAsia="Arial" w:hAnsi="Arial"/>
                <w:sz w:val="18"/>
                <w:szCs w:val="18"/>
                <w:b w:val="1"/>
                <w:bCs w:val="1"/>
                <w:color w:val="auto"/>
              </w:rPr>
              <w:t>10036</w:t>
            </w:r>
          </w:p>
        </w:tc>
      </w:tr>
      <w:tr>
        <w:trPr>
          <w:trHeight w:val="230"/>
        </w:trPr>
        <w:tc>
          <w:tcPr>
            <w:tcW w:w="6500" w:type="dxa"/>
            <w:vAlign w:val="bottom"/>
          </w:tcPr>
          <w:p>
            <w:pPr>
              <w:jc w:val="center"/>
              <w:ind w:right="3341"/>
              <w:spacing w:after="0"/>
              <w:rPr>
                <w:sz w:val="20"/>
                <w:szCs w:val="20"/>
                <w:color w:val="auto"/>
              </w:rPr>
            </w:pPr>
            <w:r>
              <w:rPr>
                <w:rFonts w:ascii="Arial" w:cs="Arial" w:eastAsia="Arial" w:hAnsi="Arial"/>
                <w:sz w:val="18"/>
                <w:szCs w:val="18"/>
                <w:color w:val="auto"/>
                <w:w w:val="92"/>
              </w:rPr>
              <w:t>(Address of principal executive offices)</w:t>
            </w:r>
          </w:p>
        </w:tc>
        <w:tc>
          <w:tcPr>
            <w:tcW w:w="1800" w:type="dxa"/>
            <w:vAlign w:val="bottom"/>
          </w:tcPr>
          <w:p>
            <w:pPr>
              <w:jc w:val="center"/>
              <w:ind w:left="30"/>
              <w:spacing w:after="0"/>
              <w:rPr>
                <w:sz w:val="20"/>
                <w:szCs w:val="20"/>
                <w:color w:val="auto"/>
              </w:rPr>
            </w:pPr>
            <w:r>
              <w:rPr>
                <w:rFonts w:ascii="Arial" w:cs="Arial" w:eastAsia="Arial" w:hAnsi="Arial"/>
                <w:sz w:val="18"/>
                <w:szCs w:val="18"/>
                <w:color w:val="auto"/>
                <w:w w:val="93"/>
              </w:rPr>
              <w:t>(Zip code)</w:t>
            </w:r>
          </w:p>
        </w:tc>
      </w:tr>
    </w:tbl>
    <w:p>
      <w:pPr>
        <w:spacing w:after="0" w:line="14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(212) 930-9400</w:t>
      </w:r>
    </w:p>
    <w:p>
      <w:pPr>
        <w:spacing w:after="0" w:line="63" w:lineRule="exact"/>
        <w:rPr>
          <w:sz w:val="24"/>
          <w:szCs w:val="24"/>
          <w:color w:val="auto"/>
        </w:rPr>
      </w:pPr>
    </w:p>
    <w:p>
      <w:pPr>
        <w:ind w:left="2880"/>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22" w:lineRule="exact"/>
        <w:rPr>
          <w:sz w:val="24"/>
          <w:szCs w:val="24"/>
          <w:color w:val="auto"/>
        </w:rPr>
      </w:pPr>
    </w:p>
    <w:p>
      <w:pPr>
        <w:jc w:val="both"/>
        <w:ind w:firstLine="432"/>
        <w:spacing w:after="0" w:line="227" w:lineRule="exact"/>
        <w:rPr>
          <w:sz w:val="20"/>
          <w:szCs w:val="20"/>
          <w:color w:val="auto"/>
        </w:rPr>
      </w:pPr>
      <w:r>
        <w:rPr>
          <w:rFonts w:ascii="Arial" w:cs="Arial" w:eastAsia="Arial" w:hAnsi="Arial"/>
          <w:sz w:val="18"/>
          <w:szCs w:val="18"/>
          <w:color w:val="auto"/>
        </w:rPr>
        <w:t xml:space="preserve">Indicate by check mark whether the registrant: (i) has filed all reports required to be filed by Section 13 or 15(d) of the Securities Exchange Act of 1934 during the preceding twelve months (or for such shorter period that the registrant was required to file such reports); and (ii)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238" w:lineRule="exact"/>
        <w:rPr>
          <w:sz w:val="24"/>
          <w:szCs w:val="24"/>
          <w:color w:val="auto"/>
        </w:rPr>
      </w:pPr>
    </w:p>
    <w:p>
      <w:pPr>
        <w:jc w:val="both"/>
        <w:ind w:firstLine="432"/>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238" w:lineRule="exact"/>
        <w:rPr>
          <w:sz w:val="24"/>
          <w:szCs w:val="24"/>
          <w:color w:val="auto"/>
        </w:rPr>
      </w:pPr>
    </w:p>
    <w:p>
      <w:pPr>
        <w:ind w:left="44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See definitions of "large accelerated filer," "accelerated filer," and "smaller reporting company" in Rule 12b-2 of the Exchange Act.</w:t>
      </w:r>
    </w:p>
    <w:p>
      <w:pPr>
        <w:sectPr>
          <w:pgSz w:w="11900" w:h="16838" w:orient="portrait"/>
          <w:cols w:equalWidth="0" w:num="1">
            <w:col w:w="11420"/>
          </w:cols>
          <w:pgMar w:left="240" w:top="233" w:right="239" w:bottom="1440" w:gutter="0" w:footer="0" w:header="0"/>
          <w:type w:val="continuous"/>
        </w:sectPr>
      </w:pPr>
    </w:p>
    <w:p>
      <w:pPr>
        <w:spacing w:after="0" w:line="259" w:lineRule="exact"/>
        <w:rPr>
          <w:sz w:val="24"/>
          <w:szCs w:val="24"/>
          <w:color w:val="auto"/>
        </w:rPr>
      </w:pPr>
    </w:p>
    <w:p>
      <w:pPr>
        <w:ind w:left="46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jc w:val="center"/>
        <w:ind w:right="480"/>
        <w:spacing w:after="0"/>
        <w:rPr>
          <w:sz w:val="20"/>
          <w:szCs w:val="20"/>
          <w:color w:val="auto"/>
        </w:rPr>
      </w:pPr>
      <w:r>
        <w:rPr>
          <w:rFonts w:ascii="Arial" w:cs="Arial" w:eastAsia="Arial" w:hAnsi="Arial"/>
          <w:sz w:val="16"/>
          <w:szCs w:val="16"/>
          <w:color w:val="auto"/>
        </w:rPr>
        <w:t>Accelerated filer o</w:t>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jc w:val="center"/>
        <w:ind w:right="460"/>
        <w:spacing w:after="0"/>
        <w:rPr>
          <w:sz w:val="20"/>
          <w:szCs w:val="20"/>
          <w:color w:val="auto"/>
        </w:rPr>
      </w:pPr>
      <w:r>
        <w:rPr>
          <w:rFonts w:ascii="Arial" w:cs="Arial" w:eastAsia="Arial" w:hAnsi="Arial"/>
          <w:sz w:val="16"/>
          <w:szCs w:val="16"/>
          <w:color w:val="auto"/>
        </w:rPr>
        <w:t>Non-accelerated filer o</w:t>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68" w:lineRule="exact"/>
        <w:rPr>
          <w:sz w:val="24"/>
          <w:szCs w:val="24"/>
          <w:color w:val="auto"/>
        </w:rPr>
      </w:pPr>
    </w:p>
    <w:p>
      <w:pPr>
        <w:sectPr>
          <w:pgSz w:w="11900" w:h="16838" w:orient="portrait"/>
          <w:cols w:equalWidth="0" w:num="4">
            <w:col w:w="2680" w:space="720"/>
            <w:col w:w="1820" w:space="720"/>
            <w:col w:w="2120" w:space="720"/>
            <w:col w:w="2640"/>
          </w:cols>
          <w:pgMar w:left="240" w:top="233" w:right="239" w:bottom="1440" w:gutter="0" w:footer="0" w:header="0"/>
          <w:type w:val="continuous"/>
        </w:sectPr>
      </w:pPr>
    </w:p>
    <w:p>
      <w:pPr>
        <w:ind w:left="6260"/>
        <w:spacing w:after="0"/>
        <w:rPr>
          <w:sz w:val="20"/>
          <w:szCs w:val="20"/>
          <w:color w:val="auto"/>
        </w:rPr>
      </w:pPr>
      <w:r>
        <w:rPr>
          <w:rFonts w:ascii="Arial" w:cs="Arial" w:eastAsia="Arial" w:hAnsi="Arial"/>
          <w:sz w:val="14"/>
          <w:szCs w:val="14"/>
          <w:color w:val="auto"/>
        </w:rPr>
        <w:t>(Do not check if a</w:t>
      </w:r>
    </w:p>
    <w:p>
      <w:pPr>
        <w:spacing w:after="0" w:line="21" w:lineRule="exact"/>
        <w:rPr>
          <w:sz w:val="24"/>
          <w:szCs w:val="24"/>
          <w:color w:val="auto"/>
        </w:rPr>
      </w:pPr>
    </w:p>
    <w:p>
      <w:pPr>
        <w:ind w:left="5960"/>
        <w:spacing w:after="0"/>
        <w:rPr>
          <w:sz w:val="20"/>
          <w:szCs w:val="20"/>
          <w:color w:val="auto"/>
        </w:rPr>
      </w:pPr>
      <w:r>
        <w:rPr>
          <w:rFonts w:ascii="Arial" w:cs="Arial" w:eastAsia="Arial" w:hAnsi="Arial"/>
          <w:sz w:val="13"/>
          <w:szCs w:val="13"/>
          <w:color w:val="auto"/>
        </w:rPr>
        <w:t>smaller reporting company)</w:t>
      </w:r>
    </w:p>
    <w:p>
      <w:pPr>
        <w:sectPr>
          <w:pgSz w:w="11900" w:h="16838" w:orient="portrait"/>
          <w:cols w:equalWidth="0" w:num="1">
            <w:col w:w="11420"/>
          </w:cols>
          <w:pgMar w:left="240" w:top="233" w:right="239" w:bottom="1440" w:gutter="0" w:footer="0" w:header="0"/>
          <w:type w:val="continuous"/>
        </w:sectPr>
      </w:pPr>
    </w:p>
    <w:p>
      <w:pPr>
        <w:spacing w:after="0" w:line="159" w:lineRule="exact"/>
        <w:rPr>
          <w:sz w:val="24"/>
          <w:szCs w:val="24"/>
          <w:color w:val="auto"/>
        </w:rPr>
      </w:pPr>
    </w:p>
    <w:p>
      <w:pPr>
        <w:ind w:left="44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Act). Yes o</w:t>
      </w:r>
    </w:p>
    <w:p>
      <w:pPr>
        <w:spacing w:after="0" w:line="20" w:lineRule="exact"/>
        <w:rPr>
          <w:sz w:val="24"/>
          <w:szCs w:val="24"/>
          <w:color w:val="auto"/>
        </w:rPr>
      </w:pPr>
      <w:r>
        <w:rPr>
          <w:sz w:val="24"/>
          <w:szCs w:val="24"/>
          <w:color w:val="auto"/>
        </w:rPr>
        <w:br w:type="column"/>
      </w:r>
    </w:p>
    <w:p>
      <w:pPr>
        <w:spacing w:after="0" w:line="106"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21" w:lineRule="exact"/>
        <w:rPr>
          <w:sz w:val="24"/>
          <w:szCs w:val="24"/>
          <w:color w:val="auto"/>
        </w:rPr>
      </w:pPr>
    </w:p>
    <w:p>
      <w:pPr>
        <w:sectPr>
          <w:pgSz w:w="11900" w:h="16838" w:orient="portrait"/>
          <w:cols w:equalWidth="0" w:num="2">
            <w:col w:w="8300" w:space="180"/>
            <w:col w:w="2940"/>
          </w:cols>
          <w:pgMar w:left="240" w:top="233" w:right="239" w:bottom="1440" w:gutter="0" w:footer="0" w:header="0"/>
          <w:type w:val="continuous"/>
        </w:sectPr>
      </w:pPr>
    </w:p>
    <w:p>
      <w:pPr>
        <w:spacing w:after="0" w:line="102" w:lineRule="exact"/>
        <w:rPr>
          <w:sz w:val="24"/>
          <w:szCs w:val="24"/>
          <w:color w:val="auto"/>
        </w:rPr>
      </w:pPr>
    </w:p>
    <w:p>
      <w:pPr>
        <w:ind w:left="420"/>
        <w:spacing w:after="0"/>
        <w:rPr>
          <w:sz w:val="20"/>
          <w:szCs w:val="20"/>
          <w:color w:val="auto"/>
        </w:rPr>
      </w:pPr>
      <w:r>
        <w:rPr>
          <w:rFonts w:ascii="Arial" w:cs="Arial" w:eastAsia="Arial" w:hAnsi="Arial"/>
          <w:sz w:val="16"/>
          <w:szCs w:val="16"/>
          <w:color w:val="auto"/>
        </w:rPr>
        <w:t>As of May 1, 2014, there were 84,854,672 shares of common stock, $0.001 par value per share, of iStar Financial Inc.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235585</wp:posOffset>
            </wp:positionV>
            <wp:extent cx="7246620" cy="774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7747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369"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80" w:type="dxa"/>
            <w:vAlign w:val="bottom"/>
            <w:tcBorders>
              <w:bottom w:val="single" w:sz="8" w:color="auto"/>
            </w:tcBorders>
            <w:gridSpan w:val="4"/>
          </w:tcPr>
          <w:p>
            <w:pPr>
              <w:ind w:left="200"/>
              <w:spacing w:after="0"/>
              <w:rPr>
                <w:sz w:val="20"/>
                <w:szCs w:val="20"/>
                <w:color w:val="auto"/>
              </w:rPr>
            </w:pPr>
            <w:r>
              <w:rPr>
                <w:rFonts w:ascii="Arial" w:cs="Arial" w:eastAsia="Arial" w:hAnsi="Arial"/>
                <w:sz w:val="14"/>
                <w:szCs w:val="14"/>
                <w:b w:val="1"/>
                <w:bCs w:val="1"/>
                <w:color w:val="auto"/>
              </w:rPr>
              <w:t>Page</w:t>
            </w:r>
          </w:p>
        </w:tc>
      </w:tr>
      <w:tr>
        <w:trPr>
          <w:trHeight w:val="196"/>
        </w:trPr>
        <w:tc>
          <w:tcPr>
            <w:tcW w:w="500" w:type="dxa"/>
            <w:vAlign w:val="bottom"/>
            <w:tcBorders>
              <w:bottom w:val="single" w:sz="8" w:color="0000EE"/>
            </w:tcBorders>
          </w:tcPr>
          <w:p>
            <w:pPr>
              <w:spacing w:after="0" w:line="170" w:lineRule="exact"/>
              <w:rPr>
                <w:rFonts w:ascii="Arial" w:cs="Arial" w:eastAsia="Arial" w:hAnsi="Arial"/>
                <w:sz w:val="18"/>
                <w:szCs w:val="18"/>
                <w:b w:val="1"/>
                <w:bCs w:val="1"/>
                <w:color w:val="0000EE"/>
                <w:w w:val="95"/>
              </w:rPr>
            </w:pPr>
            <w:hyperlink w:anchor="page2">
              <w:r>
                <w:rPr>
                  <w:rFonts w:ascii="Arial" w:cs="Arial" w:eastAsia="Arial" w:hAnsi="Arial"/>
                  <w:sz w:val="18"/>
                  <w:szCs w:val="18"/>
                  <w:b w:val="1"/>
                  <w:bCs w:val="1"/>
                  <w:color w:val="0000EE"/>
                  <w:w w:val="95"/>
                </w:rPr>
                <w:t>Part I.</w:t>
              </w:r>
            </w:hyperlink>
          </w:p>
        </w:tc>
        <w:tc>
          <w:tcPr>
            <w:tcW w:w="660" w:type="dxa"/>
            <w:vAlign w:val="bottom"/>
            <w:gridSpan w:val="3"/>
          </w:tcPr>
          <w:p>
            <w:pPr>
              <w:spacing w:after="0"/>
              <w:rPr>
                <w:sz w:val="17"/>
                <w:szCs w:val="17"/>
                <w:color w:val="auto"/>
              </w:rPr>
            </w:pPr>
          </w:p>
        </w:tc>
        <w:tc>
          <w:tcPr>
            <w:tcW w:w="4000" w:type="dxa"/>
            <w:vAlign w:val="bottom"/>
            <w:tcBorders>
              <w:bottom w:val="single" w:sz="8" w:color="0000EE"/>
            </w:tcBorders>
            <w:gridSpan w:val="9"/>
          </w:tcPr>
          <w:p>
            <w:pPr>
              <w:spacing w:after="0" w:line="170" w:lineRule="exact"/>
              <w:rPr>
                <w:rFonts w:ascii="Arial" w:cs="Arial" w:eastAsia="Arial" w:hAnsi="Arial"/>
                <w:sz w:val="18"/>
                <w:szCs w:val="18"/>
                <w:color w:val="0000EE"/>
              </w:rPr>
            </w:pPr>
            <w:hyperlink w:anchor="page2">
              <w:r>
                <w:rPr>
                  <w:rFonts w:ascii="Arial" w:cs="Arial" w:eastAsia="Arial" w:hAnsi="Arial"/>
                  <w:sz w:val="18"/>
                  <w:szCs w:val="18"/>
                  <w:color w:val="0000EE"/>
                </w:rPr>
                <w:t>Consolidated Financial Information</w:t>
              </w:r>
            </w:hyperlink>
          </w:p>
        </w:tc>
        <w:tc>
          <w:tcPr>
            <w:tcW w:w="5540" w:type="dxa"/>
            <w:vAlign w:val="bottom"/>
            <w:gridSpan w:val="8"/>
          </w:tcPr>
          <w:p>
            <w:pPr>
              <w:spacing w:after="0"/>
              <w:rPr>
                <w:sz w:val="17"/>
                <w:szCs w:val="17"/>
                <w:color w:val="auto"/>
              </w:rPr>
            </w:pPr>
          </w:p>
        </w:tc>
        <w:tc>
          <w:tcPr>
            <w:tcW w:w="560" w:type="dxa"/>
            <w:vAlign w:val="bottom"/>
            <w:gridSpan w:val="2"/>
          </w:tcPr>
          <w:p>
            <w:pPr>
              <w:spacing w:after="0"/>
              <w:rPr>
                <w:sz w:val="17"/>
                <w:szCs w:val="17"/>
                <w:color w:val="auto"/>
              </w:rPr>
            </w:pPr>
          </w:p>
        </w:tc>
        <w:tc>
          <w:tcPr>
            <w:tcW w:w="100" w:type="dxa"/>
            <w:vAlign w:val="bottom"/>
            <w:tcBorders>
              <w:bottom w:val="single" w:sz="8" w:color="0000EE"/>
            </w:tcBorders>
          </w:tcPr>
          <w:p>
            <w:pPr>
              <w:jc w:val="right"/>
              <w:spacing w:after="0" w:line="170" w:lineRule="exact"/>
              <w:rPr>
                <w:rFonts w:ascii="Arial" w:cs="Arial" w:eastAsia="Arial" w:hAnsi="Arial"/>
                <w:sz w:val="18"/>
                <w:szCs w:val="18"/>
                <w:color w:val="0000EE"/>
                <w:w w:val="79"/>
              </w:rPr>
            </w:pPr>
            <w:hyperlink w:anchor="page2">
              <w:r>
                <w:rPr>
                  <w:rFonts w:ascii="Arial" w:cs="Arial" w:eastAsia="Arial" w:hAnsi="Arial"/>
                  <w:sz w:val="18"/>
                  <w:szCs w:val="18"/>
                  <w:color w:val="0000EE"/>
                  <w:w w:val="79"/>
                </w:rPr>
                <w:t>1</w:t>
              </w:r>
            </w:hyperlink>
          </w:p>
        </w:tc>
        <w:tc>
          <w:tcPr>
            <w:tcW w:w="20" w:type="dxa"/>
            <w:vAlign w:val="bottom"/>
          </w:tcPr>
          <w:p>
            <w:pPr>
              <w:spacing w:after="0"/>
              <w:rPr>
                <w:sz w:val="17"/>
                <w:szCs w:val="17"/>
                <w:color w:val="auto"/>
              </w:rPr>
            </w:pPr>
          </w:p>
        </w:tc>
      </w:tr>
      <w:tr>
        <w:trPr>
          <w:trHeight w:val="257"/>
        </w:trPr>
        <w:tc>
          <w:tcPr>
            <w:tcW w:w="1160" w:type="dxa"/>
            <w:vAlign w:val="bottom"/>
            <w:gridSpan w:val="4"/>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9540" w:type="dxa"/>
            <w:vAlign w:val="bottom"/>
            <w:gridSpan w:val="1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3">
              <w:r>
                <w:rPr>
                  <w:rFonts w:ascii="Arial" w:cs="Arial" w:eastAsia="Arial" w:hAnsi="Arial"/>
                  <w:sz w:val="18"/>
                  <w:szCs w:val="18"/>
                  <w:color w:val="0000EE"/>
                </w:rPr>
                <w:t>1</w:t>
              </w:r>
            </w:hyperlink>
          </w:p>
        </w:tc>
      </w:tr>
      <w:tr>
        <w:trPr>
          <w:trHeight w:val="20"/>
        </w:trPr>
        <w:tc>
          <w:tcPr>
            <w:tcW w:w="5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30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Consolidated Balance Sheets (unaudited) as of March 31, 2014 and December 31, 2013</w:t>
              </w:r>
            </w:hyperlink>
          </w:p>
        </w:tc>
        <w:tc>
          <w:tcPr>
            <w:tcW w:w="3240" w:type="dxa"/>
            <w:vAlign w:val="bottom"/>
            <w:gridSpan w:val="6"/>
          </w:tcPr>
          <w:p>
            <w:pPr>
              <w:spacing w:after="0"/>
              <w:rPr>
                <w:sz w:val="21"/>
                <w:szCs w:val="21"/>
                <w:color w:val="auto"/>
              </w:rPr>
            </w:pPr>
          </w:p>
        </w:tc>
        <w:tc>
          <w:tcPr>
            <w:tcW w:w="56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1</w:t>
              </w:r>
            </w:hyperlink>
          </w:p>
        </w:tc>
        <w:tc>
          <w:tcPr>
            <w:tcW w:w="20" w:type="dxa"/>
            <w:vAlign w:val="bottom"/>
          </w:tcPr>
          <w:p>
            <w:pPr>
              <w:spacing w:after="0"/>
              <w:rPr>
                <w:sz w:val="21"/>
                <w:szCs w:val="21"/>
                <w:color w:val="auto"/>
              </w:rPr>
            </w:pPr>
          </w:p>
        </w:tc>
      </w:tr>
      <w:tr>
        <w:trPr>
          <w:trHeight w:val="250"/>
        </w:trPr>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540" w:type="dxa"/>
            <w:vAlign w:val="bottom"/>
            <w:gridSpan w:val="1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Consolidated Statements of Operations (unaudited)—For the three months ended March 31, 2014 and 2013</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3">
              <w:r>
                <w:rPr>
                  <w:rFonts w:ascii="Arial" w:cs="Arial" w:eastAsia="Arial" w:hAnsi="Arial"/>
                  <w:sz w:val="18"/>
                  <w:szCs w:val="18"/>
                  <w:color w:val="0000EE"/>
                </w:rPr>
                <w:t>2</w:t>
              </w:r>
            </w:hyperlink>
          </w:p>
        </w:tc>
      </w:tr>
      <w:tr>
        <w:trPr>
          <w:trHeight w:val="20"/>
        </w:trPr>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80" w:type="dxa"/>
            <w:vAlign w:val="bottom"/>
            <w:tcBorders>
              <w:left w:val="single" w:sz="8" w:color="0000EE"/>
            </w:tcBorders>
            <w:gridSpan w:val="2"/>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160" w:type="dxa"/>
            <w:vAlign w:val="bottom"/>
            <w:tcBorders>
              <w:bottom w:val="single" w:sz="8" w:color="0000EE"/>
            </w:tcBorders>
            <w:gridSpan w:val="16"/>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Consolidated Statements of Comprehensive Income (Loss) (unaudited)—For the three months ended March 31, 2014 and 2013</w:t>
              </w:r>
            </w:hyperlink>
          </w:p>
        </w:tc>
        <w:tc>
          <w:tcPr>
            <w:tcW w:w="380" w:type="dxa"/>
            <w:vAlign w:val="bottom"/>
          </w:tcPr>
          <w:p>
            <w:pPr>
              <w:spacing w:after="0"/>
              <w:rPr>
                <w:sz w:val="21"/>
                <w:szCs w:val="21"/>
                <w:color w:val="auto"/>
              </w:rPr>
            </w:pPr>
          </w:p>
        </w:tc>
        <w:tc>
          <w:tcPr>
            <w:tcW w:w="56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3</w:t>
              </w:r>
            </w:hyperlink>
          </w:p>
        </w:tc>
        <w:tc>
          <w:tcPr>
            <w:tcW w:w="20" w:type="dxa"/>
            <w:vAlign w:val="bottom"/>
          </w:tcPr>
          <w:p>
            <w:pPr>
              <w:spacing w:after="0"/>
              <w:rPr>
                <w:sz w:val="21"/>
                <w:szCs w:val="21"/>
                <w:color w:val="auto"/>
              </w:rPr>
            </w:pPr>
          </w:p>
        </w:tc>
      </w:tr>
      <w:tr>
        <w:trPr>
          <w:trHeight w:val="250"/>
        </w:trPr>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20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Consolidated Statement of Changes in Equity (unaudited)—For the three months ended March 31, 2014 and 2013</w:t>
              </w:r>
            </w:hyperlink>
          </w:p>
        </w:tc>
        <w:tc>
          <w:tcPr>
            <w:tcW w:w="1340" w:type="dxa"/>
            <w:vAlign w:val="bottom"/>
            <w:gridSpan w:val="2"/>
          </w:tcPr>
          <w:p>
            <w:pPr>
              <w:spacing w:after="0"/>
              <w:rPr>
                <w:sz w:val="21"/>
                <w:szCs w:val="21"/>
                <w:color w:val="auto"/>
              </w:rPr>
            </w:pPr>
          </w:p>
        </w:tc>
        <w:tc>
          <w:tcPr>
            <w:tcW w:w="56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4</w:t>
              </w:r>
            </w:hyperlink>
          </w:p>
        </w:tc>
        <w:tc>
          <w:tcPr>
            <w:tcW w:w="20" w:type="dxa"/>
            <w:vAlign w:val="bottom"/>
          </w:tcPr>
          <w:p>
            <w:pPr>
              <w:spacing w:after="0"/>
              <w:rPr>
                <w:sz w:val="21"/>
                <w:szCs w:val="21"/>
                <w:color w:val="auto"/>
              </w:rPr>
            </w:pPr>
          </w:p>
        </w:tc>
      </w:tr>
      <w:tr>
        <w:trPr>
          <w:trHeight w:val="250"/>
        </w:trPr>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78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Consolidated Statements of Cash Flows (unaudited)—For the three months ended March 31, 2014 and 2013</w:t>
              </w:r>
            </w:hyperlink>
          </w:p>
        </w:tc>
        <w:tc>
          <w:tcPr>
            <w:tcW w:w="1760" w:type="dxa"/>
            <w:vAlign w:val="bottom"/>
            <w:gridSpan w:val="3"/>
          </w:tcPr>
          <w:p>
            <w:pPr>
              <w:spacing w:after="0"/>
              <w:rPr>
                <w:sz w:val="21"/>
                <w:szCs w:val="21"/>
                <w:color w:val="auto"/>
              </w:rPr>
            </w:pPr>
          </w:p>
        </w:tc>
        <w:tc>
          <w:tcPr>
            <w:tcW w:w="56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6</w:t>
              </w:r>
            </w:hyperlink>
          </w:p>
        </w:tc>
        <w:tc>
          <w:tcPr>
            <w:tcW w:w="20" w:type="dxa"/>
            <w:vAlign w:val="bottom"/>
          </w:tcPr>
          <w:p>
            <w:pPr>
              <w:spacing w:after="0"/>
              <w:rPr>
                <w:sz w:val="21"/>
                <w:szCs w:val="21"/>
                <w:color w:val="auto"/>
              </w:rPr>
            </w:pPr>
          </w:p>
        </w:tc>
      </w:tr>
      <w:tr>
        <w:trPr>
          <w:trHeight w:val="250"/>
        </w:trPr>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540" w:type="dxa"/>
            <w:vAlign w:val="bottom"/>
            <w:gridSpan w:val="17"/>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Notes to Consolidated Financial Statements (unaudited)</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8">
              <w:r>
                <w:rPr>
                  <w:rFonts w:ascii="Arial" w:cs="Arial" w:eastAsia="Arial" w:hAnsi="Arial"/>
                  <w:sz w:val="18"/>
                  <w:szCs w:val="18"/>
                  <w:color w:val="0000EE"/>
                </w:rPr>
                <w:t>7</w:t>
              </w:r>
            </w:hyperlink>
          </w:p>
        </w:tc>
      </w:tr>
      <w:tr>
        <w:trPr>
          <w:trHeight w:val="20"/>
        </w:trPr>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312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60" w:type="dxa"/>
            <w:vAlign w:val="bottom"/>
            <w:gridSpan w:val="4"/>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Item 2.</w:t>
              </w:r>
            </w:hyperlink>
          </w:p>
        </w:tc>
        <w:tc>
          <w:tcPr>
            <w:tcW w:w="9540" w:type="dxa"/>
            <w:vAlign w:val="bottom"/>
            <w:gridSpan w:val="17"/>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Management's Discussion and Analysis of Financial Condition and Results of Operations</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33">
              <w:r>
                <w:rPr>
                  <w:rFonts w:ascii="Arial" w:cs="Arial" w:eastAsia="Arial" w:hAnsi="Arial"/>
                  <w:sz w:val="18"/>
                  <w:szCs w:val="18"/>
                  <w:color w:val="0000EE"/>
                </w:rPr>
                <w:t>32</w:t>
              </w:r>
            </w:hyperlink>
          </w:p>
        </w:tc>
      </w:tr>
      <w:tr>
        <w:trPr>
          <w:trHeight w:val="20"/>
        </w:trPr>
        <w:tc>
          <w:tcPr>
            <w:tcW w:w="5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40" w:type="dxa"/>
            <w:vAlign w:val="bottom"/>
            <w:gridSpan w:val="3"/>
            <w:shd w:val="clear" w:color="auto" w:fill="0000EE"/>
          </w:tcPr>
          <w:p>
            <w:pPr>
              <w:spacing w:after="0" w:line="20" w:lineRule="exact"/>
              <w:rPr>
                <w:sz w:val="1"/>
                <w:szCs w:val="1"/>
                <w:color w:val="auto"/>
              </w:rPr>
            </w:pPr>
          </w:p>
        </w:tc>
        <w:tc>
          <w:tcPr>
            <w:tcW w:w="2080" w:type="dxa"/>
            <w:vAlign w:val="bottom"/>
            <w:tcBorders>
              <w:left w:val="single" w:sz="8" w:color="0000EE"/>
            </w:tcBorders>
            <w:gridSpan w:val="2"/>
            <w:shd w:val="clear" w:color="auto" w:fill="0000EE"/>
          </w:tcPr>
          <w:p>
            <w:pPr>
              <w:spacing w:after="0" w:line="20" w:lineRule="exact"/>
              <w:rPr>
                <w:sz w:val="1"/>
                <w:szCs w:val="1"/>
                <w:color w:val="auto"/>
              </w:rPr>
            </w:pPr>
          </w:p>
        </w:tc>
        <w:tc>
          <w:tcPr>
            <w:tcW w:w="312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60" w:type="dxa"/>
            <w:vAlign w:val="bottom"/>
            <w:gridSpan w:val="4"/>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Item 3.</w:t>
              </w:r>
            </w:hyperlink>
          </w:p>
        </w:tc>
        <w:tc>
          <w:tcPr>
            <w:tcW w:w="9540" w:type="dxa"/>
            <w:vAlign w:val="bottom"/>
            <w:gridSpan w:val="17"/>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Quantitative and Qualitative Disclosures About Market Risk</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44">
              <w:r>
                <w:rPr>
                  <w:rFonts w:ascii="Arial" w:cs="Arial" w:eastAsia="Arial" w:hAnsi="Arial"/>
                  <w:sz w:val="18"/>
                  <w:szCs w:val="18"/>
                  <w:color w:val="0000EE"/>
                </w:rPr>
                <w:t>42</w:t>
              </w:r>
            </w:hyperlink>
          </w:p>
        </w:tc>
      </w:tr>
      <w:tr>
        <w:trPr>
          <w:trHeight w:val="20"/>
        </w:trPr>
        <w:tc>
          <w:tcPr>
            <w:tcW w:w="5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40" w:type="dxa"/>
            <w:vAlign w:val="bottom"/>
            <w:gridSpan w:val="3"/>
            <w:shd w:val="clear" w:color="auto" w:fill="0000EE"/>
          </w:tcPr>
          <w:p>
            <w:pPr>
              <w:spacing w:after="0" w:line="20" w:lineRule="exact"/>
              <w:rPr>
                <w:sz w:val="1"/>
                <w:szCs w:val="1"/>
                <w:color w:val="auto"/>
              </w:rPr>
            </w:pPr>
          </w:p>
        </w:tc>
        <w:tc>
          <w:tcPr>
            <w:tcW w:w="5200" w:type="dxa"/>
            <w:vAlign w:val="bottom"/>
            <w:tcBorders>
              <w:left w:val="single" w:sz="8" w:color="0000EE"/>
            </w:tcBorders>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60" w:type="dxa"/>
            <w:vAlign w:val="bottom"/>
            <w:gridSpan w:val="4"/>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Item 4.</w:t>
              </w:r>
            </w:hyperlink>
          </w:p>
        </w:tc>
        <w:tc>
          <w:tcPr>
            <w:tcW w:w="9540" w:type="dxa"/>
            <w:vAlign w:val="bottom"/>
            <w:gridSpan w:val="17"/>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Controls and Procedures</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44">
              <w:r>
                <w:rPr>
                  <w:rFonts w:ascii="Arial" w:cs="Arial" w:eastAsia="Arial" w:hAnsi="Arial"/>
                  <w:sz w:val="18"/>
                  <w:szCs w:val="18"/>
                  <w:color w:val="0000EE"/>
                </w:rPr>
                <w:t>42</w:t>
              </w:r>
            </w:hyperlink>
          </w:p>
        </w:tc>
      </w:tr>
      <w:tr>
        <w:trPr>
          <w:trHeight w:val="20"/>
        </w:trPr>
        <w:tc>
          <w:tcPr>
            <w:tcW w:w="5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520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60" w:type="dxa"/>
            <w:vAlign w:val="bottom"/>
            <w:gridSpan w:val="4"/>
          </w:tcPr>
          <w:p>
            <w:pPr>
              <w:spacing w:after="0"/>
              <w:rPr>
                <w:rFonts w:ascii="Arial" w:cs="Arial" w:eastAsia="Arial" w:hAnsi="Arial"/>
                <w:sz w:val="18"/>
                <w:szCs w:val="18"/>
                <w:b w:val="1"/>
                <w:bCs w:val="1"/>
                <w:color w:val="0000EE"/>
              </w:rPr>
            </w:pPr>
            <w:hyperlink w:anchor="page44">
              <w:r>
                <w:rPr>
                  <w:rFonts w:ascii="Arial" w:cs="Arial" w:eastAsia="Arial" w:hAnsi="Arial"/>
                  <w:sz w:val="18"/>
                  <w:szCs w:val="18"/>
                  <w:b w:val="1"/>
                  <w:bCs w:val="1"/>
                  <w:color w:val="0000EE"/>
                </w:rPr>
                <w:t>Part II.</w:t>
              </w:r>
            </w:hyperlink>
          </w:p>
        </w:tc>
        <w:tc>
          <w:tcPr>
            <w:tcW w:w="9540" w:type="dxa"/>
            <w:vAlign w:val="bottom"/>
            <w:gridSpan w:val="17"/>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Other Information</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44">
              <w:r>
                <w:rPr>
                  <w:rFonts w:ascii="Arial" w:cs="Arial" w:eastAsia="Arial" w:hAnsi="Arial"/>
                  <w:sz w:val="18"/>
                  <w:szCs w:val="18"/>
                  <w:color w:val="0000EE"/>
                </w:rPr>
                <w:t>43</w:t>
              </w:r>
            </w:hyperlink>
          </w:p>
        </w:tc>
      </w:tr>
      <w:tr>
        <w:trPr>
          <w:trHeight w:val="20"/>
        </w:trPr>
        <w:tc>
          <w:tcPr>
            <w:tcW w:w="56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520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60" w:type="dxa"/>
            <w:vAlign w:val="bottom"/>
            <w:gridSpan w:val="2"/>
          </w:tcPr>
          <w:p>
            <w:pPr>
              <w:spacing w:after="0"/>
              <w:rPr>
                <w:rFonts w:ascii="Arial" w:cs="Arial" w:eastAsia="Arial" w:hAnsi="Arial"/>
                <w:sz w:val="18"/>
                <w:szCs w:val="18"/>
                <w:color w:val="0000EE"/>
                <w:w w:val="98"/>
              </w:rPr>
            </w:pPr>
            <w:hyperlink w:anchor="page45">
              <w:r>
                <w:rPr>
                  <w:rFonts w:ascii="Arial" w:cs="Arial" w:eastAsia="Arial" w:hAnsi="Arial"/>
                  <w:sz w:val="18"/>
                  <w:szCs w:val="18"/>
                  <w:color w:val="0000EE"/>
                  <w:w w:val="98"/>
                </w:rPr>
                <w:t>Item 1.</w:t>
              </w:r>
            </w:hyperlink>
          </w:p>
        </w:tc>
        <w:tc>
          <w:tcPr>
            <w:tcW w:w="600" w:type="dxa"/>
            <w:vAlign w:val="bottom"/>
            <w:gridSpan w:val="2"/>
          </w:tcPr>
          <w:p>
            <w:pPr>
              <w:spacing w:after="0"/>
              <w:rPr>
                <w:sz w:val="21"/>
                <w:szCs w:val="21"/>
                <w:color w:val="auto"/>
              </w:rPr>
            </w:pPr>
          </w:p>
        </w:tc>
        <w:tc>
          <w:tcPr>
            <w:tcW w:w="9540" w:type="dxa"/>
            <w:vAlign w:val="bottom"/>
            <w:gridSpan w:val="17"/>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Legal Proceedings</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45">
              <w:r>
                <w:rPr>
                  <w:rFonts w:ascii="Arial" w:cs="Arial" w:eastAsia="Arial" w:hAnsi="Arial"/>
                  <w:sz w:val="18"/>
                  <w:szCs w:val="18"/>
                  <w:color w:val="0000EE"/>
                </w:rPr>
                <w:t>43</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520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640" w:type="dxa"/>
            <w:vAlign w:val="bottom"/>
            <w:gridSpan w:val="3"/>
          </w:tcPr>
          <w:p>
            <w:pPr>
              <w:spacing w:after="0"/>
              <w:rPr>
                <w:rFonts w:ascii="Arial" w:cs="Arial" w:eastAsia="Arial" w:hAnsi="Arial"/>
                <w:sz w:val="18"/>
                <w:szCs w:val="18"/>
                <w:color w:val="0000EE"/>
                <w:w w:val="92"/>
              </w:rPr>
            </w:pPr>
            <w:hyperlink w:anchor="page45">
              <w:r>
                <w:rPr>
                  <w:rFonts w:ascii="Arial" w:cs="Arial" w:eastAsia="Arial" w:hAnsi="Arial"/>
                  <w:sz w:val="18"/>
                  <w:szCs w:val="18"/>
                  <w:color w:val="0000EE"/>
                  <w:w w:val="92"/>
                </w:rPr>
                <w:t>Item 1A.</w:t>
              </w:r>
            </w:hyperlink>
          </w:p>
        </w:tc>
        <w:tc>
          <w:tcPr>
            <w:tcW w:w="520" w:type="dxa"/>
            <w:vAlign w:val="bottom"/>
          </w:tcPr>
          <w:p>
            <w:pPr>
              <w:spacing w:after="0"/>
              <w:rPr>
                <w:sz w:val="21"/>
                <w:szCs w:val="21"/>
                <w:color w:val="auto"/>
              </w:rPr>
            </w:pPr>
          </w:p>
        </w:tc>
        <w:tc>
          <w:tcPr>
            <w:tcW w:w="9540" w:type="dxa"/>
            <w:vAlign w:val="bottom"/>
            <w:gridSpan w:val="17"/>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Risk Factors</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45">
              <w:r>
                <w:rPr>
                  <w:rFonts w:ascii="Arial" w:cs="Arial" w:eastAsia="Arial" w:hAnsi="Arial"/>
                  <w:sz w:val="18"/>
                  <w:szCs w:val="18"/>
                  <w:color w:val="0000EE"/>
                </w:rPr>
                <w:t>43</w:t>
              </w:r>
            </w:hyperlink>
          </w:p>
        </w:tc>
      </w:tr>
      <w:tr>
        <w:trPr>
          <w:trHeight w:val="20"/>
        </w:trPr>
        <w:tc>
          <w:tcPr>
            <w:tcW w:w="640" w:type="dxa"/>
            <w:vAlign w:val="bottom"/>
            <w:gridSpan w:val="3"/>
            <w:shd w:val="clear" w:color="auto" w:fill="0000EE"/>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20" w:type="dxa"/>
            <w:vAlign w:val="bottom"/>
            <w:gridSpan w:val="5"/>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520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640" w:type="dxa"/>
            <w:vAlign w:val="bottom"/>
            <w:gridSpan w:val="3"/>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Item 2.</w:t>
              </w:r>
            </w:hyperlink>
          </w:p>
        </w:tc>
        <w:tc>
          <w:tcPr>
            <w:tcW w:w="520" w:type="dxa"/>
            <w:vAlign w:val="bottom"/>
          </w:tcPr>
          <w:p>
            <w:pPr>
              <w:spacing w:after="0"/>
              <w:rPr>
                <w:sz w:val="21"/>
                <w:szCs w:val="21"/>
                <w:color w:val="auto"/>
              </w:rPr>
            </w:pPr>
          </w:p>
        </w:tc>
        <w:tc>
          <w:tcPr>
            <w:tcW w:w="9540" w:type="dxa"/>
            <w:vAlign w:val="bottom"/>
            <w:gridSpan w:val="17"/>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Unregistered Sales of Equity Securities and Use of Proceeds</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45">
              <w:r>
                <w:rPr>
                  <w:rFonts w:ascii="Arial" w:cs="Arial" w:eastAsia="Arial" w:hAnsi="Arial"/>
                  <w:sz w:val="18"/>
                  <w:szCs w:val="18"/>
                  <w:color w:val="0000EE"/>
                </w:rPr>
                <w:t>43</w:t>
              </w:r>
            </w:hyperlink>
          </w:p>
        </w:tc>
      </w:tr>
      <w:tr>
        <w:trPr>
          <w:trHeight w:val="20"/>
        </w:trPr>
        <w:tc>
          <w:tcPr>
            <w:tcW w:w="500" w:type="dxa"/>
            <w:vAlign w:val="bottom"/>
            <w:shd w:val="clear" w:color="auto" w:fill="0000EE"/>
          </w:tcPr>
          <w:p>
            <w:pPr>
              <w:spacing w:after="0" w:line="20" w:lineRule="exact"/>
              <w:rPr>
                <w:sz w:val="1"/>
                <w:szCs w:val="1"/>
                <w:color w:val="auto"/>
              </w:rPr>
            </w:pPr>
          </w:p>
        </w:tc>
        <w:tc>
          <w:tcPr>
            <w:tcW w:w="660" w:type="dxa"/>
            <w:vAlign w:val="bottom"/>
            <w:tcBorders>
              <w:right w:val="single" w:sz="8" w:color="0000EE"/>
            </w:tcBorders>
            <w:gridSpan w:val="3"/>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720" w:type="dxa"/>
            <w:vAlign w:val="bottom"/>
            <w:gridSpan w:val="6"/>
            <w:shd w:val="clear" w:color="auto" w:fill="0000EE"/>
          </w:tcPr>
          <w:p>
            <w:pPr>
              <w:spacing w:after="0" w:line="20" w:lineRule="exact"/>
              <w:rPr>
                <w:sz w:val="1"/>
                <w:szCs w:val="1"/>
                <w:color w:val="auto"/>
              </w:rPr>
            </w:pPr>
          </w:p>
        </w:tc>
        <w:tc>
          <w:tcPr>
            <w:tcW w:w="2040" w:type="dxa"/>
            <w:vAlign w:val="bottom"/>
            <w:gridSpan w:val="3"/>
            <w:shd w:val="clear" w:color="auto" w:fill="0000EE"/>
          </w:tcPr>
          <w:p>
            <w:pPr>
              <w:spacing w:after="0" w:line="20" w:lineRule="exact"/>
              <w:rPr>
                <w:sz w:val="1"/>
                <w:szCs w:val="1"/>
                <w:color w:val="auto"/>
              </w:rPr>
            </w:pPr>
          </w:p>
        </w:tc>
        <w:tc>
          <w:tcPr>
            <w:tcW w:w="520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60" w:type="dxa"/>
            <w:vAlign w:val="bottom"/>
            <w:gridSpan w:val="4"/>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Item 3.</w:t>
              </w:r>
            </w:hyperlink>
          </w:p>
        </w:tc>
        <w:tc>
          <w:tcPr>
            <w:tcW w:w="9540" w:type="dxa"/>
            <w:vAlign w:val="bottom"/>
            <w:gridSpan w:val="17"/>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Defaults Upon Senior Securities</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45">
              <w:r>
                <w:rPr>
                  <w:rFonts w:ascii="Arial" w:cs="Arial" w:eastAsia="Arial" w:hAnsi="Arial"/>
                  <w:sz w:val="18"/>
                  <w:szCs w:val="18"/>
                  <w:color w:val="0000EE"/>
                </w:rPr>
                <w:t>43</w:t>
              </w:r>
            </w:hyperlink>
          </w:p>
        </w:tc>
      </w:tr>
      <w:tr>
        <w:trPr>
          <w:trHeight w:val="20"/>
        </w:trPr>
        <w:tc>
          <w:tcPr>
            <w:tcW w:w="500" w:type="dxa"/>
            <w:vAlign w:val="bottom"/>
            <w:shd w:val="clear" w:color="auto" w:fill="0000EE"/>
          </w:tcPr>
          <w:p>
            <w:pPr>
              <w:spacing w:after="0" w:line="20" w:lineRule="exact"/>
              <w:rPr>
                <w:sz w:val="1"/>
                <w:szCs w:val="1"/>
                <w:color w:val="auto"/>
              </w:rPr>
            </w:pPr>
          </w:p>
        </w:tc>
        <w:tc>
          <w:tcPr>
            <w:tcW w:w="660" w:type="dxa"/>
            <w:vAlign w:val="bottom"/>
            <w:tcBorders>
              <w:right w:val="single" w:sz="8" w:color="0000EE"/>
            </w:tcBorders>
            <w:gridSpan w:val="3"/>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720" w:type="dxa"/>
            <w:vAlign w:val="bottom"/>
            <w:gridSpan w:val="6"/>
            <w:shd w:val="clear" w:color="auto" w:fill="0000EE"/>
          </w:tcPr>
          <w:p>
            <w:pPr>
              <w:spacing w:after="0" w:line="20" w:lineRule="exact"/>
              <w:rPr>
                <w:sz w:val="1"/>
                <w:szCs w:val="1"/>
                <w:color w:val="auto"/>
              </w:rPr>
            </w:pPr>
          </w:p>
        </w:tc>
        <w:tc>
          <w:tcPr>
            <w:tcW w:w="7240" w:type="dxa"/>
            <w:vAlign w:val="bottom"/>
            <w:gridSpan w:val="1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60" w:type="dxa"/>
            <w:vAlign w:val="bottom"/>
            <w:gridSpan w:val="4"/>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Item 4.</w:t>
              </w:r>
            </w:hyperlink>
          </w:p>
        </w:tc>
        <w:tc>
          <w:tcPr>
            <w:tcW w:w="9540" w:type="dxa"/>
            <w:vAlign w:val="bottom"/>
            <w:gridSpan w:val="17"/>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Mine Safety Disclosures</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45">
              <w:r>
                <w:rPr>
                  <w:rFonts w:ascii="Arial" w:cs="Arial" w:eastAsia="Arial" w:hAnsi="Arial"/>
                  <w:sz w:val="18"/>
                  <w:szCs w:val="18"/>
                  <w:color w:val="0000EE"/>
                </w:rPr>
                <w:t>43</w:t>
              </w:r>
            </w:hyperlink>
          </w:p>
        </w:tc>
      </w:tr>
      <w:tr>
        <w:trPr>
          <w:trHeight w:val="20"/>
        </w:trPr>
        <w:tc>
          <w:tcPr>
            <w:tcW w:w="500" w:type="dxa"/>
            <w:vAlign w:val="bottom"/>
            <w:shd w:val="clear" w:color="auto" w:fill="0000EE"/>
          </w:tcPr>
          <w:p>
            <w:pPr>
              <w:spacing w:after="0" w:line="20" w:lineRule="exact"/>
              <w:rPr>
                <w:sz w:val="1"/>
                <w:szCs w:val="1"/>
                <w:color w:val="auto"/>
              </w:rPr>
            </w:pPr>
          </w:p>
        </w:tc>
        <w:tc>
          <w:tcPr>
            <w:tcW w:w="660" w:type="dxa"/>
            <w:vAlign w:val="bottom"/>
            <w:tcBorders>
              <w:right w:val="single" w:sz="8" w:color="0000EE"/>
            </w:tcBorders>
            <w:gridSpan w:val="3"/>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180" w:type="dxa"/>
            <w:vAlign w:val="bottom"/>
            <w:gridSpan w:val="5"/>
            <w:shd w:val="clear" w:color="auto" w:fill="0000EE"/>
          </w:tcPr>
          <w:p>
            <w:pPr>
              <w:spacing w:after="0" w:line="20" w:lineRule="exact"/>
              <w:rPr>
                <w:sz w:val="1"/>
                <w:szCs w:val="1"/>
                <w:color w:val="auto"/>
              </w:rPr>
            </w:pPr>
          </w:p>
        </w:tc>
        <w:tc>
          <w:tcPr>
            <w:tcW w:w="7780" w:type="dxa"/>
            <w:vAlign w:val="bottom"/>
            <w:gridSpan w:val="11"/>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60" w:type="dxa"/>
            <w:vAlign w:val="bottom"/>
            <w:gridSpan w:val="4"/>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Item 5.</w:t>
              </w:r>
            </w:hyperlink>
          </w:p>
        </w:tc>
        <w:tc>
          <w:tcPr>
            <w:tcW w:w="9540" w:type="dxa"/>
            <w:vAlign w:val="bottom"/>
            <w:gridSpan w:val="17"/>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Other Information</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45">
              <w:r>
                <w:rPr>
                  <w:rFonts w:ascii="Arial" w:cs="Arial" w:eastAsia="Arial" w:hAnsi="Arial"/>
                  <w:sz w:val="18"/>
                  <w:szCs w:val="18"/>
                  <w:color w:val="0000EE"/>
                </w:rPr>
                <w:t>43</w:t>
              </w:r>
            </w:hyperlink>
          </w:p>
        </w:tc>
      </w:tr>
      <w:tr>
        <w:trPr>
          <w:trHeight w:val="20"/>
        </w:trPr>
        <w:tc>
          <w:tcPr>
            <w:tcW w:w="500" w:type="dxa"/>
            <w:vAlign w:val="bottom"/>
            <w:shd w:val="clear" w:color="auto" w:fill="0000EE"/>
          </w:tcPr>
          <w:p>
            <w:pPr>
              <w:spacing w:after="0" w:line="20" w:lineRule="exact"/>
              <w:rPr>
                <w:sz w:val="1"/>
                <w:szCs w:val="1"/>
                <w:color w:val="auto"/>
              </w:rPr>
            </w:pPr>
          </w:p>
        </w:tc>
        <w:tc>
          <w:tcPr>
            <w:tcW w:w="660" w:type="dxa"/>
            <w:vAlign w:val="bottom"/>
            <w:tcBorders>
              <w:right w:val="single" w:sz="8" w:color="0000EE"/>
            </w:tcBorders>
            <w:gridSpan w:val="3"/>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8240" w:type="dxa"/>
            <w:vAlign w:val="bottom"/>
            <w:gridSpan w:val="1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60" w:type="dxa"/>
            <w:vAlign w:val="bottom"/>
            <w:gridSpan w:val="4"/>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Item 6.</w:t>
              </w:r>
            </w:hyperlink>
          </w:p>
        </w:tc>
        <w:tc>
          <w:tcPr>
            <w:tcW w:w="9540" w:type="dxa"/>
            <w:vAlign w:val="bottom"/>
            <w:gridSpan w:val="17"/>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Exhibits</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45">
              <w:r>
                <w:rPr>
                  <w:rFonts w:ascii="Arial" w:cs="Arial" w:eastAsia="Arial" w:hAnsi="Arial"/>
                  <w:sz w:val="18"/>
                  <w:szCs w:val="18"/>
                  <w:color w:val="0000EE"/>
                </w:rPr>
                <w:t>43</w:t>
              </w:r>
            </w:hyperlink>
          </w:p>
        </w:tc>
      </w:tr>
      <w:tr>
        <w:trPr>
          <w:trHeight w:val="20"/>
        </w:trPr>
        <w:tc>
          <w:tcPr>
            <w:tcW w:w="500" w:type="dxa"/>
            <w:vAlign w:val="bottom"/>
            <w:shd w:val="clear" w:color="auto" w:fill="0000EE"/>
          </w:tcPr>
          <w:p>
            <w:pPr>
              <w:spacing w:after="0" w:line="20" w:lineRule="exact"/>
              <w:rPr>
                <w:sz w:val="1"/>
                <w:szCs w:val="1"/>
                <w:color w:val="auto"/>
              </w:rPr>
            </w:pPr>
          </w:p>
        </w:tc>
        <w:tc>
          <w:tcPr>
            <w:tcW w:w="660" w:type="dxa"/>
            <w:vAlign w:val="bottom"/>
            <w:tcBorders>
              <w:right w:val="single" w:sz="8" w:color="0000EE"/>
            </w:tcBorders>
            <w:gridSpan w:val="3"/>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960" w:type="dxa"/>
            <w:vAlign w:val="bottom"/>
            <w:gridSpan w:val="1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60" w:type="dxa"/>
            <w:vAlign w:val="bottom"/>
            <w:gridSpan w:val="4"/>
          </w:tcPr>
          <w:p>
            <w:pPr>
              <w:spacing w:after="0"/>
              <w:rPr>
                <w:rFonts w:ascii="Arial" w:cs="Arial" w:eastAsia="Arial" w:hAnsi="Arial"/>
                <w:sz w:val="18"/>
                <w:szCs w:val="18"/>
                <w:b w:val="1"/>
                <w:bCs w:val="1"/>
                <w:color w:val="0000EE"/>
                <w:w w:val="94"/>
              </w:rPr>
            </w:pPr>
            <w:hyperlink w:anchor="page45">
              <w:r>
                <w:rPr>
                  <w:rFonts w:ascii="Arial" w:cs="Arial" w:eastAsia="Arial" w:hAnsi="Arial"/>
                  <w:sz w:val="18"/>
                  <w:szCs w:val="18"/>
                  <w:b w:val="1"/>
                  <w:bCs w:val="1"/>
                  <w:color w:val="0000EE"/>
                  <w:w w:val="94"/>
                </w:rPr>
                <w:t>SIGNATURES</w:t>
              </w:r>
            </w:hyperlink>
          </w:p>
        </w:tc>
        <w:tc>
          <w:tcPr>
            <w:tcW w:w="9540" w:type="dxa"/>
            <w:vAlign w:val="bottom"/>
            <w:gridSpan w:val="17"/>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45">
              <w:r>
                <w:rPr>
                  <w:rFonts w:ascii="Arial" w:cs="Arial" w:eastAsia="Arial" w:hAnsi="Arial"/>
                  <w:sz w:val="18"/>
                  <w:szCs w:val="18"/>
                  <w:color w:val="0000EE"/>
                </w:rPr>
                <w:t>44</w:t>
              </w:r>
            </w:hyperlink>
          </w:p>
        </w:tc>
      </w:tr>
      <w:tr>
        <w:trPr>
          <w:trHeight w:val="20"/>
        </w:trPr>
        <w:tc>
          <w:tcPr>
            <w:tcW w:w="5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ectPr>
          <w:pgSz w:w="11900" w:h="16838" w:orient="portrait"/>
          <w:cols w:equalWidth="0" w:num="1">
            <w:col w:w="11420"/>
          </w:cols>
          <w:pgMar w:left="240" w:top="125"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CONSOLIDATED FINANCIAL INFORMATION</w:t>
      </w:r>
    </w:p>
    <w:p>
      <w:pPr>
        <w:spacing w:after="0" w:line="27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As of</w:t>
            </w:r>
          </w:p>
        </w:tc>
        <w:tc>
          <w:tcPr>
            <w:tcW w:w="1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8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3"/>
                <w:szCs w:val="13"/>
                <w:color w:val="auto"/>
              </w:rPr>
            </w:pPr>
          </w:p>
        </w:tc>
        <w:tc>
          <w:tcPr>
            <w:tcW w:w="1260" w:type="dxa"/>
            <w:vAlign w:val="bottom"/>
          </w:tcPr>
          <w:p>
            <w:pPr>
              <w:jc w:val="right"/>
              <w:ind w:right="251"/>
              <w:spacing w:after="0" w:line="153" w:lineRule="exact"/>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92"/>
        </w:trPr>
        <w:tc>
          <w:tcPr>
            <w:tcW w:w="83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3840"/>
              <w:spacing w:after="0"/>
              <w:rPr>
                <w:sz w:val="20"/>
                <w:szCs w:val="20"/>
                <w:color w:val="auto"/>
              </w:rPr>
            </w:pPr>
            <w:r>
              <w:rPr>
                <w:rFonts w:ascii="Arial" w:cs="Arial" w:eastAsia="Arial" w:hAnsi="Arial"/>
                <w:sz w:val="18"/>
                <w:szCs w:val="18"/>
                <w:b w:val="1"/>
                <w:bCs w:val="1"/>
                <w:color w:val="auto"/>
              </w:rPr>
              <w:t>ASSETS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Real estate</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Real estate, at cost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3,147,119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3,220,634</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Less: accumulated depreciation</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(433,149)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(424,453)</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Real estate, net</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2,713,970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2,796,181</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Real estate available and held for sale</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334,691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360,517</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3,048,661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3,156,698</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Loans receivable and other lending investments, net</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1,476,490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1,370,109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investments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205,097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207,209</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409,598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513,568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50,593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48,769</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Accrued interest and operating lease income receivable, net</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15,745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14,941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operating lease income receivable</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94,911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92,737</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Deferred expenses and other assets, net</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186,620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237,980</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5,487,715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5,642,011</w:t>
            </w:r>
          </w:p>
        </w:tc>
        <w:tc>
          <w:tcPr>
            <w:tcW w:w="0" w:type="dxa"/>
            <w:vAlign w:val="bottom"/>
          </w:tcPr>
          <w:p>
            <w:pPr>
              <w:spacing w:after="0"/>
              <w:rPr>
                <w:sz w:val="1"/>
                <w:szCs w:val="1"/>
                <w:color w:val="auto"/>
              </w:rPr>
            </w:pPr>
          </w:p>
        </w:tc>
      </w:tr>
      <w:tr>
        <w:trPr>
          <w:trHeight w:val="20"/>
        </w:trPr>
        <w:tc>
          <w:tcPr>
            <w:tcW w:w="8340" w:type="dxa"/>
            <w:vAlign w:val="bottom"/>
            <w:vMerge w:val="restart"/>
          </w:tcPr>
          <w:p>
            <w:pPr>
              <w:ind w:left="3020"/>
              <w:spacing w:after="0"/>
              <w:rPr>
                <w:sz w:val="20"/>
                <w:szCs w:val="20"/>
                <w:color w:val="auto"/>
              </w:rPr>
            </w:pPr>
            <w:r>
              <w:rPr>
                <w:rFonts w:ascii="Arial" w:cs="Arial" w:eastAsia="Arial" w:hAnsi="Arial"/>
                <w:sz w:val="18"/>
                <w:szCs w:val="18"/>
                <w:b w:val="1"/>
                <w:bCs w:val="1"/>
                <w:color w:val="auto"/>
              </w:rPr>
              <w:t>LIABILITIES AND EQUITY</w:t>
            </w: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34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Accounts payable, accrued expenses and other liabilities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112,195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170,831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 obligations, net</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4,102,050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4,158,125</w:t>
            </w:r>
          </w:p>
        </w:tc>
        <w:tc>
          <w:tcPr>
            <w:tcW w:w="0" w:type="dxa"/>
            <w:vAlign w:val="bottom"/>
          </w:tcPr>
          <w:p>
            <w:pPr>
              <w:spacing w:after="0"/>
              <w:rPr>
                <w:sz w:val="1"/>
                <w:szCs w:val="1"/>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8"/>
                <w:szCs w:val="18"/>
                <w:color w:val="auto"/>
              </w:rPr>
              <w:t>Total liabilities</w:t>
            </w: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4,214,245</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4,328,956</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Redeemable noncontrolling interests</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11,353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11,590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Equity:</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iStar Financial Inc. shareholders' equity:</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Preferred Stock Series D, E, F, G and I, liquidation preference $25.00 per share (see Note 11)</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Convertible Preferred Stock Series J, liquidation preference $50.00 per share (see Note 11)</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High Performance Units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9,800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9,800</w:t>
            </w:r>
          </w:p>
        </w:tc>
        <w:tc>
          <w:tcPr>
            <w:tcW w:w="0" w:type="dxa"/>
            <w:vAlign w:val="bottom"/>
          </w:tcPr>
          <w:p>
            <w:pPr>
              <w:spacing w:after="0"/>
              <w:rPr>
                <w:sz w:val="1"/>
                <w:szCs w:val="1"/>
                <w:color w:val="auto"/>
              </w:rPr>
            </w:pPr>
          </w:p>
        </w:tc>
      </w:tr>
      <w:tr>
        <w:trPr>
          <w:trHeight w:val="229"/>
        </w:trPr>
        <w:tc>
          <w:tcPr>
            <w:tcW w:w="8340" w:type="dxa"/>
            <w:vAlign w:val="bottom"/>
          </w:tcPr>
          <w:p>
            <w:pPr>
              <w:ind w:left="40"/>
              <w:spacing w:after="0"/>
              <w:rPr>
                <w:sz w:val="20"/>
                <w:szCs w:val="20"/>
                <w:color w:val="auto"/>
              </w:rPr>
            </w:pPr>
            <w:r>
              <w:rPr>
                <w:rFonts w:ascii="Arial" w:cs="Arial" w:eastAsia="Arial" w:hAnsi="Arial"/>
                <w:sz w:val="18"/>
                <w:szCs w:val="18"/>
                <w:color w:val="auto"/>
                <w:w w:val="90"/>
              </w:rPr>
              <w:t>Common Stock, $0.001 par value, 200,000 shares authorized,145,471 issued and 84,855 outstanding at March 31,</w:t>
            </w: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40" w:type="dxa"/>
            <w:vAlign w:val="bottom"/>
          </w:tcPr>
          <w:p>
            <w:pPr>
              <w:ind w:left="40"/>
              <w:spacing w:after="0"/>
              <w:rPr>
                <w:sz w:val="20"/>
                <w:szCs w:val="20"/>
                <w:color w:val="auto"/>
              </w:rPr>
            </w:pPr>
            <w:r>
              <w:rPr>
                <w:rFonts w:ascii="Arial" w:cs="Arial" w:eastAsia="Arial" w:hAnsi="Arial"/>
                <w:sz w:val="18"/>
                <w:szCs w:val="18"/>
                <w:color w:val="auto"/>
              </w:rPr>
              <w:t>2014 and 144,334 issued and 83,717 outstanding at December 31, 2013</w:t>
            </w:r>
          </w:p>
        </w:tc>
        <w:tc>
          <w:tcPr>
            <w:tcW w:w="260" w:type="dxa"/>
            <w:vAlign w:val="bottom"/>
          </w:tcPr>
          <w:p>
            <w:pPr>
              <w:spacing w:after="0"/>
              <w:rPr>
                <w:sz w:val="20"/>
                <w:szCs w:val="20"/>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Additional paid-in capital</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4,013,303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4,022,138</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Retained earnings (deficit)</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(2,549,079)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(2,521,618)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other comprehensive income (loss) (see Note 11)</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(5,672)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(4,276)</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Treasury stock, at cost, $0.001 par value, 60,617 shares at March 31, 2014 and December 31, 2013</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(262,954)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(262,954)</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iStar Financial Inc. shareholders' equity</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1,205,569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1,243,260</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Noncontrolling interests</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56,548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58,205</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equity</w:t>
            </w:r>
          </w:p>
        </w:tc>
        <w:tc>
          <w:tcPr>
            <w:tcW w:w="2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1,262,117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1,301,465</w:t>
            </w:r>
          </w:p>
        </w:tc>
        <w:tc>
          <w:tcPr>
            <w:tcW w:w="0" w:type="dxa"/>
            <w:vAlign w:val="bottom"/>
          </w:tcPr>
          <w:p>
            <w:pPr>
              <w:spacing w:after="0"/>
              <w:rPr>
                <w:sz w:val="1"/>
                <w:szCs w:val="1"/>
                <w:color w:val="auto"/>
              </w:rPr>
            </w:pPr>
          </w:p>
        </w:tc>
      </w:tr>
      <w:tr>
        <w:trPr>
          <w:trHeight w:val="257"/>
        </w:trPr>
        <w:tc>
          <w:tcPr>
            <w:tcW w:w="8340" w:type="dxa"/>
            <w:vAlign w:val="bottom"/>
          </w:tcPr>
          <w:p>
            <w:pPr>
              <w:ind w:left="180"/>
              <w:spacing w:after="0"/>
              <w:rPr>
                <w:sz w:val="20"/>
                <w:szCs w:val="20"/>
                <w:color w:val="auto"/>
              </w:rPr>
            </w:pPr>
            <w:r>
              <w:rPr>
                <w:rFonts w:ascii="Arial" w:cs="Arial" w:eastAsia="Arial" w:hAnsi="Arial"/>
                <w:sz w:val="18"/>
                <w:szCs w:val="18"/>
                <w:color w:val="auto"/>
              </w:rPr>
              <w:t>Total liabilities and equity</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5,487,715</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5,642,011</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ectPr>
          <w:pgSz w:w="11900" w:h="16838" w:orient="portrait"/>
          <w:cols w:equalWidth="0" w:num="1">
            <w:col w:w="11420"/>
          </w:cols>
          <w:pgMar w:left="240" w:top="125" w:right="239"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125" w:right="239" w:bottom="1440"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67" w:lineRule="exact"/>
        <w:rPr>
          <w:sz w:val="20"/>
          <w:szCs w:val="20"/>
          <w:color w:val="auto"/>
        </w:rPr>
      </w:pPr>
    </w:p>
    <w:p>
      <w:pPr>
        <w:jc w:val="center"/>
        <w:ind w:left="7660"/>
        <w:spacing w:after="0"/>
        <w:rPr>
          <w:sz w:val="20"/>
          <w:szCs w:val="20"/>
          <w:color w:val="auto"/>
        </w:rPr>
      </w:pPr>
      <w:r>
        <w:rPr>
          <w:rFonts w:ascii="Arial" w:cs="Arial" w:eastAsia="Arial" w:hAnsi="Arial"/>
          <w:sz w:val="14"/>
          <w:szCs w:val="14"/>
          <w:b w:val="1"/>
          <w:bCs w:val="1"/>
          <w:color w:val="auto"/>
        </w:rPr>
        <w:t>For the Three Months Ended</w:t>
      </w:r>
    </w:p>
    <w:p>
      <w:pPr>
        <w:spacing w:after="0" w:line="4" w:lineRule="exact"/>
        <w:rPr>
          <w:sz w:val="20"/>
          <w:szCs w:val="20"/>
          <w:color w:val="auto"/>
        </w:rPr>
      </w:pPr>
    </w:p>
    <w:p>
      <w:pPr>
        <w:jc w:val="center"/>
        <w:ind w:left="770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13335</wp:posOffset>
            </wp:positionV>
            <wp:extent cx="23837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79"/>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36"/>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Revenues:</w:t>
            </w:r>
          </w:p>
        </w:tc>
        <w:tc>
          <w:tcPr>
            <w:tcW w:w="11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660" w:type="dxa"/>
            <w:vAlign w:val="bottom"/>
          </w:tcPr>
          <w:p>
            <w:pPr>
              <w:ind w:left="180"/>
              <w:spacing w:after="0"/>
              <w:rPr>
                <w:sz w:val="20"/>
                <w:szCs w:val="20"/>
                <w:color w:val="auto"/>
              </w:rPr>
            </w:pPr>
            <w:r>
              <w:rPr>
                <w:rFonts w:ascii="Arial" w:cs="Arial" w:eastAsia="Arial" w:hAnsi="Arial"/>
                <w:sz w:val="16"/>
                <w:szCs w:val="16"/>
                <w:color w:val="auto"/>
              </w:rPr>
              <w:t>Operating lease income</w:t>
            </w:r>
          </w:p>
        </w:tc>
        <w:tc>
          <w:tcPr>
            <w:tcW w:w="1140" w:type="dxa"/>
            <w:vAlign w:val="bottom"/>
          </w:tcPr>
          <w:p>
            <w:pPr>
              <w:jc w:val="right"/>
              <w:ind w:right="940"/>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62,108</w:t>
            </w:r>
          </w:p>
        </w:tc>
        <w:tc>
          <w:tcPr>
            <w:tcW w:w="120" w:type="dxa"/>
            <w:vAlign w:val="bottom"/>
          </w:tcPr>
          <w:p>
            <w:pPr>
              <w:spacing w:after="0"/>
              <w:rPr>
                <w:sz w:val="20"/>
                <w:szCs w:val="20"/>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58,015</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Interest income</w:t>
            </w:r>
          </w:p>
        </w:tc>
        <w:tc>
          <w:tcPr>
            <w:tcW w:w="1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27,914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24,667</w:t>
            </w:r>
          </w:p>
        </w:tc>
        <w:tc>
          <w:tcPr>
            <w:tcW w:w="0" w:type="dxa"/>
            <w:vAlign w:val="bottom"/>
          </w:tcPr>
          <w:p>
            <w:pPr>
              <w:spacing w:after="0"/>
              <w:rPr>
                <w:sz w:val="1"/>
                <w:szCs w:val="1"/>
                <w:color w:val="auto"/>
              </w:rPr>
            </w:pPr>
          </w:p>
        </w:tc>
      </w:tr>
      <w:tr>
        <w:trPr>
          <w:trHeight w:val="237"/>
        </w:trPr>
        <w:tc>
          <w:tcPr>
            <w:tcW w:w="7660" w:type="dxa"/>
            <w:vAlign w:val="bottom"/>
          </w:tcPr>
          <w:p>
            <w:pPr>
              <w:ind w:left="180"/>
              <w:spacing w:after="0"/>
              <w:rPr>
                <w:sz w:val="20"/>
                <w:szCs w:val="20"/>
                <w:color w:val="auto"/>
              </w:rPr>
            </w:pPr>
            <w:r>
              <w:rPr>
                <w:rFonts w:ascii="Arial" w:cs="Arial" w:eastAsia="Arial" w:hAnsi="Arial"/>
                <w:sz w:val="16"/>
                <w:szCs w:val="16"/>
                <w:color w:val="auto"/>
              </w:rPr>
              <w:t>Other income</w:t>
            </w:r>
          </w:p>
        </w:tc>
        <w:tc>
          <w:tcPr>
            <w:tcW w:w="114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14,584</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11,393</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Land sales revenue</w:t>
            </w:r>
          </w:p>
        </w:tc>
        <w:tc>
          <w:tcPr>
            <w:tcW w:w="11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4,143</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7660" w:type="dxa"/>
            <w:vAlign w:val="bottom"/>
          </w:tcPr>
          <w:p>
            <w:pPr>
              <w:ind w:left="280"/>
              <w:spacing w:after="0"/>
              <w:rPr>
                <w:sz w:val="20"/>
                <w:szCs w:val="20"/>
                <w:color w:val="auto"/>
              </w:rPr>
            </w:pPr>
            <w:r>
              <w:rPr>
                <w:rFonts w:ascii="Arial" w:cs="Arial" w:eastAsia="Arial" w:hAnsi="Arial"/>
                <w:sz w:val="16"/>
                <w:szCs w:val="16"/>
                <w:color w:val="auto"/>
              </w:rPr>
              <w:t>Total revenues</w:t>
            </w:r>
          </w:p>
        </w:tc>
        <w:tc>
          <w:tcPr>
            <w:tcW w:w="11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108,749</w:t>
            </w:r>
          </w:p>
        </w:tc>
        <w:tc>
          <w:tcPr>
            <w:tcW w:w="1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94,075</w:t>
            </w:r>
          </w:p>
        </w:tc>
        <w:tc>
          <w:tcPr>
            <w:tcW w:w="0" w:type="dxa"/>
            <w:vAlign w:val="bottom"/>
          </w:tcPr>
          <w:p>
            <w:pPr>
              <w:spacing w:after="0"/>
              <w:rPr>
                <w:sz w:val="1"/>
                <w:szCs w:val="1"/>
                <w:color w:val="auto"/>
              </w:rPr>
            </w:pPr>
          </w:p>
        </w:tc>
      </w:tr>
      <w:tr>
        <w:trPr>
          <w:trHeight w:val="33"/>
        </w:trPr>
        <w:tc>
          <w:tcPr>
            <w:tcW w:w="766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Costs and expenses:</w:t>
            </w:r>
          </w:p>
        </w:tc>
        <w:tc>
          <w:tcPr>
            <w:tcW w:w="11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660" w:type="dxa"/>
            <w:vAlign w:val="bottom"/>
          </w:tcPr>
          <w:p>
            <w:pPr>
              <w:ind w:left="180"/>
              <w:spacing w:after="0"/>
              <w:rPr>
                <w:sz w:val="20"/>
                <w:szCs w:val="20"/>
                <w:color w:val="auto"/>
              </w:rPr>
            </w:pPr>
            <w:r>
              <w:rPr>
                <w:rFonts w:ascii="Arial" w:cs="Arial" w:eastAsia="Arial" w:hAnsi="Arial"/>
                <w:sz w:val="16"/>
                <w:szCs w:val="16"/>
                <w:color w:val="auto"/>
              </w:rPr>
              <w:t>Interest expense</w:t>
            </w:r>
          </w:p>
        </w:tc>
        <w:tc>
          <w:tcPr>
            <w:tcW w:w="114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57,456</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71,566</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Real estate expense</w:t>
            </w:r>
          </w:p>
        </w:tc>
        <w:tc>
          <w:tcPr>
            <w:tcW w:w="1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42,613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37,808</w:t>
            </w:r>
          </w:p>
        </w:tc>
        <w:tc>
          <w:tcPr>
            <w:tcW w:w="0" w:type="dxa"/>
            <w:vAlign w:val="bottom"/>
          </w:tcPr>
          <w:p>
            <w:pPr>
              <w:spacing w:after="0"/>
              <w:rPr>
                <w:sz w:val="1"/>
                <w:szCs w:val="1"/>
                <w:color w:val="auto"/>
              </w:rPr>
            </w:pPr>
          </w:p>
        </w:tc>
      </w:tr>
      <w:tr>
        <w:trPr>
          <w:trHeight w:val="237"/>
        </w:trPr>
        <w:tc>
          <w:tcPr>
            <w:tcW w:w="7660" w:type="dxa"/>
            <w:vAlign w:val="bottom"/>
          </w:tcPr>
          <w:p>
            <w:pPr>
              <w:ind w:left="180"/>
              <w:spacing w:after="0"/>
              <w:rPr>
                <w:sz w:val="20"/>
                <w:szCs w:val="20"/>
                <w:color w:val="auto"/>
              </w:rPr>
            </w:pPr>
            <w:r>
              <w:rPr>
                <w:rFonts w:ascii="Arial" w:cs="Arial" w:eastAsia="Arial" w:hAnsi="Arial"/>
                <w:sz w:val="16"/>
                <w:szCs w:val="16"/>
                <w:color w:val="auto"/>
              </w:rPr>
              <w:t>Land cost of sales</w:t>
            </w:r>
          </w:p>
        </w:tc>
        <w:tc>
          <w:tcPr>
            <w:tcW w:w="114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3,654</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Depreciation and amortization</w:t>
            </w:r>
          </w:p>
        </w:tc>
        <w:tc>
          <w:tcPr>
            <w:tcW w:w="1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18,613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17,324</w:t>
            </w:r>
          </w:p>
        </w:tc>
        <w:tc>
          <w:tcPr>
            <w:tcW w:w="0" w:type="dxa"/>
            <w:vAlign w:val="bottom"/>
          </w:tcPr>
          <w:p>
            <w:pPr>
              <w:spacing w:after="0"/>
              <w:rPr>
                <w:sz w:val="1"/>
                <w:szCs w:val="1"/>
                <w:color w:val="auto"/>
              </w:rPr>
            </w:pPr>
          </w:p>
        </w:tc>
      </w:tr>
      <w:tr>
        <w:trPr>
          <w:trHeight w:val="237"/>
        </w:trPr>
        <w:tc>
          <w:tcPr>
            <w:tcW w:w="7660" w:type="dxa"/>
            <w:vAlign w:val="bottom"/>
          </w:tcPr>
          <w:p>
            <w:pPr>
              <w:ind w:left="180"/>
              <w:spacing w:after="0"/>
              <w:rPr>
                <w:sz w:val="20"/>
                <w:szCs w:val="20"/>
                <w:color w:val="auto"/>
              </w:rPr>
            </w:pPr>
            <w:r>
              <w:rPr>
                <w:rFonts w:ascii="Arial" w:cs="Arial" w:eastAsia="Arial" w:hAnsi="Arial"/>
                <w:sz w:val="16"/>
                <w:szCs w:val="16"/>
                <w:color w:val="auto"/>
              </w:rPr>
              <w:t>General and administrative</w:t>
            </w:r>
          </w:p>
        </w:tc>
        <w:tc>
          <w:tcPr>
            <w:tcW w:w="114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19,788</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21,848</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Provision for (recovery of) loan losses</w:t>
            </w:r>
          </w:p>
        </w:tc>
        <w:tc>
          <w:tcPr>
            <w:tcW w:w="1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(3,400)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10,206</w:t>
            </w:r>
          </w:p>
        </w:tc>
        <w:tc>
          <w:tcPr>
            <w:tcW w:w="0" w:type="dxa"/>
            <w:vAlign w:val="bottom"/>
          </w:tcPr>
          <w:p>
            <w:pPr>
              <w:spacing w:after="0"/>
              <w:rPr>
                <w:sz w:val="1"/>
                <w:szCs w:val="1"/>
                <w:color w:val="auto"/>
              </w:rPr>
            </w:pPr>
          </w:p>
        </w:tc>
      </w:tr>
      <w:tr>
        <w:trPr>
          <w:trHeight w:val="237"/>
        </w:trPr>
        <w:tc>
          <w:tcPr>
            <w:tcW w:w="7660" w:type="dxa"/>
            <w:vAlign w:val="bottom"/>
          </w:tcPr>
          <w:p>
            <w:pPr>
              <w:ind w:left="180"/>
              <w:spacing w:after="0"/>
              <w:rPr>
                <w:sz w:val="20"/>
                <w:szCs w:val="20"/>
                <w:color w:val="auto"/>
              </w:rPr>
            </w:pPr>
            <w:r>
              <w:rPr>
                <w:rFonts w:ascii="Arial" w:cs="Arial" w:eastAsia="Arial" w:hAnsi="Arial"/>
                <w:sz w:val="16"/>
                <w:szCs w:val="16"/>
                <w:color w:val="auto"/>
              </w:rPr>
              <w:t>Impairment of assets</w:t>
            </w:r>
          </w:p>
        </w:tc>
        <w:tc>
          <w:tcPr>
            <w:tcW w:w="114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2,979</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expense</w:t>
            </w:r>
          </w:p>
        </w:tc>
        <w:tc>
          <w:tcPr>
            <w:tcW w:w="11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221</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5,625</w:t>
            </w:r>
          </w:p>
        </w:tc>
        <w:tc>
          <w:tcPr>
            <w:tcW w:w="0" w:type="dxa"/>
            <w:vAlign w:val="bottom"/>
          </w:tcPr>
          <w:p>
            <w:pPr>
              <w:spacing w:after="0"/>
              <w:rPr>
                <w:sz w:val="1"/>
                <w:szCs w:val="1"/>
                <w:color w:val="auto"/>
              </w:rPr>
            </w:pPr>
          </w:p>
        </w:tc>
      </w:tr>
      <w:tr>
        <w:trPr>
          <w:trHeight w:val="217"/>
        </w:trPr>
        <w:tc>
          <w:tcPr>
            <w:tcW w:w="7660" w:type="dxa"/>
            <w:vAlign w:val="bottom"/>
          </w:tcPr>
          <w:p>
            <w:pPr>
              <w:ind w:left="280"/>
              <w:spacing w:after="0"/>
              <w:rPr>
                <w:sz w:val="20"/>
                <w:szCs w:val="20"/>
                <w:color w:val="auto"/>
              </w:rPr>
            </w:pPr>
            <w:r>
              <w:rPr>
                <w:rFonts w:ascii="Arial" w:cs="Arial" w:eastAsia="Arial" w:hAnsi="Arial"/>
                <w:sz w:val="16"/>
                <w:szCs w:val="16"/>
                <w:color w:val="auto"/>
              </w:rPr>
              <w:t>Total costs and expenses</w:t>
            </w:r>
          </w:p>
        </w:tc>
        <w:tc>
          <w:tcPr>
            <w:tcW w:w="11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141,924</w:t>
            </w:r>
          </w:p>
        </w:tc>
        <w:tc>
          <w:tcPr>
            <w:tcW w:w="1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164,377</w:t>
            </w:r>
          </w:p>
        </w:tc>
        <w:tc>
          <w:tcPr>
            <w:tcW w:w="0" w:type="dxa"/>
            <w:vAlign w:val="bottom"/>
          </w:tcPr>
          <w:p>
            <w:pPr>
              <w:spacing w:after="0"/>
              <w:rPr>
                <w:sz w:val="1"/>
                <w:szCs w:val="1"/>
                <w:color w:val="auto"/>
              </w:rPr>
            </w:pPr>
          </w:p>
        </w:tc>
      </w:tr>
      <w:tr>
        <w:trPr>
          <w:trHeight w:val="33"/>
        </w:trPr>
        <w:tc>
          <w:tcPr>
            <w:tcW w:w="766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(loss) before earnings from equity method investments and other items</w:t>
            </w:r>
          </w:p>
        </w:tc>
        <w:tc>
          <w:tcPr>
            <w:tcW w:w="11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(33,175)</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(70,302)</w:t>
            </w:r>
          </w:p>
        </w:tc>
        <w:tc>
          <w:tcPr>
            <w:tcW w:w="0" w:type="dxa"/>
            <w:vAlign w:val="bottom"/>
          </w:tcPr>
          <w:p>
            <w:pPr>
              <w:spacing w:after="0"/>
              <w:rPr>
                <w:sz w:val="1"/>
                <w:szCs w:val="1"/>
                <w:color w:val="auto"/>
              </w:rPr>
            </w:pPr>
          </w:p>
        </w:tc>
      </w:tr>
      <w:tr>
        <w:trPr>
          <w:trHeight w:val="237"/>
        </w:trPr>
        <w:tc>
          <w:tcPr>
            <w:tcW w:w="7660" w:type="dxa"/>
            <w:vAlign w:val="bottom"/>
          </w:tcPr>
          <w:p>
            <w:pPr>
              <w:ind w:left="180"/>
              <w:spacing w:after="0"/>
              <w:rPr>
                <w:sz w:val="20"/>
                <w:szCs w:val="20"/>
                <w:color w:val="auto"/>
              </w:rPr>
            </w:pPr>
            <w:r>
              <w:rPr>
                <w:rFonts w:ascii="Arial" w:cs="Arial" w:eastAsia="Arial" w:hAnsi="Arial"/>
                <w:sz w:val="16"/>
                <w:szCs w:val="16"/>
                <w:color w:val="auto"/>
              </w:rPr>
              <w:t>Loss on early extinguishment of debt, net</w:t>
            </w:r>
          </w:p>
        </w:tc>
        <w:tc>
          <w:tcPr>
            <w:tcW w:w="1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(1,180)</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(9,541)</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Earnings from equity method investments</w:t>
            </w:r>
          </w:p>
        </w:tc>
        <w:tc>
          <w:tcPr>
            <w:tcW w:w="11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3,177</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21,678</w:t>
            </w:r>
          </w:p>
        </w:tc>
        <w:tc>
          <w:tcPr>
            <w:tcW w:w="0" w:type="dxa"/>
            <w:vAlign w:val="bottom"/>
          </w:tcPr>
          <w:p>
            <w:pPr>
              <w:spacing w:after="0"/>
              <w:rPr>
                <w:sz w:val="1"/>
                <w:szCs w:val="1"/>
                <w:color w:val="auto"/>
              </w:rPr>
            </w:pPr>
          </w:p>
        </w:tc>
      </w:tr>
      <w:tr>
        <w:trPr>
          <w:trHeight w:val="217"/>
        </w:trPr>
        <w:tc>
          <w:tcPr>
            <w:tcW w:w="7660" w:type="dxa"/>
            <w:vAlign w:val="bottom"/>
          </w:tcPr>
          <w:p>
            <w:pPr>
              <w:ind w:left="40"/>
              <w:spacing w:after="0"/>
              <w:rPr>
                <w:sz w:val="20"/>
                <w:szCs w:val="20"/>
                <w:color w:val="auto"/>
              </w:rPr>
            </w:pPr>
            <w:r>
              <w:rPr>
                <w:rFonts w:ascii="Arial" w:cs="Arial" w:eastAsia="Arial" w:hAnsi="Arial"/>
                <w:sz w:val="16"/>
                <w:szCs w:val="16"/>
                <w:color w:val="auto"/>
              </w:rPr>
              <w:t>Income (loss) from continuing operations before income taxes</w:t>
            </w:r>
          </w:p>
        </w:tc>
        <w:tc>
          <w:tcPr>
            <w:tcW w:w="11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(31,178)</w:t>
            </w:r>
          </w:p>
        </w:tc>
        <w:tc>
          <w:tcPr>
            <w:tcW w:w="1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(58,165)</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Income tax (expense) benefit</w:t>
            </w:r>
          </w:p>
        </w:tc>
        <w:tc>
          <w:tcPr>
            <w:tcW w:w="11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507</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(4,075)</w:t>
            </w:r>
          </w:p>
        </w:tc>
        <w:tc>
          <w:tcPr>
            <w:tcW w:w="0" w:type="dxa"/>
            <w:vAlign w:val="bottom"/>
          </w:tcPr>
          <w:p>
            <w:pPr>
              <w:spacing w:after="0"/>
              <w:rPr>
                <w:sz w:val="1"/>
                <w:szCs w:val="1"/>
                <w:color w:val="auto"/>
              </w:rPr>
            </w:pPr>
          </w:p>
        </w:tc>
      </w:tr>
      <w:tr>
        <w:trPr>
          <w:trHeight w:val="217"/>
        </w:trPr>
        <w:tc>
          <w:tcPr>
            <w:tcW w:w="7660" w:type="dxa"/>
            <w:vAlign w:val="bottom"/>
          </w:tcPr>
          <w:p>
            <w:pPr>
              <w:ind w:left="40"/>
              <w:spacing w:after="0"/>
              <w:rPr>
                <w:sz w:val="20"/>
                <w:szCs w:val="20"/>
                <w:color w:val="auto"/>
              </w:rPr>
            </w:pPr>
            <w:r>
              <w:rPr>
                <w:rFonts w:ascii="Arial" w:cs="Arial" w:eastAsia="Arial" w:hAnsi="Arial"/>
                <w:sz w:val="16"/>
                <w:szCs w:val="16"/>
                <w:color w:val="auto"/>
              </w:rPr>
              <w:t>Income (loss) from continuing operations(1)</w:t>
            </w:r>
          </w:p>
        </w:tc>
        <w:tc>
          <w:tcPr>
            <w:tcW w:w="11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(30,671)</w:t>
            </w:r>
          </w:p>
        </w:tc>
        <w:tc>
          <w:tcPr>
            <w:tcW w:w="1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(62,240)</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Income (loss) from discontinued operations</w:t>
            </w:r>
          </w:p>
        </w:tc>
        <w:tc>
          <w:tcPr>
            <w:tcW w:w="1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1,246</w:t>
            </w:r>
          </w:p>
        </w:tc>
        <w:tc>
          <w:tcPr>
            <w:tcW w:w="0" w:type="dxa"/>
            <w:vAlign w:val="bottom"/>
          </w:tcPr>
          <w:p>
            <w:pPr>
              <w:spacing w:after="0"/>
              <w:rPr>
                <w:sz w:val="1"/>
                <w:szCs w:val="1"/>
                <w:color w:val="auto"/>
              </w:rPr>
            </w:pPr>
          </w:p>
        </w:tc>
      </w:tr>
      <w:tr>
        <w:trPr>
          <w:trHeight w:val="237"/>
        </w:trPr>
        <w:tc>
          <w:tcPr>
            <w:tcW w:w="7660" w:type="dxa"/>
            <w:vAlign w:val="bottom"/>
          </w:tcPr>
          <w:p>
            <w:pPr>
              <w:ind w:left="180"/>
              <w:spacing w:after="0"/>
              <w:rPr>
                <w:sz w:val="20"/>
                <w:szCs w:val="20"/>
                <w:color w:val="auto"/>
              </w:rPr>
            </w:pPr>
            <w:r>
              <w:rPr>
                <w:rFonts w:ascii="Arial" w:cs="Arial" w:eastAsia="Arial" w:hAnsi="Arial"/>
                <w:sz w:val="16"/>
                <w:szCs w:val="16"/>
                <w:color w:val="auto"/>
              </w:rPr>
              <w:t>Gain from discontinued operations</w:t>
            </w:r>
          </w:p>
        </w:tc>
        <w:tc>
          <w:tcPr>
            <w:tcW w:w="114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5,044</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Income from sales of residential property</w:t>
            </w:r>
          </w:p>
        </w:tc>
        <w:tc>
          <w:tcPr>
            <w:tcW w:w="11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16,494</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23,697</w:t>
            </w:r>
          </w:p>
        </w:tc>
        <w:tc>
          <w:tcPr>
            <w:tcW w:w="0" w:type="dxa"/>
            <w:vAlign w:val="bottom"/>
          </w:tcPr>
          <w:p>
            <w:pPr>
              <w:spacing w:after="0"/>
              <w:rPr>
                <w:sz w:val="1"/>
                <w:szCs w:val="1"/>
                <w:color w:val="auto"/>
              </w:rPr>
            </w:pPr>
          </w:p>
        </w:tc>
      </w:tr>
      <w:tr>
        <w:trPr>
          <w:trHeight w:val="217"/>
        </w:trPr>
        <w:tc>
          <w:tcPr>
            <w:tcW w:w="766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11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(14,177)</w:t>
            </w:r>
          </w:p>
        </w:tc>
        <w:tc>
          <w:tcPr>
            <w:tcW w:w="1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(32,253)</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(income) loss attributable to noncontrolling interests</w:t>
            </w:r>
          </w:p>
        </w:tc>
        <w:tc>
          <w:tcPr>
            <w:tcW w:w="11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(454)</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189</w:t>
            </w:r>
          </w:p>
        </w:tc>
        <w:tc>
          <w:tcPr>
            <w:tcW w:w="0" w:type="dxa"/>
            <w:vAlign w:val="bottom"/>
          </w:tcPr>
          <w:p>
            <w:pPr>
              <w:spacing w:after="0"/>
              <w:rPr>
                <w:sz w:val="1"/>
                <w:szCs w:val="1"/>
                <w:color w:val="auto"/>
              </w:rPr>
            </w:pPr>
          </w:p>
        </w:tc>
      </w:tr>
      <w:tr>
        <w:trPr>
          <w:trHeight w:val="217"/>
        </w:trPr>
        <w:tc>
          <w:tcPr>
            <w:tcW w:w="7660" w:type="dxa"/>
            <w:vAlign w:val="bottom"/>
          </w:tcPr>
          <w:p>
            <w:pPr>
              <w:ind w:left="40"/>
              <w:spacing w:after="0"/>
              <w:rPr>
                <w:sz w:val="20"/>
                <w:szCs w:val="20"/>
                <w:color w:val="auto"/>
              </w:rPr>
            </w:pPr>
            <w:r>
              <w:rPr>
                <w:rFonts w:ascii="Arial" w:cs="Arial" w:eastAsia="Arial" w:hAnsi="Arial"/>
                <w:sz w:val="16"/>
                <w:szCs w:val="16"/>
                <w:color w:val="auto"/>
              </w:rPr>
              <w:t>Net income (loss) attributable to iStar Financial Inc.</w:t>
            </w:r>
          </w:p>
        </w:tc>
        <w:tc>
          <w:tcPr>
            <w:tcW w:w="11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(14,631)</w:t>
            </w:r>
          </w:p>
        </w:tc>
        <w:tc>
          <w:tcPr>
            <w:tcW w:w="1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(32,064)</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Preferred dividends</w:t>
            </w:r>
          </w:p>
        </w:tc>
        <w:tc>
          <w:tcPr>
            <w:tcW w:w="1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(12,830)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(10,580)</w:t>
            </w:r>
          </w:p>
        </w:tc>
        <w:tc>
          <w:tcPr>
            <w:tcW w:w="0" w:type="dxa"/>
            <w:vAlign w:val="bottom"/>
          </w:tcPr>
          <w:p>
            <w:pPr>
              <w:spacing w:after="0"/>
              <w:rPr>
                <w:sz w:val="1"/>
                <w:szCs w:val="1"/>
                <w:color w:val="auto"/>
              </w:rPr>
            </w:pPr>
          </w:p>
        </w:tc>
      </w:tr>
      <w:tr>
        <w:trPr>
          <w:trHeight w:val="237"/>
        </w:trPr>
        <w:tc>
          <w:tcPr>
            <w:tcW w:w="7660" w:type="dxa"/>
            <w:vAlign w:val="bottom"/>
          </w:tcPr>
          <w:p>
            <w:pPr>
              <w:ind w:left="180"/>
              <w:spacing w:after="0"/>
              <w:rPr>
                <w:sz w:val="20"/>
                <w:szCs w:val="20"/>
                <w:color w:val="auto"/>
              </w:rPr>
            </w:pPr>
            <w:r>
              <w:rPr>
                <w:rFonts w:ascii="Arial" w:cs="Arial" w:eastAsia="Arial" w:hAnsi="Arial"/>
                <w:sz w:val="16"/>
                <w:szCs w:val="16"/>
                <w:color w:val="auto"/>
              </w:rPr>
              <w:t>Net (income) loss allocable to HPU holders and Participating Security holders(2)(3)</w:t>
            </w:r>
          </w:p>
        </w:tc>
        <w:tc>
          <w:tcPr>
            <w:tcW w:w="114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889</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1,381</w:t>
            </w:r>
          </w:p>
        </w:tc>
        <w:tc>
          <w:tcPr>
            <w:tcW w:w="0" w:type="dxa"/>
            <w:vAlign w:val="bottom"/>
          </w:tcPr>
          <w:p>
            <w:pPr>
              <w:spacing w:after="0"/>
              <w:rPr>
                <w:sz w:val="1"/>
                <w:szCs w:val="1"/>
                <w:color w:val="auto"/>
              </w:rPr>
            </w:pPr>
          </w:p>
        </w:tc>
      </w:tr>
      <w:tr>
        <w:trPr>
          <w:trHeight w:val="33"/>
        </w:trPr>
        <w:tc>
          <w:tcPr>
            <w:tcW w:w="766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(loss) allocable to common shareholders</w:t>
            </w:r>
          </w:p>
        </w:tc>
        <w:tc>
          <w:tcPr>
            <w:tcW w:w="1140" w:type="dxa"/>
            <w:vAlign w:val="bottom"/>
            <w:tcBorders>
              <w:bottom w:val="single" w:sz="8" w:color="auto"/>
            </w:tcBorders>
            <w:shd w:val="clear" w:color="auto" w:fill="CCEEFF"/>
          </w:tcPr>
          <w:p>
            <w:pPr>
              <w:jc w:val="right"/>
              <w:ind w:right="94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(26,572)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(41,263)</w:t>
            </w:r>
          </w:p>
        </w:tc>
        <w:tc>
          <w:tcPr>
            <w:tcW w:w="0" w:type="dxa"/>
            <w:vAlign w:val="bottom"/>
          </w:tcPr>
          <w:p>
            <w:pPr>
              <w:spacing w:after="0"/>
              <w:rPr>
                <w:sz w:val="1"/>
                <w:szCs w:val="1"/>
                <w:color w:val="auto"/>
              </w:rPr>
            </w:pPr>
          </w:p>
        </w:tc>
      </w:tr>
      <w:tr>
        <w:trPr>
          <w:trHeight w:val="20"/>
        </w:trPr>
        <w:tc>
          <w:tcPr>
            <w:tcW w:w="766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Per common share data(1):</w:t>
            </w:r>
          </w:p>
        </w:tc>
        <w:tc>
          <w:tcPr>
            <w:tcW w:w="1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660" w:type="dxa"/>
            <w:vAlign w:val="bottom"/>
            <w:vMerge w:val="continue"/>
          </w:tcPr>
          <w:p>
            <w:pPr>
              <w:spacing w:after="0"/>
              <w:rPr>
                <w:sz w:val="18"/>
                <w:szCs w:val="18"/>
                <w:color w:val="auto"/>
              </w:rPr>
            </w:pPr>
          </w:p>
        </w:tc>
        <w:tc>
          <w:tcPr>
            <w:tcW w:w="1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Income (loss) attributable to iStar Financial Inc. from continuing operations:</w:t>
            </w:r>
          </w:p>
        </w:tc>
        <w:tc>
          <w:tcPr>
            <w:tcW w:w="1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660" w:type="dxa"/>
            <w:vAlign w:val="bottom"/>
          </w:tcPr>
          <w:p>
            <w:pPr>
              <w:ind w:left="280"/>
              <w:spacing w:after="0"/>
              <w:rPr>
                <w:sz w:val="20"/>
                <w:szCs w:val="20"/>
                <w:color w:val="auto"/>
              </w:rPr>
            </w:pPr>
            <w:r>
              <w:rPr>
                <w:rFonts w:ascii="Arial" w:cs="Arial" w:eastAsia="Arial" w:hAnsi="Arial"/>
                <w:sz w:val="16"/>
                <w:szCs w:val="16"/>
                <w:color w:val="auto"/>
              </w:rPr>
              <w:t>Basic and diluted</w:t>
            </w:r>
          </w:p>
        </w:tc>
        <w:tc>
          <w:tcPr>
            <w:tcW w:w="1140" w:type="dxa"/>
            <w:vAlign w:val="bottom"/>
          </w:tcPr>
          <w:p>
            <w:pPr>
              <w:jc w:val="right"/>
              <w:ind w:right="94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(0.31)</w:t>
            </w:r>
          </w:p>
        </w:tc>
        <w:tc>
          <w:tcPr>
            <w:tcW w:w="120" w:type="dxa"/>
            <w:vAlign w:val="bottom"/>
          </w:tcPr>
          <w:p>
            <w:pPr>
              <w:spacing w:after="0"/>
              <w:rPr>
                <w:sz w:val="20"/>
                <w:szCs w:val="20"/>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(0.56)</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income (loss) attributable to iStar Financial Inc.:</w:t>
            </w:r>
          </w:p>
        </w:tc>
        <w:tc>
          <w:tcPr>
            <w:tcW w:w="1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660" w:type="dxa"/>
            <w:vAlign w:val="bottom"/>
          </w:tcPr>
          <w:p>
            <w:pPr>
              <w:ind w:left="280"/>
              <w:spacing w:after="0"/>
              <w:rPr>
                <w:sz w:val="20"/>
                <w:szCs w:val="20"/>
                <w:color w:val="auto"/>
              </w:rPr>
            </w:pPr>
            <w:r>
              <w:rPr>
                <w:rFonts w:ascii="Arial" w:cs="Arial" w:eastAsia="Arial" w:hAnsi="Arial"/>
                <w:sz w:val="16"/>
                <w:szCs w:val="16"/>
                <w:color w:val="auto"/>
              </w:rPr>
              <w:t>Basic and diluted</w:t>
            </w:r>
          </w:p>
        </w:tc>
        <w:tc>
          <w:tcPr>
            <w:tcW w:w="1140" w:type="dxa"/>
            <w:vAlign w:val="bottom"/>
          </w:tcPr>
          <w:p>
            <w:pPr>
              <w:jc w:val="right"/>
              <w:ind w:right="94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(0.31)</w:t>
            </w:r>
          </w:p>
        </w:tc>
        <w:tc>
          <w:tcPr>
            <w:tcW w:w="120" w:type="dxa"/>
            <w:vAlign w:val="bottom"/>
          </w:tcPr>
          <w:p>
            <w:pPr>
              <w:spacing w:after="0"/>
              <w:rPr>
                <w:sz w:val="20"/>
                <w:szCs w:val="20"/>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(0.49)</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Weighted average number of common shares—basic and diluted</w:t>
            </w:r>
          </w:p>
        </w:tc>
        <w:tc>
          <w:tcPr>
            <w:tcW w:w="1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84,819</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84,824</w:t>
            </w:r>
          </w:p>
        </w:tc>
        <w:tc>
          <w:tcPr>
            <w:tcW w:w="0" w:type="dxa"/>
            <w:vAlign w:val="bottom"/>
          </w:tcPr>
          <w:p>
            <w:pPr>
              <w:spacing w:after="0"/>
              <w:rPr>
                <w:sz w:val="1"/>
                <w:szCs w:val="1"/>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b w:val="1"/>
                <w:bCs w:val="1"/>
                <w:color w:val="auto"/>
              </w:rPr>
              <w:t>Per HPU share data(1)(2):</w:t>
            </w:r>
          </w:p>
        </w:tc>
        <w:tc>
          <w:tcPr>
            <w:tcW w:w="1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Income (loss) attributable to iStar Financial Inc. from continuing operations:</w:t>
            </w:r>
          </w:p>
        </w:tc>
        <w:tc>
          <w:tcPr>
            <w:tcW w:w="1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660" w:type="dxa"/>
            <w:vAlign w:val="bottom"/>
          </w:tcPr>
          <w:p>
            <w:pPr>
              <w:ind w:left="280"/>
              <w:spacing w:after="0"/>
              <w:rPr>
                <w:sz w:val="20"/>
                <w:szCs w:val="20"/>
                <w:color w:val="auto"/>
              </w:rPr>
            </w:pPr>
            <w:r>
              <w:rPr>
                <w:rFonts w:ascii="Arial" w:cs="Arial" w:eastAsia="Arial" w:hAnsi="Arial"/>
                <w:sz w:val="16"/>
                <w:szCs w:val="16"/>
                <w:color w:val="auto"/>
              </w:rPr>
              <w:t>Basic and diluted</w:t>
            </w:r>
          </w:p>
        </w:tc>
        <w:tc>
          <w:tcPr>
            <w:tcW w:w="1140" w:type="dxa"/>
            <w:vAlign w:val="bottom"/>
          </w:tcPr>
          <w:p>
            <w:pPr>
              <w:jc w:val="right"/>
              <w:ind w:right="94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(59.27)</w:t>
            </w:r>
          </w:p>
        </w:tc>
        <w:tc>
          <w:tcPr>
            <w:tcW w:w="120" w:type="dxa"/>
            <w:vAlign w:val="bottom"/>
          </w:tcPr>
          <w:p>
            <w:pPr>
              <w:spacing w:after="0"/>
              <w:rPr>
                <w:sz w:val="20"/>
                <w:szCs w:val="20"/>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(105.61)</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income (loss) attributable to iStar Financial Inc.:</w:t>
            </w:r>
          </w:p>
        </w:tc>
        <w:tc>
          <w:tcPr>
            <w:tcW w:w="1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660" w:type="dxa"/>
            <w:vAlign w:val="bottom"/>
          </w:tcPr>
          <w:p>
            <w:pPr>
              <w:ind w:left="280"/>
              <w:spacing w:after="0"/>
              <w:rPr>
                <w:sz w:val="20"/>
                <w:szCs w:val="20"/>
                <w:color w:val="auto"/>
              </w:rPr>
            </w:pPr>
            <w:r>
              <w:rPr>
                <w:rFonts w:ascii="Arial" w:cs="Arial" w:eastAsia="Arial" w:hAnsi="Arial"/>
                <w:sz w:val="16"/>
                <w:szCs w:val="16"/>
                <w:color w:val="auto"/>
              </w:rPr>
              <w:t>Basic and diluted</w:t>
            </w:r>
          </w:p>
        </w:tc>
        <w:tc>
          <w:tcPr>
            <w:tcW w:w="1140" w:type="dxa"/>
            <w:vAlign w:val="bottom"/>
          </w:tcPr>
          <w:p>
            <w:pPr>
              <w:jc w:val="right"/>
              <w:ind w:right="94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(59.27)</w:t>
            </w:r>
          </w:p>
        </w:tc>
        <w:tc>
          <w:tcPr>
            <w:tcW w:w="120" w:type="dxa"/>
            <w:vAlign w:val="bottom"/>
          </w:tcPr>
          <w:p>
            <w:pPr>
              <w:spacing w:after="0"/>
              <w:rPr>
                <w:sz w:val="20"/>
                <w:szCs w:val="20"/>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(92.07)</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6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Weighted average number of HPU shares—basic and diluted</w:t>
            </w:r>
          </w:p>
        </w:tc>
        <w:tc>
          <w:tcPr>
            <w:tcW w:w="1140" w:type="dxa"/>
            <w:vAlign w:val="bottom"/>
            <w:shd w:val="clear" w:color="auto" w:fill="CCEEFF"/>
          </w:tcPr>
          <w:p>
            <w:pPr>
              <w:spacing w:after="0"/>
              <w:rPr>
                <w:sz w:val="20"/>
                <w:szCs w:val="20"/>
                <w:color w:val="auto"/>
              </w:rPr>
            </w:pP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w:t>
            </w: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3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33"/>
        </w:trPr>
        <w:tc>
          <w:tcPr>
            <w:tcW w:w="76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5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Notes:</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11" w:lineRule="exact"/>
        <w:rPr>
          <w:sz w:val="20"/>
          <w:szCs w:val="20"/>
          <w:color w:val="auto"/>
        </w:rPr>
      </w:pPr>
    </w:p>
    <w:p>
      <w:pPr>
        <w:ind w:left="660" w:hanging="652"/>
        <w:spacing w:after="0" w:line="250" w:lineRule="auto"/>
        <w:tabs>
          <w:tab w:leader="none" w:pos="660" w:val="left"/>
        </w:tabs>
        <w:numPr>
          <w:ilvl w:val="0"/>
          <w:numId w:val="3"/>
        </w:numPr>
        <w:rPr>
          <w:rFonts w:ascii="Arial" w:cs="Arial" w:eastAsia="Arial" w:hAnsi="Arial"/>
          <w:sz w:val="14"/>
          <w:szCs w:val="14"/>
          <w:color w:val="auto"/>
        </w:rPr>
      </w:pPr>
      <w:r>
        <w:rPr>
          <w:rFonts w:ascii="Arial" w:cs="Arial" w:eastAsia="Arial" w:hAnsi="Arial"/>
          <w:sz w:val="14"/>
          <w:szCs w:val="14"/>
          <w:color w:val="auto"/>
        </w:rPr>
        <w:t>Income (loss) from continuing operations attributable to iStar Financial Inc. for the three months ended March 31, 2014 and 2013 was $(31.3) million and $(62.1) million, respectively. See Note 13 for details on the calculation of earnings per share.</w:t>
      </w:r>
    </w:p>
    <w:p>
      <w:pPr>
        <w:ind w:left="660" w:hanging="652"/>
        <w:spacing w:after="0"/>
        <w:tabs>
          <w:tab w:leader="none" w:pos="660" w:val="left"/>
        </w:tabs>
        <w:numPr>
          <w:ilvl w:val="0"/>
          <w:numId w:val="3"/>
        </w:numPr>
        <w:rPr>
          <w:rFonts w:ascii="Arial" w:cs="Arial" w:eastAsia="Arial" w:hAnsi="Arial"/>
          <w:sz w:val="14"/>
          <w:szCs w:val="14"/>
          <w:color w:val="auto"/>
        </w:rPr>
      </w:pPr>
      <w:r>
        <w:rPr>
          <w:rFonts w:ascii="Arial" w:cs="Arial" w:eastAsia="Arial" w:hAnsi="Arial"/>
          <w:sz w:val="14"/>
          <w:szCs w:val="14"/>
          <w:color w:val="auto"/>
        </w:rPr>
        <w:t>HPU holders are current and former Company employees who purchased high performance common stock units under the Company's High Performance Unit Program.</w:t>
      </w:r>
    </w:p>
    <w:p>
      <w:pPr>
        <w:spacing w:after="0" w:line="1" w:lineRule="exact"/>
        <w:rPr>
          <w:rFonts w:ascii="Arial" w:cs="Arial" w:eastAsia="Arial" w:hAnsi="Arial"/>
          <w:sz w:val="14"/>
          <w:szCs w:val="14"/>
          <w:color w:val="auto"/>
        </w:rPr>
      </w:pPr>
    </w:p>
    <w:p>
      <w:pPr>
        <w:ind w:left="660" w:right="20" w:hanging="652"/>
        <w:spacing w:after="0" w:line="255" w:lineRule="auto"/>
        <w:tabs>
          <w:tab w:leader="none" w:pos="660" w:val="left"/>
        </w:tabs>
        <w:numPr>
          <w:ilvl w:val="0"/>
          <w:numId w:val="3"/>
        </w:numPr>
        <w:rPr>
          <w:rFonts w:ascii="Arial" w:cs="Arial" w:eastAsia="Arial" w:hAnsi="Arial"/>
          <w:sz w:val="14"/>
          <w:szCs w:val="14"/>
          <w:color w:val="auto"/>
        </w:rPr>
      </w:pPr>
      <w:r>
        <w:rPr>
          <w:rFonts w:ascii="Arial" w:cs="Arial" w:eastAsia="Arial" w:hAnsi="Arial"/>
          <w:sz w:val="14"/>
          <w:szCs w:val="14"/>
          <w:color w:val="auto"/>
        </w:rPr>
        <w:t>Participating Security holders are Company employees and directors who hold unvested restricted stock units, restricted stock awards and common stock equivalents granted under the Company's Long Term Incentive Plans that are eligible to participate in dividends (see Note 12 and Note 13).</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ectPr>
          <w:pgSz w:w="11900" w:h="16838" w:orient="portrait"/>
          <w:cols w:equalWidth="0" w:num="1">
            <w:col w:w="11420"/>
          </w:cols>
          <w:pgMar w:left="240" w:top="125" w:right="239" w:bottom="98"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125" w:right="239" w:bottom="98" w:gutter="0" w:footer="0" w:header="0"/>
          <w:type w:val="continuous"/>
        </w:sectPr>
      </w:pPr>
    </w:p>
    <w:bookmarkStart w:id="4" w:name="page5"/>
    <w:bookmarkEnd w:id="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83" w:lineRule="exact"/>
        <w:rPr>
          <w:sz w:val="20"/>
          <w:szCs w:val="20"/>
          <w:color w:val="auto"/>
        </w:rPr>
      </w:pPr>
    </w:p>
    <w:p>
      <w:pPr>
        <w:jc w:val="center"/>
        <w:ind w:left="7660"/>
        <w:spacing w:after="0"/>
        <w:rPr>
          <w:sz w:val="20"/>
          <w:szCs w:val="20"/>
          <w:color w:val="auto"/>
        </w:rPr>
      </w:pPr>
      <w:r>
        <w:rPr>
          <w:rFonts w:ascii="Arial" w:cs="Arial" w:eastAsia="Arial" w:hAnsi="Arial"/>
          <w:sz w:val="14"/>
          <w:szCs w:val="14"/>
          <w:b w:val="1"/>
          <w:bCs w:val="1"/>
          <w:color w:val="auto"/>
        </w:rPr>
        <w:t>For the Three Months Ended</w:t>
      </w:r>
    </w:p>
    <w:p>
      <w:pPr>
        <w:spacing w:after="0" w:line="4" w:lineRule="exact"/>
        <w:rPr>
          <w:sz w:val="20"/>
          <w:szCs w:val="20"/>
          <w:color w:val="auto"/>
        </w:rPr>
      </w:pPr>
    </w:p>
    <w:p>
      <w:pPr>
        <w:jc w:val="center"/>
        <w:ind w:left="770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13335</wp:posOffset>
            </wp:positionV>
            <wp:extent cx="23837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0" w:type="dxa"/>
            <w:vAlign w:val="bottom"/>
            <w:tcBorders>
              <w:bottom w:val="single" w:sz="8" w:color="CCEEFF"/>
            </w:tcBorders>
          </w:tcPr>
          <w:p>
            <w:pPr>
              <w:spacing w:after="0"/>
              <w:rPr>
                <w:sz w:val="16"/>
                <w:szCs w:val="16"/>
                <w:color w:val="auto"/>
              </w:rPr>
            </w:pPr>
          </w:p>
        </w:tc>
        <w:tc>
          <w:tcPr>
            <w:tcW w:w="724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1120" w:type="dxa"/>
            <w:vAlign w:val="bottom"/>
            <w:tcBorders>
              <w:bottom w:val="single" w:sz="8" w:color="CCEEFF"/>
            </w:tcBorders>
            <w:shd w:val="clear" w:color="auto" w:fill="CCEEFF"/>
          </w:tcPr>
          <w:p>
            <w:pPr>
              <w:jc w:val="right"/>
              <w:ind w:right="916"/>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(14,177)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(32,253)</w:t>
            </w:r>
          </w:p>
        </w:tc>
        <w:tc>
          <w:tcPr>
            <w:tcW w:w="0" w:type="dxa"/>
            <w:vAlign w:val="bottom"/>
          </w:tcPr>
          <w:p>
            <w:pPr>
              <w:spacing w:after="0"/>
              <w:rPr>
                <w:sz w:val="1"/>
                <w:szCs w:val="1"/>
                <w:color w:val="auto"/>
              </w:rPr>
            </w:pPr>
          </w:p>
        </w:tc>
      </w:tr>
      <w:tr>
        <w:trPr>
          <w:trHeight w:val="243"/>
        </w:trPr>
        <w:tc>
          <w:tcPr>
            <w:tcW w:w="7660" w:type="dxa"/>
            <w:vAlign w:val="bottom"/>
            <w:gridSpan w:val="2"/>
          </w:tcPr>
          <w:p>
            <w:pPr>
              <w:ind w:left="40"/>
              <w:spacing w:after="0"/>
              <w:rPr>
                <w:sz w:val="20"/>
                <w:szCs w:val="20"/>
                <w:color w:val="auto"/>
              </w:rPr>
            </w:pPr>
            <w:r>
              <w:rPr>
                <w:rFonts w:ascii="Arial" w:cs="Arial" w:eastAsia="Arial" w:hAnsi="Arial"/>
                <w:sz w:val="18"/>
                <w:szCs w:val="18"/>
                <w:b w:val="1"/>
                <w:bCs w:val="1"/>
                <w:color w:val="auto"/>
              </w:rPr>
              <w:t>Other comprehensive income (loss):</w:t>
            </w:r>
          </w:p>
        </w:tc>
        <w:tc>
          <w:tcPr>
            <w:tcW w:w="1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660" w:type="dxa"/>
            <w:vAlign w:val="bottom"/>
            <w:gridSpan w:val="2"/>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Reclassification of (gains)/losses on cash flow hedges into earnings upon realization(1)</w:t>
            </w: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43"/>
        </w:trPr>
        <w:tc>
          <w:tcPr>
            <w:tcW w:w="7660" w:type="dxa"/>
            <w:vAlign w:val="bottom"/>
            <w:gridSpan w:val="2"/>
          </w:tcPr>
          <w:p>
            <w:pPr>
              <w:ind w:left="180"/>
              <w:spacing w:after="0"/>
              <w:rPr>
                <w:sz w:val="20"/>
                <w:szCs w:val="20"/>
                <w:color w:val="auto"/>
              </w:rPr>
            </w:pPr>
            <w:r>
              <w:rPr>
                <w:rFonts w:ascii="Arial" w:cs="Arial" w:eastAsia="Arial" w:hAnsi="Arial"/>
                <w:sz w:val="18"/>
                <w:szCs w:val="18"/>
                <w:color w:val="auto"/>
              </w:rPr>
              <w:t>Unrealized gains/(losses) on available-for-sale securities</w:t>
            </w:r>
          </w:p>
        </w:tc>
        <w:tc>
          <w:tcPr>
            <w:tcW w:w="11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7"/>
        </w:trPr>
        <w:tc>
          <w:tcPr>
            <w:tcW w:w="7660" w:type="dxa"/>
            <w:vAlign w:val="bottom"/>
            <w:gridSpan w:val="2"/>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Unrealized gains/(losses) on cash flow hedges</w:t>
            </w: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(1,762)</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43"/>
        </w:trPr>
        <w:tc>
          <w:tcPr>
            <w:tcW w:w="7660" w:type="dxa"/>
            <w:vAlign w:val="bottom"/>
            <w:gridSpan w:val="2"/>
          </w:tcPr>
          <w:p>
            <w:pPr>
              <w:ind w:left="180"/>
              <w:spacing w:after="0"/>
              <w:rPr>
                <w:sz w:val="20"/>
                <w:szCs w:val="20"/>
                <w:color w:val="auto"/>
              </w:rPr>
            </w:pPr>
            <w:r>
              <w:rPr>
                <w:rFonts w:ascii="Arial" w:cs="Arial" w:eastAsia="Arial" w:hAnsi="Arial"/>
                <w:sz w:val="18"/>
                <w:szCs w:val="18"/>
                <w:color w:val="auto"/>
              </w:rPr>
              <w:t>Unrealized gains/(losses) on cumulative translation adjustment</w:t>
            </w:r>
          </w:p>
        </w:tc>
        <w:tc>
          <w:tcPr>
            <w:tcW w:w="11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163</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(615)</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gridSpan w:val="2"/>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w:t>
            </w:r>
          </w:p>
        </w:tc>
        <w:tc>
          <w:tcPr>
            <w:tcW w:w="1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(1,396)</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37"/>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Comprehensive income (loss)</w:t>
            </w:r>
          </w:p>
        </w:tc>
        <w:tc>
          <w:tcPr>
            <w:tcW w:w="11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(15,573)</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(32,532)</w:t>
            </w:r>
          </w:p>
        </w:tc>
        <w:tc>
          <w:tcPr>
            <w:tcW w:w="0" w:type="dxa"/>
            <w:vAlign w:val="bottom"/>
          </w:tcPr>
          <w:p>
            <w:pPr>
              <w:spacing w:after="0"/>
              <w:rPr>
                <w:sz w:val="1"/>
                <w:szCs w:val="1"/>
                <w:color w:val="auto"/>
              </w:rPr>
            </w:pPr>
          </w:p>
        </w:tc>
      </w:tr>
      <w:tr>
        <w:trPr>
          <w:trHeight w:val="27"/>
        </w:trPr>
        <w:tc>
          <w:tcPr>
            <w:tcW w:w="7660" w:type="dxa"/>
            <w:vAlign w:val="bottom"/>
            <w:gridSpan w:val="2"/>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Net (income) loss attributable to noncontrolling interests</w:t>
            </w:r>
          </w:p>
        </w:tc>
        <w:tc>
          <w:tcPr>
            <w:tcW w:w="1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57"/>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Comprehensive income (loss) attributable to iStar Financial Inc.</w:t>
            </w:r>
          </w:p>
        </w:tc>
        <w:tc>
          <w:tcPr>
            <w:tcW w:w="1120" w:type="dxa"/>
            <w:vAlign w:val="bottom"/>
            <w:tcBorders>
              <w:top w:val="single" w:sz="8" w:color="auto"/>
              <w:bottom w:val="single" w:sz="8" w:color="auto"/>
            </w:tcBorders>
          </w:tcPr>
          <w:p>
            <w:pPr>
              <w:jc w:val="right"/>
              <w:ind w:right="916"/>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(16,027)</w:t>
            </w:r>
          </w:p>
        </w:tc>
        <w:tc>
          <w:tcPr>
            <w:tcW w:w="12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(32,343)</w:t>
            </w:r>
          </w:p>
        </w:tc>
        <w:tc>
          <w:tcPr>
            <w:tcW w:w="0" w:type="dxa"/>
            <w:vAlign w:val="bottom"/>
          </w:tcPr>
          <w:p>
            <w:pPr>
              <w:spacing w:after="0"/>
              <w:rPr>
                <w:sz w:val="1"/>
                <w:szCs w:val="1"/>
                <w:color w:val="auto"/>
              </w:rPr>
            </w:pPr>
          </w:p>
        </w:tc>
      </w:tr>
      <w:tr>
        <w:trPr>
          <w:trHeight w:val="20"/>
        </w:trPr>
        <w:tc>
          <w:tcPr>
            <w:tcW w:w="76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Explanatory Note:</w:t>
            </w:r>
          </w:p>
        </w:tc>
        <w:tc>
          <w:tcPr>
            <w:tcW w:w="1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660" w:type="dxa"/>
            <w:vAlign w:val="bottom"/>
            <w:gridSpan w:val="2"/>
            <w:vMerge w:val="continue"/>
          </w:tcPr>
          <w:p>
            <w:pPr>
              <w:spacing w:after="0"/>
              <w:rPr>
                <w:sz w:val="18"/>
                <w:szCs w:val="18"/>
                <w:color w:val="auto"/>
              </w:rPr>
            </w:pPr>
          </w:p>
        </w:tc>
        <w:tc>
          <w:tcPr>
            <w:tcW w:w="1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7660" w:type="dxa"/>
            <w:vAlign w:val="bottom"/>
            <w:gridSpan w:val="2"/>
          </w:tcPr>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tc>
        <w:tc>
          <w:tcPr>
            <w:tcW w:w="1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4"/>
        </w:trPr>
        <w:tc>
          <w:tcPr>
            <w:tcW w:w="420" w:type="dxa"/>
            <w:vAlign w:val="bottom"/>
          </w:tcPr>
          <w:p>
            <w:pPr>
              <w:spacing w:after="0"/>
              <w:rPr>
                <w:sz w:val="20"/>
                <w:szCs w:val="20"/>
                <w:color w:val="auto"/>
              </w:rPr>
            </w:pPr>
            <w:r>
              <w:rPr>
                <w:rFonts w:ascii="Arial" w:cs="Arial" w:eastAsia="Arial" w:hAnsi="Arial"/>
                <w:sz w:val="14"/>
                <w:szCs w:val="14"/>
                <w:color w:val="auto"/>
              </w:rPr>
              <w:t>(1)</w:t>
            </w:r>
          </w:p>
        </w:tc>
        <w:tc>
          <w:tcPr>
            <w:tcW w:w="7240" w:type="dxa"/>
            <w:vAlign w:val="bottom"/>
          </w:tcPr>
          <w:p>
            <w:pPr>
              <w:ind w:left="240"/>
              <w:spacing w:after="0"/>
              <w:rPr>
                <w:sz w:val="20"/>
                <w:szCs w:val="20"/>
                <w:color w:val="auto"/>
              </w:rPr>
            </w:pPr>
            <w:r>
              <w:rPr>
                <w:rFonts w:ascii="Arial" w:cs="Arial" w:eastAsia="Arial" w:hAnsi="Arial"/>
                <w:sz w:val="14"/>
                <w:szCs w:val="14"/>
                <w:color w:val="auto"/>
              </w:rPr>
              <w:t>Included in "Interest expense" on the Company's Consolidated Statements of Operations.</w:t>
            </w:r>
          </w:p>
        </w:tc>
        <w:tc>
          <w:tcPr>
            <w:tcW w:w="1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Equity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2014 and 2013</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9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7"/>
          </w:tcPr>
          <w:p>
            <w:pPr>
              <w:ind w:left="60"/>
              <w:spacing w:after="0"/>
              <w:rPr>
                <w:sz w:val="20"/>
                <w:szCs w:val="20"/>
                <w:color w:val="auto"/>
              </w:rPr>
            </w:pPr>
            <w:r>
              <w:rPr>
                <w:rFonts w:ascii="Arial" w:cs="Arial" w:eastAsia="Arial" w:hAnsi="Arial"/>
                <w:sz w:val="14"/>
                <w:szCs w:val="14"/>
                <w:b w:val="1"/>
                <w:bCs w:val="1"/>
                <w:color w:val="auto"/>
              </w:rPr>
              <w:t>iStar Financial Inc. Shareholders' Equity</w:t>
            </w: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96"/>
              </w:rPr>
              <w:t>Preferred</w:t>
            </w: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Common</w:t>
            </w:r>
          </w:p>
        </w:tc>
        <w:tc>
          <w:tcPr>
            <w:tcW w:w="10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6"/>
              </w:rPr>
              <w:t>Additional</w:t>
            </w:r>
          </w:p>
        </w:tc>
        <w:tc>
          <w:tcPr>
            <w:tcW w:w="11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Retained</w:t>
            </w:r>
          </w:p>
        </w:tc>
        <w:tc>
          <w:tcPr>
            <w:tcW w:w="114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90"/>
              </w:rPr>
              <w:t>Accumulated</w:t>
            </w:r>
          </w:p>
        </w:tc>
        <w:tc>
          <w:tcPr>
            <w:tcW w:w="10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Treasury</w:t>
            </w: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7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Preferred</w:t>
            </w:r>
          </w:p>
        </w:tc>
        <w:tc>
          <w:tcPr>
            <w:tcW w:w="140" w:type="dxa"/>
            <w:vAlign w:val="bottom"/>
          </w:tcPr>
          <w:p>
            <w:pPr>
              <w:spacing w:after="0"/>
              <w:rPr>
                <w:sz w:val="12"/>
                <w:szCs w:val="12"/>
                <w:color w:val="auto"/>
              </w:rPr>
            </w:pPr>
          </w:p>
        </w:tc>
        <w:tc>
          <w:tcPr>
            <w:tcW w:w="6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Stock</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3"/>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Other</w:t>
            </w:r>
          </w:p>
        </w:tc>
        <w:tc>
          <w:tcPr>
            <w:tcW w:w="1020" w:type="dxa"/>
            <w:vAlign w:val="bottom"/>
            <w:gridSpan w:val="2"/>
            <w:vMerge w:val="continue"/>
          </w:tcPr>
          <w:p>
            <w:pPr>
              <w:spacing w:after="0"/>
              <w:rPr>
                <w:sz w:val="12"/>
                <w:szCs w:val="12"/>
                <w:color w:val="auto"/>
              </w:rPr>
            </w:pPr>
          </w:p>
        </w:tc>
        <w:tc>
          <w:tcPr>
            <w:tcW w:w="1140" w:type="dxa"/>
            <w:vAlign w:val="bottom"/>
            <w:tcBorders>
              <w:right w:val="single" w:sz="8" w:color="auto"/>
            </w:tcBorders>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2"/>
              </w:rPr>
              <w:t>Noncontrolling</w:t>
            </w:r>
          </w:p>
        </w:tc>
        <w:tc>
          <w:tcPr>
            <w:tcW w:w="960" w:type="dxa"/>
            <w:vAlign w:val="bottom"/>
            <w:vMerge w:val="restart"/>
          </w:tcPr>
          <w:p>
            <w:pPr>
              <w:jc w:val="right"/>
              <w:ind w:right="23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Series</w:t>
            </w:r>
          </w:p>
        </w:tc>
        <w:tc>
          <w:tcPr>
            <w:tcW w:w="7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HPU's</w:t>
            </w:r>
          </w:p>
        </w:tc>
        <w:tc>
          <w:tcPr>
            <w:tcW w:w="74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Stock at</w:t>
            </w:r>
          </w:p>
        </w:tc>
        <w:tc>
          <w:tcPr>
            <w:tcW w:w="10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8"/>
              </w:rPr>
              <w:t>Paid-In</w:t>
            </w:r>
          </w:p>
        </w:tc>
        <w:tc>
          <w:tcPr>
            <w:tcW w:w="11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Earnings</w:t>
            </w:r>
          </w:p>
        </w:tc>
        <w:tc>
          <w:tcPr>
            <w:tcW w:w="11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0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Stock at</w:t>
            </w:r>
          </w:p>
        </w:tc>
        <w:tc>
          <w:tcPr>
            <w:tcW w:w="1140" w:type="dxa"/>
            <w:vAlign w:val="bottom"/>
            <w:tcBorders>
              <w:right w:val="single" w:sz="8" w:color="auto"/>
            </w:tcBorders>
            <w:gridSpan w:val="3"/>
            <w:vMerge w:val="continue"/>
          </w:tcPr>
          <w:p>
            <w:pPr>
              <w:spacing w:after="0"/>
              <w:rPr>
                <w:sz w:val="12"/>
                <w:szCs w:val="12"/>
                <w:color w:val="auto"/>
              </w:rPr>
            </w:pPr>
          </w:p>
        </w:tc>
        <w:tc>
          <w:tcPr>
            <w:tcW w:w="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920" w:type="dxa"/>
            <w:vAlign w:val="bottom"/>
          </w:tcPr>
          <w:p>
            <w:pPr>
              <w:spacing w:after="0"/>
              <w:rPr>
                <w:sz w:val="16"/>
                <w:szCs w:val="16"/>
                <w:color w:val="auto"/>
              </w:rPr>
            </w:pPr>
          </w:p>
        </w:tc>
        <w:tc>
          <w:tcPr>
            <w:tcW w:w="780" w:type="dxa"/>
            <w:vAlign w:val="bottom"/>
            <w:gridSpan w:val="3"/>
          </w:tcPr>
          <w:p>
            <w:pPr>
              <w:ind w:left="80"/>
              <w:spacing w:after="0"/>
              <w:rPr>
                <w:sz w:val="20"/>
                <w:szCs w:val="20"/>
                <w:color w:val="auto"/>
              </w:rPr>
            </w:pPr>
            <w:r>
              <w:rPr>
                <w:rFonts w:ascii="Arial" w:cs="Arial" w:eastAsia="Arial" w:hAnsi="Arial"/>
                <w:sz w:val="14"/>
                <w:szCs w:val="14"/>
                <w:b w:val="1"/>
                <w:bCs w:val="1"/>
                <w:color w:val="auto"/>
              </w:rPr>
              <w:t>Stock(1)</w:t>
            </w:r>
          </w:p>
        </w:tc>
        <w:tc>
          <w:tcPr>
            <w:tcW w:w="140" w:type="dxa"/>
            <w:vAlign w:val="bottom"/>
          </w:tcPr>
          <w:p>
            <w:pPr>
              <w:spacing w:after="0"/>
              <w:rPr>
                <w:sz w:val="16"/>
                <w:szCs w:val="16"/>
                <w:color w:val="auto"/>
              </w:rPr>
            </w:pPr>
          </w:p>
        </w:tc>
        <w:tc>
          <w:tcPr>
            <w:tcW w:w="6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J(1)</w:t>
            </w:r>
          </w:p>
        </w:tc>
        <w:tc>
          <w:tcPr>
            <w:tcW w:w="7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gridSpan w:val="2"/>
          </w:tcPr>
          <w:p>
            <w:pPr>
              <w:ind w:left="40"/>
              <w:spacing w:after="0"/>
              <w:rPr>
                <w:sz w:val="20"/>
                <w:szCs w:val="20"/>
                <w:color w:val="auto"/>
              </w:rPr>
            </w:pPr>
            <w:r>
              <w:rPr>
                <w:rFonts w:ascii="Arial" w:cs="Arial" w:eastAsia="Arial" w:hAnsi="Arial"/>
                <w:sz w:val="14"/>
                <w:szCs w:val="14"/>
                <w:b w:val="1"/>
                <w:bCs w:val="1"/>
                <w:color w:val="auto"/>
              </w:rPr>
              <w:t>Par</w:t>
            </w:r>
          </w:p>
        </w:tc>
        <w:tc>
          <w:tcPr>
            <w:tcW w:w="10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Capital</w:t>
            </w:r>
          </w:p>
        </w:tc>
        <w:tc>
          <w:tcPr>
            <w:tcW w:w="11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(Deficit)</w:t>
            </w:r>
          </w:p>
        </w:tc>
        <w:tc>
          <w:tcPr>
            <w:tcW w:w="11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Income (Loss)</w:t>
            </w: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Cost</w:t>
            </w:r>
          </w:p>
        </w:tc>
        <w:tc>
          <w:tcPr>
            <w:tcW w:w="180" w:type="dxa"/>
            <w:vAlign w:val="bottom"/>
          </w:tcPr>
          <w:p>
            <w:pPr>
              <w:spacing w:after="0"/>
              <w:rPr>
                <w:sz w:val="16"/>
                <w:szCs w:val="16"/>
                <w:color w:val="auto"/>
              </w:rPr>
            </w:pPr>
          </w:p>
        </w:tc>
        <w:tc>
          <w:tcPr>
            <w:tcW w:w="960" w:type="dxa"/>
            <w:vAlign w:val="bottom"/>
            <w:tcBorders>
              <w:right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2"/>
              </w:rPr>
              <w:t>Interests</w:t>
            </w:r>
          </w:p>
        </w:tc>
        <w:tc>
          <w:tcPr>
            <w:tcW w:w="960" w:type="dxa"/>
            <w:vAlign w:val="bottom"/>
          </w:tcPr>
          <w:p>
            <w:pPr>
              <w:jc w:val="right"/>
              <w:ind w:right="194"/>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15"/>
        </w:trPr>
        <w:tc>
          <w:tcPr>
            <w:tcW w:w="19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w:t>
            </w:r>
          </w:p>
        </w:tc>
        <w:tc>
          <w:tcPr>
            <w:tcW w:w="24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31, 2013</w:t>
            </w: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89"/>
              </w:rPr>
              <w:t>$ 9,800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144</w:t>
            </w: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90"/>
              </w:rPr>
              <w:t>$4,022,138</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$(2,521,618)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(4,276)</w:t>
            </w: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 (262,954)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58,205</w:t>
            </w: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3"/>
              </w:rPr>
              <w:t>$1,301,465</w:t>
            </w:r>
          </w:p>
        </w:tc>
        <w:tc>
          <w:tcPr>
            <w:tcW w:w="0" w:type="dxa"/>
            <w:vAlign w:val="bottom"/>
          </w:tcPr>
          <w:p>
            <w:pPr>
              <w:spacing w:after="0"/>
              <w:rPr>
                <w:sz w:val="1"/>
                <w:szCs w:val="1"/>
                <w:color w:val="auto"/>
              </w:rPr>
            </w:pPr>
          </w:p>
        </w:tc>
      </w:tr>
      <w:tr>
        <w:trPr>
          <w:trHeight w:val="229"/>
        </w:trPr>
        <w:tc>
          <w:tcPr>
            <w:tcW w:w="1920" w:type="dxa"/>
            <w:vAlign w:val="bottom"/>
          </w:tcPr>
          <w:p>
            <w:pPr>
              <w:ind w:left="40"/>
              <w:spacing w:after="0"/>
              <w:rPr>
                <w:sz w:val="20"/>
                <w:szCs w:val="20"/>
                <w:color w:val="auto"/>
              </w:rPr>
            </w:pPr>
            <w:r>
              <w:rPr>
                <w:rFonts w:ascii="Arial" w:cs="Arial" w:eastAsia="Arial" w:hAnsi="Arial"/>
                <w:sz w:val="18"/>
                <w:szCs w:val="18"/>
                <w:color w:val="auto"/>
              </w:rPr>
              <w:t>Dividends declared—</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920" w:type="dxa"/>
            <w:vAlign w:val="bottom"/>
          </w:tcPr>
          <w:p>
            <w:pPr>
              <w:ind w:left="40"/>
              <w:spacing w:after="0"/>
              <w:rPr>
                <w:sz w:val="20"/>
                <w:szCs w:val="20"/>
                <w:color w:val="auto"/>
              </w:rPr>
            </w:pPr>
            <w:r>
              <w:rPr>
                <w:rFonts w:ascii="Arial" w:cs="Arial" w:eastAsia="Arial" w:hAnsi="Arial"/>
                <w:sz w:val="18"/>
                <w:szCs w:val="18"/>
                <w:color w:val="auto"/>
              </w:rPr>
              <w:t>preferred</w:t>
            </w:r>
          </w:p>
        </w:tc>
        <w:tc>
          <w:tcPr>
            <w:tcW w:w="240" w:type="dxa"/>
            <w:vAlign w:val="bottom"/>
          </w:tcPr>
          <w:p>
            <w:pPr>
              <w:spacing w:after="0"/>
              <w:rPr>
                <w:sz w:val="20"/>
                <w:szCs w:val="20"/>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(12,830)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6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(12,830)</w:t>
            </w:r>
          </w:p>
        </w:tc>
        <w:tc>
          <w:tcPr>
            <w:tcW w:w="0" w:type="dxa"/>
            <w:vAlign w:val="bottom"/>
          </w:tcPr>
          <w:p>
            <w:pPr>
              <w:spacing w:after="0"/>
              <w:rPr>
                <w:sz w:val="1"/>
                <w:szCs w:val="1"/>
                <w:color w:val="auto"/>
              </w:rPr>
            </w:pPr>
          </w:p>
        </w:tc>
      </w:tr>
      <w:tr>
        <w:trPr>
          <w:trHeight w:val="27"/>
        </w:trPr>
        <w:tc>
          <w:tcPr>
            <w:tcW w:w="1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Issuance of</w:t>
            </w:r>
          </w:p>
        </w:tc>
        <w:tc>
          <w:tcPr>
            <w:tcW w:w="2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stock/restricted stock</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 amortization, net</w:t>
            </w:r>
          </w:p>
        </w:tc>
        <w:tc>
          <w:tcPr>
            <w:tcW w:w="2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(8,589)</w:t>
            </w:r>
          </w:p>
        </w:tc>
        <w:tc>
          <w:tcPr>
            <w:tcW w:w="1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(8,588)</w:t>
            </w:r>
          </w:p>
        </w:tc>
        <w:tc>
          <w:tcPr>
            <w:tcW w:w="0" w:type="dxa"/>
            <w:vAlign w:val="bottom"/>
          </w:tcPr>
          <w:p>
            <w:pPr>
              <w:spacing w:after="0"/>
              <w:rPr>
                <w:sz w:val="1"/>
                <w:szCs w:val="1"/>
                <w:color w:val="auto"/>
              </w:rPr>
            </w:pPr>
          </w:p>
        </w:tc>
      </w:tr>
      <w:tr>
        <w:trPr>
          <w:trHeight w:val="229"/>
        </w:trPr>
        <w:tc>
          <w:tcPr>
            <w:tcW w:w="1920" w:type="dxa"/>
            <w:vAlign w:val="bottom"/>
          </w:tcPr>
          <w:p>
            <w:pPr>
              <w:ind w:left="40"/>
              <w:spacing w:after="0"/>
              <w:rPr>
                <w:sz w:val="20"/>
                <w:szCs w:val="20"/>
                <w:color w:val="auto"/>
              </w:rPr>
            </w:pPr>
            <w:r>
              <w:rPr>
                <w:rFonts w:ascii="Arial" w:cs="Arial" w:eastAsia="Arial" w:hAnsi="Arial"/>
                <w:sz w:val="18"/>
                <w:szCs w:val="18"/>
                <w:color w:val="auto"/>
              </w:rPr>
              <w:t>Net loss for the</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920" w:type="dxa"/>
            <w:vAlign w:val="bottom"/>
          </w:tcPr>
          <w:p>
            <w:pPr>
              <w:ind w:left="40"/>
              <w:spacing w:after="0"/>
              <w:rPr>
                <w:sz w:val="20"/>
                <w:szCs w:val="20"/>
                <w:color w:val="auto"/>
              </w:rPr>
            </w:pPr>
            <w:r>
              <w:rPr>
                <w:rFonts w:ascii="Arial" w:cs="Arial" w:eastAsia="Arial" w:hAnsi="Arial"/>
                <w:sz w:val="18"/>
                <w:szCs w:val="18"/>
                <w:color w:val="auto"/>
              </w:rPr>
              <w:t>period(2)</w:t>
            </w:r>
          </w:p>
        </w:tc>
        <w:tc>
          <w:tcPr>
            <w:tcW w:w="240" w:type="dxa"/>
            <w:vAlign w:val="bottom"/>
          </w:tcPr>
          <w:p>
            <w:pPr>
              <w:spacing w:after="0"/>
              <w:rPr>
                <w:sz w:val="20"/>
                <w:szCs w:val="20"/>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(14,631)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938</w:t>
            </w:r>
          </w:p>
        </w:tc>
        <w:tc>
          <w:tcPr>
            <w:tcW w:w="120" w:type="dxa"/>
            <w:vAlign w:val="bottom"/>
            <w:tcBorders>
              <w:right w:val="single" w:sz="8" w:color="auto"/>
            </w:tcBorders>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(13,693)</w:t>
            </w:r>
          </w:p>
        </w:tc>
        <w:tc>
          <w:tcPr>
            <w:tcW w:w="0" w:type="dxa"/>
            <w:vAlign w:val="bottom"/>
          </w:tcPr>
          <w:p>
            <w:pPr>
              <w:spacing w:after="0"/>
              <w:rPr>
                <w:sz w:val="1"/>
                <w:szCs w:val="1"/>
                <w:color w:val="auto"/>
              </w:rPr>
            </w:pPr>
          </w:p>
        </w:tc>
      </w:tr>
      <w:tr>
        <w:trPr>
          <w:trHeight w:val="27"/>
        </w:trPr>
        <w:tc>
          <w:tcPr>
            <w:tcW w:w="1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9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8"/>
              </w:rPr>
              <w:t>Change in accumulated</w:t>
            </w:r>
          </w:p>
        </w:tc>
        <w:tc>
          <w:tcPr>
            <w:tcW w:w="2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comprehensive</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w:t>
            </w:r>
          </w:p>
        </w:tc>
        <w:tc>
          <w:tcPr>
            <w:tcW w:w="2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(1,396)</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(1,396)</w:t>
            </w:r>
          </w:p>
        </w:tc>
        <w:tc>
          <w:tcPr>
            <w:tcW w:w="0" w:type="dxa"/>
            <w:vAlign w:val="bottom"/>
          </w:tcPr>
          <w:p>
            <w:pPr>
              <w:spacing w:after="0"/>
              <w:rPr>
                <w:sz w:val="1"/>
                <w:szCs w:val="1"/>
                <w:color w:val="auto"/>
              </w:rPr>
            </w:pPr>
          </w:p>
        </w:tc>
      </w:tr>
      <w:tr>
        <w:trPr>
          <w:trHeight w:val="229"/>
        </w:trPr>
        <w:tc>
          <w:tcPr>
            <w:tcW w:w="1920" w:type="dxa"/>
            <w:vAlign w:val="bottom"/>
          </w:tcPr>
          <w:p>
            <w:pPr>
              <w:ind w:left="40"/>
              <w:spacing w:after="0"/>
              <w:rPr>
                <w:sz w:val="20"/>
                <w:szCs w:val="20"/>
                <w:color w:val="auto"/>
              </w:rPr>
            </w:pPr>
            <w:r>
              <w:rPr>
                <w:rFonts w:ascii="Arial" w:cs="Arial" w:eastAsia="Arial" w:hAnsi="Arial"/>
                <w:sz w:val="18"/>
                <w:szCs w:val="18"/>
                <w:color w:val="auto"/>
              </w:rPr>
              <w:t>Additional paid in</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920" w:type="dxa"/>
            <w:vAlign w:val="bottom"/>
          </w:tcPr>
          <w:p>
            <w:pPr>
              <w:ind w:left="40"/>
              <w:spacing w:after="0"/>
              <w:rPr>
                <w:sz w:val="20"/>
                <w:szCs w:val="20"/>
                <w:color w:val="auto"/>
              </w:rPr>
            </w:pPr>
            <w:r>
              <w:rPr>
                <w:rFonts w:ascii="Arial" w:cs="Arial" w:eastAsia="Arial" w:hAnsi="Arial"/>
                <w:sz w:val="18"/>
                <w:szCs w:val="18"/>
                <w:color w:val="auto"/>
              </w:rPr>
              <w:t>capital attributable to</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20" w:type="dxa"/>
            <w:vAlign w:val="bottom"/>
          </w:tcPr>
          <w:p>
            <w:pPr>
              <w:ind w:left="40"/>
              <w:spacing w:after="0"/>
              <w:rPr>
                <w:sz w:val="20"/>
                <w:szCs w:val="20"/>
                <w:color w:val="auto"/>
              </w:rPr>
            </w:pPr>
            <w:r>
              <w:rPr>
                <w:rFonts w:ascii="Arial" w:cs="Arial" w:eastAsia="Arial" w:hAnsi="Arial"/>
                <w:sz w:val="18"/>
                <w:szCs w:val="18"/>
                <w:color w:val="auto"/>
              </w:rPr>
              <w:t>redeemable</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20" w:type="dxa"/>
            <w:vAlign w:val="bottom"/>
          </w:tcPr>
          <w:p>
            <w:pPr>
              <w:ind w:left="40"/>
              <w:spacing w:after="0"/>
              <w:rPr>
                <w:sz w:val="20"/>
                <w:szCs w:val="20"/>
                <w:color w:val="auto"/>
              </w:rPr>
            </w:pPr>
            <w:r>
              <w:rPr>
                <w:rFonts w:ascii="Arial" w:cs="Arial" w:eastAsia="Arial" w:hAnsi="Arial"/>
                <w:sz w:val="18"/>
                <w:szCs w:val="18"/>
                <w:color w:val="auto"/>
              </w:rPr>
              <w:t>noncontrolling interest</w:t>
            </w:r>
          </w:p>
        </w:tc>
        <w:tc>
          <w:tcPr>
            <w:tcW w:w="240" w:type="dxa"/>
            <w:vAlign w:val="bottom"/>
          </w:tcPr>
          <w:p>
            <w:pPr>
              <w:spacing w:after="0"/>
              <w:rPr>
                <w:sz w:val="20"/>
                <w:szCs w:val="20"/>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(246)</w:t>
            </w:r>
          </w:p>
        </w:tc>
        <w:tc>
          <w:tcPr>
            <w:tcW w:w="1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6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7"/>
        </w:trPr>
        <w:tc>
          <w:tcPr>
            <w:tcW w:w="1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Distributions to</w:t>
            </w:r>
          </w:p>
        </w:tc>
        <w:tc>
          <w:tcPr>
            <w:tcW w:w="2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1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noncontrolling interests</w:t>
            </w:r>
          </w:p>
        </w:tc>
        <w:tc>
          <w:tcPr>
            <w:tcW w:w="2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(2,595)</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(2,595)</w:t>
            </w:r>
          </w:p>
        </w:tc>
        <w:tc>
          <w:tcPr>
            <w:tcW w:w="0" w:type="dxa"/>
            <w:vAlign w:val="bottom"/>
          </w:tcPr>
          <w:p>
            <w:pPr>
              <w:spacing w:after="0"/>
              <w:rPr>
                <w:sz w:val="1"/>
                <w:szCs w:val="1"/>
                <w:color w:val="auto"/>
              </w:rPr>
            </w:pPr>
          </w:p>
        </w:tc>
      </w:tr>
      <w:tr>
        <w:trPr>
          <w:trHeight w:val="209"/>
        </w:trPr>
        <w:tc>
          <w:tcPr>
            <w:tcW w:w="1920" w:type="dxa"/>
            <w:vAlign w:val="bottom"/>
          </w:tcPr>
          <w:p>
            <w:pPr>
              <w:ind w:left="40"/>
              <w:spacing w:after="0"/>
              <w:rPr>
                <w:sz w:val="20"/>
                <w:szCs w:val="20"/>
                <w:color w:val="auto"/>
              </w:rPr>
            </w:pPr>
            <w:r>
              <w:rPr>
                <w:rFonts w:ascii="Arial" w:cs="Arial" w:eastAsia="Arial" w:hAnsi="Arial"/>
                <w:sz w:val="18"/>
                <w:szCs w:val="18"/>
                <w:color w:val="auto"/>
              </w:rPr>
              <w:t>Balance at March 31,</w:t>
            </w:r>
          </w:p>
        </w:tc>
        <w:tc>
          <w:tcPr>
            <w:tcW w:w="240" w:type="dxa"/>
            <w:vAlign w:val="bottom"/>
            <w:tcBorders>
              <w:top w:val="single" w:sz="8" w:color="auto"/>
            </w:tcBorders>
            <w:vMerge w:val="restart"/>
          </w:tcPr>
          <w:p>
            <w:pPr>
              <w:ind w:left="20"/>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8"/>
                <w:szCs w:val="18"/>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vMerge w:val="restart"/>
          </w:tcPr>
          <w:p>
            <w:pPr>
              <w:jc w:val="right"/>
              <w:ind w:right="35"/>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660" w:type="dxa"/>
            <w:vAlign w:val="bottom"/>
            <w:tcBorders>
              <w:top w:val="single" w:sz="8" w:color="auto"/>
            </w:tcBorders>
            <w:vMerge w:val="restart"/>
          </w:tcPr>
          <w:p>
            <w:pPr>
              <w:jc w:val="right"/>
              <w:ind w:right="12"/>
              <w:spacing w:after="0"/>
              <w:rPr>
                <w:sz w:val="20"/>
                <w:szCs w:val="20"/>
                <w:color w:val="auto"/>
              </w:rPr>
            </w:pPr>
            <w:r>
              <w:rPr>
                <w:rFonts w:ascii="Arial" w:cs="Arial" w:eastAsia="Arial" w:hAnsi="Arial"/>
                <w:sz w:val="18"/>
                <w:szCs w:val="18"/>
                <w:color w:val="auto"/>
                <w:w w:val="89"/>
              </w:rPr>
              <w:t>$ 9,800</w:t>
            </w:r>
          </w:p>
        </w:tc>
        <w:tc>
          <w:tcPr>
            <w:tcW w:w="100" w:type="dxa"/>
            <w:vAlign w:val="bottom"/>
          </w:tcPr>
          <w:p>
            <w:pPr>
              <w:spacing w:after="0"/>
              <w:rPr>
                <w:sz w:val="18"/>
                <w:szCs w:val="18"/>
                <w:color w:val="auto"/>
              </w:rPr>
            </w:pPr>
          </w:p>
        </w:tc>
        <w:tc>
          <w:tcPr>
            <w:tcW w:w="160" w:type="dxa"/>
            <w:vAlign w:val="bottom"/>
            <w:tcBorders>
              <w:top w:val="single" w:sz="8" w:color="auto"/>
            </w:tcBorders>
            <w:vMerge w:val="restart"/>
          </w:tcPr>
          <w:p>
            <w:pPr>
              <w:ind w:left="40"/>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tcBorders>
            <w:vMerge w:val="restart"/>
          </w:tcPr>
          <w:p>
            <w:pPr>
              <w:jc w:val="right"/>
              <w:ind w:right="32"/>
              <w:spacing w:after="0"/>
              <w:rPr>
                <w:sz w:val="20"/>
                <w:szCs w:val="20"/>
                <w:color w:val="auto"/>
              </w:rPr>
            </w:pPr>
            <w:r>
              <w:rPr>
                <w:rFonts w:ascii="Arial" w:cs="Arial" w:eastAsia="Arial" w:hAnsi="Arial"/>
                <w:sz w:val="18"/>
                <w:szCs w:val="18"/>
                <w:color w:val="auto"/>
              </w:rPr>
              <w:t>145</w:t>
            </w:r>
          </w:p>
        </w:tc>
        <w:tc>
          <w:tcPr>
            <w:tcW w:w="120" w:type="dxa"/>
            <w:vAlign w:val="bottom"/>
          </w:tcPr>
          <w:p>
            <w:pPr>
              <w:spacing w:after="0"/>
              <w:rPr>
                <w:sz w:val="18"/>
                <w:szCs w:val="18"/>
                <w:color w:val="auto"/>
              </w:rPr>
            </w:pPr>
          </w:p>
        </w:tc>
        <w:tc>
          <w:tcPr>
            <w:tcW w:w="960" w:type="dxa"/>
            <w:vAlign w:val="bottom"/>
            <w:tcBorders>
              <w:top w:val="single" w:sz="8" w:color="auto"/>
            </w:tcBorders>
            <w:vMerge w:val="restart"/>
          </w:tcPr>
          <w:p>
            <w:pPr>
              <w:jc w:val="right"/>
              <w:ind w:right="34"/>
              <w:spacing w:after="0"/>
              <w:rPr>
                <w:sz w:val="20"/>
                <w:szCs w:val="20"/>
                <w:color w:val="auto"/>
              </w:rPr>
            </w:pPr>
            <w:r>
              <w:rPr>
                <w:rFonts w:ascii="Arial" w:cs="Arial" w:eastAsia="Arial" w:hAnsi="Arial"/>
                <w:sz w:val="18"/>
                <w:szCs w:val="18"/>
                <w:color w:val="auto"/>
                <w:w w:val="90"/>
              </w:rPr>
              <w:t>$4,013,303</w:t>
            </w:r>
          </w:p>
        </w:tc>
        <w:tc>
          <w:tcPr>
            <w:tcW w:w="100" w:type="dxa"/>
            <w:vAlign w:val="bottom"/>
          </w:tcPr>
          <w:p>
            <w:pPr>
              <w:spacing w:after="0"/>
              <w:rPr>
                <w:sz w:val="18"/>
                <w:szCs w:val="18"/>
                <w:color w:val="auto"/>
              </w:rPr>
            </w:pPr>
          </w:p>
        </w:tc>
        <w:tc>
          <w:tcPr>
            <w:tcW w:w="10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2"/>
              </w:rPr>
              <w:t>$(2,549,079)</w:t>
            </w:r>
          </w:p>
        </w:tc>
        <w:tc>
          <w:tcPr>
            <w:tcW w:w="100" w:type="dxa"/>
            <w:vAlign w:val="bottom"/>
          </w:tcPr>
          <w:p>
            <w:pPr>
              <w:spacing w:after="0"/>
              <w:rPr>
                <w:sz w:val="18"/>
                <w:szCs w:val="18"/>
                <w:color w:val="auto"/>
              </w:rPr>
            </w:pPr>
          </w:p>
        </w:tc>
        <w:tc>
          <w:tcPr>
            <w:tcW w:w="220" w:type="dxa"/>
            <w:vAlign w:val="bottom"/>
            <w:tcBorders>
              <w:top w:val="single" w:sz="8" w:color="auto"/>
            </w:tcBorders>
            <w:vMerge w:val="restart"/>
          </w:tcPr>
          <w:p>
            <w:pPr>
              <w:jc w:val="right"/>
              <w:ind w:right="21"/>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(5,672)</w:t>
            </w:r>
          </w:p>
        </w:tc>
        <w:tc>
          <w:tcPr>
            <w:tcW w:w="100" w:type="dxa"/>
            <w:vAlign w:val="bottom"/>
          </w:tcPr>
          <w:p>
            <w:pPr>
              <w:spacing w:after="0"/>
              <w:rPr>
                <w:sz w:val="18"/>
                <w:szCs w:val="18"/>
                <w:color w:val="auto"/>
              </w:rPr>
            </w:pPr>
          </w:p>
        </w:tc>
        <w:tc>
          <w:tcPr>
            <w:tcW w:w="9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1"/>
              </w:rPr>
              <w:t>$ (262,954)</w:t>
            </w:r>
          </w:p>
        </w:tc>
        <w:tc>
          <w:tcPr>
            <w:tcW w:w="120" w:type="dxa"/>
            <w:vAlign w:val="bottom"/>
          </w:tcPr>
          <w:p>
            <w:pPr>
              <w:spacing w:after="0"/>
              <w:rPr>
                <w:sz w:val="18"/>
                <w:szCs w:val="18"/>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vMerge w:val="restart"/>
          </w:tcPr>
          <w:p>
            <w:pPr>
              <w:jc w:val="right"/>
              <w:ind w:right="12"/>
              <w:spacing w:after="0"/>
              <w:rPr>
                <w:sz w:val="20"/>
                <w:szCs w:val="20"/>
                <w:color w:val="auto"/>
              </w:rPr>
            </w:pPr>
            <w:r>
              <w:rPr>
                <w:rFonts w:ascii="Arial" w:cs="Arial" w:eastAsia="Arial" w:hAnsi="Arial"/>
                <w:sz w:val="18"/>
                <w:szCs w:val="18"/>
                <w:color w:val="auto"/>
              </w:rPr>
              <w:t>56,548</w:t>
            </w:r>
          </w:p>
        </w:tc>
        <w:tc>
          <w:tcPr>
            <w:tcW w:w="120" w:type="dxa"/>
            <w:vAlign w:val="bottom"/>
          </w:tcPr>
          <w:p>
            <w:pPr>
              <w:spacing w:after="0"/>
              <w:rPr>
                <w:sz w:val="18"/>
                <w:szCs w:val="18"/>
                <w:color w:val="auto"/>
              </w:rPr>
            </w:pPr>
          </w:p>
        </w:tc>
        <w:tc>
          <w:tcPr>
            <w:tcW w:w="960" w:type="dxa"/>
            <w:vAlign w:val="bottom"/>
            <w:tcBorders>
              <w:top w:val="single" w:sz="8" w:color="auto"/>
            </w:tcBorders>
            <w:vMerge w:val="restart"/>
          </w:tcPr>
          <w:p>
            <w:pPr>
              <w:jc w:val="right"/>
              <w:ind w:right="14"/>
              <w:spacing w:after="0"/>
              <w:rPr>
                <w:sz w:val="20"/>
                <w:szCs w:val="20"/>
                <w:color w:val="auto"/>
              </w:rPr>
            </w:pPr>
            <w:r>
              <w:rPr>
                <w:rFonts w:ascii="Arial" w:cs="Arial" w:eastAsia="Arial" w:hAnsi="Arial"/>
                <w:sz w:val="18"/>
                <w:szCs w:val="18"/>
                <w:color w:val="auto"/>
                <w:w w:val="88"/>
              </w:rPr>
              <w:t>$ 1,262,117</w:t>
            </w:r>
          </w:p>
        </w:tc>
        <w:tc>
          <w:tcPr>
            <w:tcW w:w="0" w:type="dxa"/>
            <w:vAlign w:val="bottom"/>
          </w:tcPr>
          <w:p>
            <w:pPr>
              <w:spacing w:after="0"/>
              <w:rPr>
                <w:sz w:val="1"/>
                <w:szCs w:val="1"/>
                <w:color w:val="auto"/>
              </w:rPr>
            </w:pPr>
          </w:p>
        </w:tc>
      </w:tr>
      <w:tr>
        <w:trPr>
          <w:trHeight w:val="242"/>
        </w:trPr>
        <w:tc>
          <w:tcPr>
            <w:tcW w:w="1920" w:type="dxa"/>
            <w:vAlign w:val="bottom"/>
          </w:tcPr>
          <w:p>
            <w:pPr>
              <w:ind w:left="40"/>
              <w:spacing w:after="0"/>
              <w:rPr>
                <w:sz w:val="20"/>
                <w:szCs w:val="20"/>
                <w:color w:val="auto"/>
              </w:rPr>
            </w:pPr>
            <w:r>
              <w:rPr>
                <w:rFonts w:ascii="Arial" w:cs="Arial" w:eastAsia="Arial" w:hAnsi="Arial"/>
                <w:sz w:val="18"/>
                <w:szCs w:val="18"/>
                <w:color w:val="auto"/>
              </w:rPr>
              <w:t>2014</w:t>
            </w:r>
          </w:p>
        </w:tc>
        <w:tc>
          <w:tcPr>
            <w:tcW w:w="240" w:type="dxa"/>
            <w:vAlign w:val="bottom"/>
            <w:tcBorders>
              <w:bottom w:val="single" w:sz="8" w:color="auto"/>
            </w:tcBorders>
            <w:vMerge w:val="continue"/>
          </w:tcPr>
          <w:p>
            <w:pPr>
              <w:spacing w:after="0"/>
              <w:rPr>
                <w:sz w:val="20"/>
                <w:szCs w:val="20"/>
                <w:color w:val="auto"/>
              </w:rPr>
            </w:pPr>
          </w:p>
        </w:tc>
        <w:tc>
          <w:tcPr>
            <w:tcW w:w="42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5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46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vMerge w:val="continue"/>
          </w:tcPr>
          <w:p>
            <w:pPr>
              <w:spacing w:after="0"/>
              <w:rPr>
                <w:sz w:val="20"/>
                <w:szCs w:val="20"/>
                <w:color w:val="auto"/>
              </w:rPr>
            </w:pPr>
          </w:p>
        </w:tc>
        <w:tc>
          <w:tcPr>
            <w:tcW w:w="8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vMerge w:val="continue"/>
          </w:tcPr>
          <w:p>
            <w:pPr>
              <w:spacing w:after="0"/>
              <w:rPr>
                <w:sz w:val="20"/>
                <w:szCs w:val="20"/>
                <w:color w:val="auto"/>
              </w:rPr>
            </w:pPr>
          </w:p>
        </w:tc>
        <w:tc>
          <w:tcPr>
            <w:tcW w:w="84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6"/>
        </w:trPr>
        <w:tc>
          <w:tcPr>
            <w:tcW w:w="1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jc w:val="right"/>
              <w:ind w:right="94"/>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Equity (Continued)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2014 and 2013</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9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7"/>
          </w:tcPr>
          <w:p>
            <w:pPr>
              <w:ind w:left="60"/>
              <w:spacing w:after="0"/>
              <w:rPr>
                <w:sz w:val="20"/>
                <w:szCs w:val="20"/>
                <w:color w:val="auto"/>
              </w:rPr>
            </w:pPr>
            <w:r>
              <w:rPr>
                <w:rFonts w:ascii="Arial" w:cs="Arial" w:eastAsia="Arial" w:hAnsi="Arial"/>
                <w:sz w:val="14"/>
                <w:szCs w:val="14"/>
                <w:b w:val="1"/>
                <w:bCs w:val="1"/>
                <w:color w:val="auto"/>
              </w:rPr>
              <w:t>iStar Financial Inc. Shareholders' Equity</w:t>
            </w: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96"/>
              </w:rPr>
              <w:t>Preferred</w:t>
            </w: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Common</w:t>
            </w:r>
          </w:p>
        </w:tc>
        <w:tc>
          <w:tcPr>
            <w:tcW w:w="10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6"/>
              </w:rPr>
              <w:t>Additional</w:t>
            </w:r>
          </w:p>
        </w:tc>
        <w:tc>
          <w:tcPr>
            <w:tcW w:w="11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Retained</w:t>
            </w:r>
          </w:p>
        </w:tc>
        <w:tc>
          <w:tcPr>
            <w:tcW w:w="114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90"/>
              </w:rPr>
              <w:t>Accumulated</w:t>
            </w:r>
          </w:p>
        </w:tc>
        <w:tc>
          <w:tcPr>
            <w:tcW w:w="10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Treasury</w:t>
            </w: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7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Preferred</w:t>
            </w:r>
          </w:p>
        </w:tc>
        <w:tc>
          <w:tcPr>
            <w:tcW w:w="140" w:type="dxa"/>
            <w:vAlign w:val="bottom"/>
          </w:tcPr>
          <w:p>
            <w:pPr>
              <w:spacing w:after="0"/>
              <w:rPr>
                <w:sz w:val="12"/>
                <w:szCs w:val="12"/>
                <w:color w:val="auto"/>
              </w:rPr>
            </w:pPr>
          </w:p>
        </w:tc>
        <w:tc>
          <w:tcPr>
            <w:tcW w:w="6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Stock</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3"/>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Other</w:t>
            </w:r>
          </w:p>
        </w:tc>
        <w:tc>
          <w:tcPr>
            <w:tcW w:w="1020" w:type="dxa"/>
            <w:vAlign w:val="bottom"/>
            <w:gridSpan w:val="2"/>
            <w:vMerge w:val="continue"/>
          </w:tcPr>
          <w:p>
            <w:pPr>
              <w:spacing w:after="0"/>
              <w:rPr>
                <w:sz w:val="12"/>
                <w:szCs w:val="12"/>
                <w:color w:val="auto"/>
              </w:rPr>
            </w:pPr>
          </w:p>
        </w:tc>
        <w:tc>
          <w:tcPr>
            <w:tcW w:w="1140" w:type="dxa"/>
            <w:vAlign w:val="bottom"/>
            <w:tcBorders>
              <w:right w:val="single" w:sz="8" w:color="auto"/>
            </w:tcBorders>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2"/>
              </w:rPr>
              <w:t>Noncontrolling</w:t>
            </w:r>
          </w:p>
        </w:tc>
        <w:tc>
          <w:tcPr>
            <w:tcW w:w="96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Series</w:t>
            </w:r>
          </w:p>
        </w:tc>
        <w:tc>
          <w:tcPr>
            <w:tcW w:w="7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HPU's</w:t>
            </w:r>
          </w:p>
        </w:tc>
        <w:tc>
          <w:tcPr>
            <w:tcW w:w="74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Stock at</w:t>
            </w:r>
          </w:p>
        </w:tc>
        <w:tc>
          <w:tcPr>
            <w:tcW w:w="10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8"/>
              </w:rPr>
              <w:t>Paid-In</w:t>
            </w:r>
          </w:p>
        </w:tc>
        <w:tc>
          <w:tcPr>
            <w:tcW w:w="11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Earnings</w:t>
            </w:r>
          </w:p>
        </w:tc>
        <w:tc>
          <w:tcPr>
            <w:tcW w:w="11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0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Stock at</w:t>
            </w:r>
          </w:p>
        </w:tc>
        <w:tc>
          <w:tcPr>
            <w:tcW w:w="1140" w:type="dxa"/>
            <w:vAlign w:val="bottom"/>
            <w:tcBorders>
              <w:right w:val="single" w:sz="8" w:color="auto"/>
            </w:tcBorders>
            <w:gridSpan w:val="3"/>
            <w:vMerge w:val="continue"/>
          </w:tcPr>
          <w:p>
            <w:pPr>
              <w:spacing w:after="0"/>
              <w:rPr>
                <w:sz w:val="12"/>
                <w:szCs w:val="12"/>
                <w:color w:val="auto"/>
              </w:rPr>
            </w:pPr>
          </w:p>
        </w:tc>
        <w:tc>
          <w:tcPr>
            <w:tcW w:w="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920" w:type="dxa"/>
            <w:vAlign w:val="bottom"/>
          </w:tcPr>
          <w:p>
            <w:pPr>
              <w:spacing w:after="0"/>
              <w:rPr>
                <w:sz w:val="16"/>
                <w:szCs w:val="16"/>
                <w:color w:val="auto"/>
              </w:rPr>
            </w:pPr>
          </w:p>
        </w:tc>
        <w:tc>
          <w:tcPr>
            <w:tcW w:w="780" w:type="dxa"/>
            <w:vAlign w:val="bottom"/>
            <w:gridSpan w:val="3"/>
          </w:tcPr>
          <w:p>
            <w:pPr>
              <w:ind w:left="80"/>
              <w:spacing w:after="0"/>
              <w:rPr>
                <w:sz w:val="20"/>
                <w:szCs w:val="20"/>
                <w:color w:val="auto"/>
              </w:rPr>
            </w:pPr>
            <w:r>
              <w:rPr>
                <w:rFonts w:ascii="Arial" w:cs="Arial" w:eastAsia="Arial" w:hAnsi="Arial"/>
                <w:sz w:val="14"/>
                <w:szCs w:val="14"/>
                <w:b w:val="1"/>
                <w:bCs w:val="1"/>
                <w:color w:val="auto"/>
              </w:rPr>
              <w:t>Stock(1)</w:t>
            </w:r>
          </w:p>
        </w:tc>
        <w:tc>
          <w:tcPr>
            <w:tcW w:w="140" w:type="dxa"/>
            <w:vAlign w:val="bottom"/>
          </w:tcPr>
          <w:p>
            <w:pPr>
              <w:spacing w:after="0"/>
              <w:rPr>
                <w:sz w:val="16"/>
                <w:szCs w:val="16"/>
                <w:color w:val="auto"/>
              </w:rPr>
            </w:pPr>
          </w:p>
        </w:tc>
        <w:tc>
          <w:tcPr>
            <w:tcW w:w="6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J(1)</w:t>
            </w:r>
          </w:p>
        </w:tc>
        <w:tc>
          <w:tcPr>
            <w:tcW w:w="7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gridSpan w:val="2"/>
          </w:tcPr>
          <w:p>
            <w:pPr>
              <w:ind w:left="40"/>
              <w:spacing w:after="0"/>
              <w:rPr>
                <w:sz w:val="20"/>
                <w:szCs w:val="20"/>
                <w:color w:val="auto"/>
              </w:rPr>
            </w:pPr>
            <w:r>
              <w:rPr>
                <w:rFonts w:ascii="Arial" w:cs="Arial" w:eastAsia="Arial" w:hAnsi="Arial"/>
                <w:sz w:val="14"/>
                <w:szCs w:val="14"/>
                <w:b w:val="1"/>
                <w:bCs w:val="1"/>
                <w:color w:val="auto"/>
              </w:rPr>
              <w:t>Par</w:t>
            </w:r>
          </w:p>
        </w:tc>
        <w:tc>
          <w:tcPr>
            <w:tcW w:w="10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Capital</w:t>
            </w:r>
          </w:p>
        </w:tc>
        <w:tc>
          <w:tcPr>
            <w:tcW w:w="11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(Deficit)</w:t>
            </w:r>
          </w:p>
        </w:tc>
        <w:tc>
          <w:tcPr>
            <w:tcW w:w="11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Income (Loss)</w:t>
            </w: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Cost</w:t>
            </w:r>
          </w:p>
        </w:tc>
        <w:tc>
          <w:tcPr>
            <w:tcW w:w="180" w:type="dxa"/>
            <w:vAlign w:val="bottom"/>
          </w:tcPr>
          <w:p>
            <w:pPr>
              <w:spacing w:after="0"/>
              <w:rPr>
                <w:sz w:val="16"/>
                <w:szCs w:val="16"/>
                <w:color w:val="auto"/>
              </w:rPr>
            </w:pPr>
          </w:p>
        </w:tc>
        <w:tc>
          <w:tcPr>
            <w:tcW w:w="960" w:type="dxa"/>
            <w:vAlign w:val="bottom"/>
            <w:tcBorders>
              <w:right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2"/>
              </w:rPr>
              <w:t>Interests</w:t>
            </w:r>
          </w:p>
        </w:tc>
        <w:tc>
          <w:tcPr>
            <w:tcW w:w="960" w:type="dxa"/>
            <w:vAlign w:val="bottom"/>
          </w:tcPr>
          <w:p>
            <w:pPr>
              <w:jc w:val="right"/>
              <w:ind w:right="193"/>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15"/>
        </w:trPr>
        <w:tc>
          <w:tcPr>
            <w:tcW w:w="19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w:t>
            </w:r>
          </w:p>
        </w:tc>
        <w:tc>
          <w:tcPr>
            <w:tcW w:w="24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31, 2012</w:t>
            </w: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89"/>
              </w:rPr>
              <w:t>$ 9,800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143</w:t>
            </w: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90"/>
              </w:rPr>
              <w:t>$3,832,780</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$(2,360,647)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(1,185)</w:t>
            </w: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 (241,969)</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74,210</w:t>
            </w: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3"/>
              </w:rPr>
              <w:t>$1,313,154</w:t>
            </w:r>
          </w:p>
        </w:tc>
        <w:tc>
          <w:tcPr>
            <w:tcW w:w="0" w:type="dxa"/>
            <w:vAlign w:val="bottom"/>
          </w:tcPr>
          <w:p>
            <w:pPr>
              <w:spacing w:after="0"/>
              <w:rPr>
                <w:sz w:val="1"/>
                <w:szCs w:val="1"/>
                <w:color w:val="auto"/>
              </w:rPr>
            </w:pPr>
          </w:p>
        </w:tc>
      </w:tr>
      <w:tr>
        <w:trPr>
          <w:trHeight w:val="229"/>
        </w:trPr>
        <w:tc>
          <w:tcPr>
            <w:tcW w:w="1920" w:type="dxa"/>
            <w:vAlign w:val="bottom"/>
          </w:tcPr>
          <w:p>
            <w:pPr>
              <w:ind w:left="40"/>
              <w:spacing w:after="0"/>
              <w:rPr>
                <w:sz w:val="20"/>
                <w:szCs w:val="20"/>
                <w:color w:val="auto"/>
              </w:rPr>
            </w:pPr>
            <w:r>
              <w:rPr>
                <w:rFonts w:ascii="Arial" w:cs="Arial" w:eastAsia="Arial" w:hAnsi="Arial"/>
                <w:sz w:val="18"/>
                <w:szCs w:val="18"/>
                <w:color w:val="auto"/>
              </w:rPr>
              <w:t>Issuance of Preferred</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920" w:type="dxa"/>
            <w:vAlign w:val="bottom"/>
          </w:tcPr>
          <w:p>
            <w:pPr>
              <w:ind w:left="40"/>
              <w:spacing w:after="0"/>
              <w:rPr>
                <w:sz w:val="20"/>
                <w:szCs w:val="20"/>
                <w:color w:val="auto"/>
              </w:rPr>
            </w:pPr>
            <w:r>
              <w:rPr>
                <w:rFonts w:ascii="Arial" w:cs="Arial" w:eastAsia="Arial" w:hAnsi="Arial"/>
                <w:sz w:val="18"/>
                <w:szCs w:val="18"/>
                <w:color w:val="auto"/>
              </w:rPr>
              <w:t>Stock</w:t>
            </w:r>
          </w:p>
        </w:tc>
        <w:tc>
          <w:tcPr>
            <w:tcW w:w="240" w:type="dxa"/>
            <w:vAlign w:val="bottom"/>
          </w:tcPr>
          <w:p>
            <w:pPr>
              <w:spacing w:after="0"/>
              <w:rPr>
                <w:sz w:val="20"/>
                <w:szCs w:val="20"/>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540" w:type="dxa"/>
            <w:vAlign w:val="bottom"/>
          </w:tcPr>
          <w:p>
            <w:pPr>
              <w:jc w:val="right"/>
              <w:ind w:right="34"/>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193,506</w:t>
            </w:r>
          </w:p>
        </w:tc>
        <w:tc>
          <w:tcPr>
            <w:tcW w:w="1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6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193,510</w:t>
            </w:r>
          </w:p>
        </w:tc>
        <w:tc>
          <w:tcPr>
            <w:tcW w:w="0" w:type="dxa"/>
            <w:vAlign w:val="bottom"/>
          </w:tcPr>
          <w:p>
            <w:pPr>
              <w:spacing w:after="0"/>
              <w:rPr>
                <w:sz w:val="1"/>
                <w:szCs w:val="1"/>
                <w:color w:val="auto"/>
              </w:rPr>
            </w:pPr>
          </w:p>
        </w:tc>
      </w:tr>
      <w:tr>
        <w:trPr>
          <w:trHeight w:val="27"/>
        </w:trPr>
        <w:tc>
          <w:tcPr>
            <w:tcW w:w="1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Dividends declared—</w:t>
            </w:r>
          </w:p>
        </w:tc>
        <w:tc>
          <w:tcPr>
            <w:tcW w:w="2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preferred</w:t>
            </w:r>
          </w:p>
        </w:tc>
        <w:tc>
          <w:tcPr>
            <w:tcW w:w="2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(10,580)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(10,580)</w:t>
            </w:r>
          </w:p>
        </w:tc>
        <w:tc>
          <w:tcPr>
            <w:tcW w:w="0" w:type="dxa"/>
            <w:vAlign w:val="bottom"/>
          </w:tcPr>
          <w:p>
            <w:pPr>
              <w:spacing w:after="0"/>
              <w:rPr>
                <w:sz w:val="1"/>
                <w:szCs w:val="1"/>
                <w:color w:val="auto"/>
              </w:rPr>
            </w:pPr>
          </w:p>
        </w:tc>
      </w:tr>
      <w:tr>
        <w:trPr>
          <w:trHeight w:val="229"/>
        </w:trPr>
        <w:tc>
          <w:tcPr>
            <w:tcW w:w="1920" w:type="dxa"/>
            <w:vAlign w:val="bottom"/>
          </w:tcPr>
          <w:p>
            <w:pPr>
              <w:ind w:left="40"/>
              <w:spacing w:after="0"/>
              <w:rPr>
                <w:sz w:val="20"/>
                <w:szCs w:val="20"/>
                <w:color w:val="auto"/>
              </w:rPr>
            </w:pPr>
            <w:r>
              <w:rPr>
                <w:rFonts w:ascii="Arial" w:cs="Arial" w:eastAsia="Arial" w:hAnsi="Arial"/>
                <w:sz w:val="18"/>
                <w:szCs w:val="18"/>
                <w:color w:val="auto"/>
              </w:rPr>
              <w:t>Issuance of</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920" w:type="dxa"/>
            <w:vAlign w:val="bottom"/>
          </w:tcPr>
          <w:p>
            <w:pPr>
              <w:ind w:left="40"/>
              <w:spacing w:after="0"/>
              <w:rPr>
                <w:sz w:val="20"/>
                <w:szCs w:val="20"/>
                <w:color w:val="auto"/>
              </w:rPr>
            </w:pPr>
            <w:r>
              <w:rPr>
                <w:rFonts w:ascii="Arial" w:cs="Arial" w:eastAsia="Arial" w:hAnsi="Arial"/>
                <w:sz w:val="18"/>
                <w:szCs w:val="18"/>
                <w:color w:val="auto"/>
              </w:rPr>
              <w:t>stock/restricted stock</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20" w:type="dxa"/>
            <w:vAlign w:val="bottom"/>
          </w:tcPr>
          <w:p>
            <w:pPr>
              <w:ind w:left="40"/>
              <w:spacing w:after="0"/>
              <w:rPr>
                <w:sz w:val="20"/>
                <w:szCs w:val="20"/>
                <w:color w:val="auto"/>
              </w:rPr>
            </w:pPr>
            <w:r>
              <w:rPr>
                <w:rFonts w:ascii="Arial" w:cs="Arial" w:eastAsia="Arial" w:hAnsi="Arial"/>
                <w:sz w:val="18"/>
                <w:szCs w:val="18"/>
                <w:color w:val="auto"/>
              </w:rPr>
              <w:t>unit amortization, net</w:t>
            </w:r>
          </w:p>
        </w:tc>
        <w:tc>
          <w:tcPr>
            <w:tcW w:w="240" w:type="dxa"/>
            <w:vAlign w:val="bottom"/>
          </w:tcPr>
          <w:p>
            <w:pPr>
              <w:spacing w:after="0"/>
              <w:rPr>
                <w:sz w:val="20"/>
                <w:szCs w:val="20"/>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46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(4,692)</w:t>
            </w:r>
          </w:p>
        </w:tc>
        <w:tc>
          <w:tcPr>
            <w:tcW w:w="1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6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(4,691)</w:t>
            </w:r>
          </w:p>
        </w:tc>
        <w:tc>
          <w:tcPr>
            <w:tcW w:w="0" w:type="dxa"/>
            <w:vAlign w:val="bottom"/>
          </w:tcPr>
          <w:p>
            <w:pPr>
              <w:spacing w:after="0"/>
              <w:rPr>
                <w:sz w:val="1"/>
                <w:szCs w:val="1"/>
                <w:color w:val="auto"/>
              </w:rPr>
            </w:pPr>
          </w:p>
        </w:tc>
      </w:tr>
      <w:tr>
        <w:trPr>
          <w:trHeight w:val="27"/>
        </w:trPr>
        <w:tc>
          <w:tcPr>
            <w:tcW w:w="1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loss for the</w:t>
            </w:r>
          </w:p>
        </w:tc>
        <w:tc>
          <w:tcPr>
            <w:tcW w:w="2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period(2)</w:t>
            </w:r>
          </w:p>
        </w:tc>
        <w:tc>
          <w:tcPr>
            <w:tcW w:w="2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(32,064)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330</w:t>
            </w: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(31,734)</w:t>
            </w:r>
          </w:p>
        </w:tc>
        <w:tc>
          <w:tcPr>
            <w:tcW w:w="0" w:type="dxa"/>
            <w:vAlign w:val="bottom"/>
          </w:tcPr>
          <w:p>
            <w:pPr>
              <w:spacing w:after="0"/>
              <w:rPr>
                <w:sz w:val="1"/>
                <w:szCs w:val="1"/>
                <w:color w:val="auto"/>
              </w:rPr>
            </w:pPr>
          </w:p>
        </w:tc>
      </w:tr>
      <w:tr>
        <w:trPr>
          <w:trHeight w:val="229"/>
        </w:trPr>
        <w:tc>
          <w:tcPr>
            <w:tcW w:w="1920" w:type="dxa"/>
            <w:vAlign w:val="bottom"/>
          </w:tcPr>
          <w:p>
            <w:pPr>
              <w:ind w:left="40"/>
              <w:spacing w:after="0"/>
              <w:rPr>
                <w:sz w:val="20"/>
                <w:szCs w:val="20"/>
                <w:color w:val="auto"/>
              </w:rPr>
            </w:pPr>
            <w:r>
              <w:rPr>
                <w:rFonts w:ascii="Arial" w:cs="Arial" w:eastAsia="Arial" w:hAnsi="Arial"/>
                <w:sz w:val="18"/>
                <w:szCs w:val="18"/>
                <w:color w:val="auto"/>
                <w:w w:val="98"/>
              </w:rPr>
              <w:t>Change in accumulated</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920" w:type="dxa"/>
            <w:vAlign w:val="bottom"/>
          </w:tcPr>
          <w:p>
            <w:pPr>
              <w:ind w:left="40"/>
              <w:spacing w:after="0"/>
              <w:rPr>
                <w:sz w:val="20"/>
                <w:szCs w:val="20"/>
                <w:color w:val="auto"/>
              </w:rPr>
            </w:pPr>
            <w:r>
              <w:rPr>
                <w:rFonts w:ascii="Arial" w:cs="Arial" w:eastAsia="Arial" w:hAnsi="Arial"/>
                <w:sz w:val="18"/>
                <w:szCs w:val="18"/>
                <w:color w:val="auto"/>
              </w:rPr>
              <w:t>other comprehensive</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20" w:type="dxa"/>
            <w:vAlign w:val="bottom"/>
          </w:tcPr>
          <w:p>
            <w:pPr>
              <w:ind w:left="40"/>
              <w:spacing w:after="0"/>
              <w:rPr>
                <w:sz w:val="20"/>
                <w:szCs w:val="20"/>
                <w:color w:val="auto"/>
              </w:rPr>
            </w:pPr>
            <w:r>
              <w:rPr>
                <w:rFonts w:ascii="Arial" w:cs="Arial" w:eastAsia="Arial" w:hAnsi="Arial"/>
                <w:sz w:val="18"/>
                <w:szCs w:val="18"/>
                <w:color w:val="auto"/>
              </w:rPr>
              <w:t>income (loss)</w:t>
            </w:r>
          </w:p>
        </w:tc>
        <w:tc>
          <w:tcPr>
            <w:tcW w:w="240" w:type="dxa"/>
            <w:vAlign w:val="bottom"/>
          </w:tcPr>
          <w:p>
            <w:pPr>
              <w:spacing w:after="0"/>
              <w:rPr>
                <w:sz w:val="20"/>
                <w:szCs w:val="20"/>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(279)</w:t>
            </w:r>
          </w:p>
        </w:tc>
        <w:tc>
          <w:tcPr>
            <w:tcW w:w="1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6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7"/>
        </w:trPr>
        <w:tc>
          <w:tcPr>
            <w:tcW w:w="1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Additional paid in</w:t>
            </w:r>
          </w:p>
        </w:tc>
        <w:tc>
          <w:tcPr>
            <w:tcW w:w="2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capital attributable to</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redeemable</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noncontrolling</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interest(4)</w:t>
            </w:r>
          </w:p>
        </w:tc>
        <w:tc>
          <w:tcPr>
            <w:tcW w:w="2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(1,744)</w:t>
            </w:r>
          </w:p>
        </w:tc>
        <w:tc>
          <w:tcPr>
            <w:tcW w:w="1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(1,744)</w:t>
            </w:r>
          </w:p>
        </w:tc>
        <w:tc>
          <w:tcPr>
            <w:tcW w:w="0" w:type="dxa"/>
            <w:vAlign w:val="bottom"/>
          </w:tcPr>
          <w:p>
            <w:pPr>
              <w:spacing w:after="0"/>
              <w:rPr>
                <w:sz w:val="1"/>
                <w:szCs w:val="1"/>
                <w:color w:val="auto"/>
              </w:rPr>
            </w:pPr>
          </w:p>
        </w:tc>
      </w:tr>
      <w:tr>
        <w:trPr>
          <w:trHeight w:val="229"/>
        </w:trPr>
        <w:tc>
          <w:tcPr>
            <w:tcW w:w="1920" w:type="dxa"/>
            <w:vAlign w:val="bottom"/>
          </w:tcPr>
          <w:p>
            <w:pPr>
              <w:ind w:left="40"/>
              <w:spacing w:after="0"/>
              <w:rPr>
                <w:sz w:val="20"/>
                <w:szCs w:val="20"/>
                <w:color w:val="auto"/>
              </w:rPr>
            </w:pPr>
            <w:r>
              <w:rPr>
                <w:rFonts w:ascii="Arial" w:cs="Arial" w:eastAsia="Arial" w:hAnsi="Arial"/>
                <w:sz w:val="18"/>
                <w:szCs w:val="18"/>
                <w:color w:val="auto"/>
              </w:rPr>
              <w:t>Contributions from</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920" w:type="dxa"/>
            <w:vAlign w:val="bottom"/>
          </w:tcPr>
          <w:p>
            <w:pPr>
              <w:ind w:left="40"/>
              <w:spacing w:after="0"/>
              <w:rPr>
                <w:sz w:val="20"/>
                <w:szCs w:val="20"/>
                <w:color w:val="auto"/>
              </w:rPr>
            </w:pPr>
            <w:r>
              <w:rPr>
                <w:rFonts w:ascii="Arial" w:cs="Arial" w:eastAsia="Arial" w:hAnsi="Arial"/>
                <w:sz w:val="18"/>
                <w:szCs w:val="18"/>
                <w:color w:val="auto"/>
              </w:rPr>
              <w:t>noncontrolling</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20" w:type="dxa"/>
            <w:vAlign w:val="bottom"/>
          </w:tcPr>
          <w:p>
            <w:pPr>
              <w:ind w:left="40"/>
              <w:spacing w:after="0"/>
              <w:rPr>
                <w:sz w:val="20"/>
                <w:szCs w:val="20"/>
                <w:color w:val="auto"/>
              </w:rPr>
            </w:pPr>
            <w:r>
              <w:rPr>
                <w:rFonts w:ascii="Arial" w:cs="Arial" w:eastAsia="Arial" w:hAnsi="Arial"/>
                <w:sz w:val="18"/>
                <w:szCs w:val="18"/>
                <w:color w:val="auto"/>
              </w:rPr>
              <w:t>interests(3)</w:t>
            </w:r>
          </w:p>
        </w:tc>
        <w:tc>
          <w:tcPr>
            <w:tcW w:w="240" w:type="dxa"/>
            <w:vAlign w:val="bottom"/>
          </w:tcPr>
          <w:p>
            <w:pPr>
              <w:spacing w:after="0"/>
              <w:rPr>
                <w:sz w:val="20"/>
                <w:szCs w:val="20"/>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11,079</w:t>
            </w:r>
          </w:p>
        </w:tc>
        <w:tc>
          <w:tcPr>
            <w:tcW w:w="120" w:type="dxa"/>
            <w:vAlign w:val="bottom"/>
            <w:tcBorders>
              <w:right w:val="single" w:sz="8" w:color="auto"/>
            </w:tcBorders>
          </w:tcPr>
          <w:p>
            <w:pPr>
              <w:spacing w:after="0"/>
              <w:rPr>
                <w:sz w:val="20"/>
                <w:szCs w:val="20"/>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11,079</w:t>
            </w:r>
          </w:p>
        </w:tc>
        <w:tc>
          <w:tcPr>
            <w:tcW w:w="0" w:type="dxa"/>
            <w:vAlign w:val="bottom"/>
          </w:tcPr>
          <w:p>
            <w:pPr>
              <w:spacing w:after="0"/>
              <w:rPr>
                <w:sz w:val="1"/>
                <w:szCs w:val="1"/>
                <w:color w:val="auto"/>
              </w:rPr>
            </w:pPr>
          </w:p>
        </w:tc>
      </w:tr>
      <w:tr>
        <w:trPr>
          <w:trHeight w:val="27"/>
        </w:trPr>
        <w:tc>
          <w:tcPr>
            <w:tcW w:w="1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Distributions to</w:t>
            </w:r>
          </w:p>
        </w:tc>
        <w:tc>
          <w:tcPr>
            <w:tcW w:w="2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noncontrolling</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interests(4)</w:t>
            </w:r>
          </w:p>
        </w:tc>
        <w:tc>
          <w:tcPr>
            <w:tcW w:w="2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(16,623)</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(16,623)</w:t>
            </w:r>
          </w:p>
        </w:tc>
        <w:tc>
          <w:tcPr>
            <w:tcW w:w="0" w:type="dxa"/>
            <w:vAlign w:val="bottom"/>
          </w:tcPr>
          <w:p>
            <w:pPr>
              <w:spacing w:after="0"/>
              <w:rPr>
                <w:sz w:val="1"/>
                <w:szCs w:val="1"/>
                <w:color w:val="auto"/>
              </w:rPr>
            </w:pPr>
          </w:p>
        </w:tc>
      </w:tr>
      <w:tr>
        <w:trPr>
          <w:trHeight w:val="209"/>
        </w:trPr>
        <w:tc>
          <w:tcPr>
            <w:tcW w:w="1920" w:type="dxa"/>
            <w:vAlign w:val="bottom"/>
          </w:tcPr>
          <w:p>
            <w:pPr>
              <w:ind w:left="40"/>
              <w:spacing w:after="0"/>
              <w:rPr>
                <w:sz w:val="20"/>
                <w:szCs w:val="20"/>
                <w:color w:val="auto"/>
              </w:rPr>
            </w:pPr>
            <w:r>
              <w:rPr>
                <w:rFonts w:ascii="Arial" w:cs="Arial" w:eastAsia="Arial" w:hAnsi="Arial"/>
                <w:sz w:val="18"/>
                <w:szCs w:val="18"/>
                <w:color w:val="auto"/>
              </w:rPr>
              <w:t>Balance at March 31,</w:t>
            </w:r>
          </w:p>
        </w:tc>
        <w:tc>
          <w:tcPr>
            <w:tcW w:w="240" w:type="dxa"/>
            <w:vAlign w:val="bottom"/>
            <w:tcBorders>
              <w:top w:val="single" w:sz="8" w:color="auto"/>
            </w:tcBorders>
            <w:vMerge w:val="restart"/>
          </w:tcPr>
          <w:p>
            <w:pPr>
              <w:ind w:left="20"/>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8"/>
                <w:szCs w:val="18"/>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vMerge w:val="restart"/>
          </w:tcPr>
          <w:p>
            <w:pPr>
              <w:jc w:val="right"/>
              <w:ind w:right="34"/>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660" w:type="dxa"/>
            <w:vAlign w:val="bottom"/>
            <w:tcBorders>
              <w:top w:val="single" w:sz="8" w:color="auto"/>
            </w:tcBorders>
            <w:vMerge w:val="restart"/>
          </w:tcPr>
          <w:p>
            <w:pPr>
              <w:jc w:val="right"/>
              <w:ind w:right="12"/>
              <w:spacing w:after="0"/>
              <w:rPr>
                <w:sz w:val="20"/>
                <w:szCs w:val="20"/>
                <w:color w:val="auto"/>
              </w:rPr>
            </w:pPr>
            <w:r>
              <w:rPr>
                <w:rFonts w:ascii="Arial" w:cs="Arial" w:eastAsia="Arial" w:hAnsi="Arial"/>
                <w:sz w:val="18"/>
                <w:szCs w:val="18"/>
                <w:color w:val="auto"/>
                <w:w w:val="89"/>
              </w:rPr>
              <w:t>$ 9,800</w:t>
            </w:r>
          </w:p>
        </w:tc>
        <w:tc>
          <w:tcPr>
            <w:tcW w:w="100" w:type="dxa"/>
            <w:vAlign w:val="bottom"/>
          </w:tcPr>
          <w:p>
            <w:pPr>
              <w:spacing w:after="0"/>
              <w:rPr>
                <w:sz w:val="18"/>
                <w:szCs w:val="18"/>
                <w:color w:val="auto"/>
              </w:rPr>
            </w:pPr>
          </w:p>
        </w:tc>
        <w:tc>
          <w:tcPr>
            <w:tcW w:w="160" w:type="dxa"/>
            <w:vAlign w:val="bottom"/>
            <w:tcBorders>
              <w:top w:val="single" w:sz="8" w:color="auto"/>
            </w:tcBorders>
            <w:vMerge w:val="restart"/>
          </w:tcPr>
          <w:p>
            <w:pPr>
              <w:ind w:left="40"/>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tcBorders>
            <w:vMerge w:val="restart"/>
          </w:tcPr>
          <w:p>
            <w:pPr>
              <w:jc w:val="right"/>
              <w:ind w:right="32"/>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18"/>
                <w:szCs w:val="18"/>
                <w:color w:val="auto"/>
              </w:rPr>
            </w:pPr>
          </w:p>
        </w:tc>
        <w:tc>
          <w:tcPr>
            <w:tcW w:w="960" w:type="dxa"/>
            <w:vAlign w:val="bottom"/>
            <w:tcBorders>
              <w:top w:val="single" w:sz="8" w:color="auto"/>
            </w:tcBorders>
            <w:vMerge w:val="restart"/>
          </w:tcPr>
          <w:p>
            <w:pPr>
              <w:jc w:val="right"/>
              <w:ind w:right="34"/>
              <w:spacing w:after="0"/>
              <w:rPr>
                <w:sz w:val="20"/>
                <w:szCs w:val="20"/>
                <w:color w:val="auto"/>
              </w:rPr>
            </w:pPr>
            <w:r>
              <w:rPr>
                <w:rFonts w:ascii="Arial" w:cs="Arial" w:eastAsia="Arial" w:hAnsi="Arial"/>
                <w:sz w:val="18"/>
                <w:szCs w:val="18"/>
                <w:color w:val="auto"/>
                <w:w w:val="90"/>
              </w:rPr>
              <w:t>$4,019,850</w:t>
            </w:r>
          </w:p>
        </w:tc>
        <w:tc>
          <w:tcPr>
            <w:tcW w:w="100" w:type="dxa"/>
            <w:vAlign w:val="bottom"/>
          </w:tcPr>
          <w:p>
            <w:pPr>
              <w:spacing w:after="0"/>
              <w:rPr>
                <w:sz w:val="18"/>
                <w:szCs w:val="18"/>
                <w:color w:val="auto"/>
              </w:rPr>
            </w:pPr>
          </w:p>
        </w:tc>
        <w:tc>
          <w:tcPr>
            <w:tcW w:w="10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2"/>
              </w:rPr>
              <w:t>$(2,403,291)</w:t>
            </w:r>
          </w:p>
        </w:tc>
        <w:tc>
          <w:tcPr>
            <w:tcW w:w="100" w:type="dxa"/>
            <w:vAlign w:val="bottom"/>
          </w:tcPr>
          <w:p>
            <w:pPr>
              <w:spacing w:after="0"/>
              <w:rPr>
                <w:sz w:val="18"/>
                <w:szCs w:val="18"/>
                <w:color w:val="auto"/>
              </w:rPr>
            </w:pPr>
          </w:p>
        </w:tc>
        <w:tc>
          <w:tcPr>
            <w:tcW w:w="220" w:type="dxa"/>
            <w:vAlign w:val="bottom"/>
            <w:tcBorders>
              <w:top w:val="single" w:sz="8" w:color="auto"/>
            </w:tcBorders>
            <w:vMerge w:val="restart"/>
          </w:tcPr>
          <w:p>
            <w:pPr>
              <w:jc w:val="right"/>
              <w:ind w:right="21"/>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(1,464)</w:t>
            </w:r>
          </w:p>
        </w:tc>
        <w:tc>
          <w:tcPr>
            <w:tcW w:w="100" w:type="dxa"/>
            <w:vAlign w:val="bottom"/>
          </w:tcPr>
          <w:p>
            <w:pPr>
              <w:spacing w:after="0"/>
              <w:rPr>
                <w:sz w:val="18"/>
                <w:szCs w:val="18"/>
                <w:color w:val="auto"/>
              </w:rPr>
            </w:pPr>
          </w:p>
        </w:tc>
        <w:tc>
          <w:tcPr>
            <w:tcW w:w="9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1"/>
              </w:rPr>
              <w:t>$ (241,969)</w:t>
            </w:r>
          </w:p>
        </w:tc>
        <w:tc>
          <w:tcPr>
            <w:tcW w:w="120" w:type="dxa"/>
            <w:vAlign w:val="bottom"/>
          </w:tcPr>
          <w:p>
            <w:pPr>
              <w:spacing w:after="0"/>
              <w:rPr>
                <w:sz w:val="18"/>
                <w:szCs w:val="18"/>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vMerge w:val="restart"/>
          </w:tcPr>
          <w:p>
            <w:pPr>
              <w:jc w:val="right"/>
              <w:ind w:right="12"/>
              <w:spacing w:after="0"/>
              <w:rPr>
                <w:sz w:val="20"/>
                <w:szCs w:val="20"/>
                <w:color w:val="auto"/>
              </w:rPr>
            </w:pPr>
            <w:r>
              <w:rPr>
                <w:rFonts w:ascii="Arial" w:cs="Arial" w:eastAsia="Arial" w:hAnsi="Arial"/>
                <w:sz w:val="18"/>
                <w:szCs w:val="18"/>
                <w:color w:val="auto"/>
              </w:rPr>
              <w:t>68,996</w:t>
            </w:r>
          </w:p>
        </w:tc>
        <w:tc>
          <w:tcPr>
            <w:tcW w:w="120" w:type="dxa"/>
            <w:vAlign w:val="bottom"/>
          </w:tcPr>
          <w:p>
            <w:pPr>
              <w:spacing w:after="0"/>
              <w:rPr>
                <w:sz w:val="18"/>
                <w:szCs w:val="18"/>
                <w:color w:val="auto"/>
              </w:rPr>
            </w:pPr>
          </w:p>
        </w:tc>
        <w:tc>
          <w:tcPr>
            <w:tcW w:w="960" w:type="dxa"/>
            <w:vAlign w:val="bottom"/>
            <w:tcBorders>
              <w:top w:val="single" w:sz="8" w:color="auto"/>
            </w:tcBorders>
            <w:vMerge w:val="restart"/>
          </w:tcPr>
          <w:p>
            <w:pPr>
              <w:jc w:val="right"/>
              <w:ind w:right="13"/>
              <w:spacing w:after="0"/>
              <w:rPr>
                <w:sz w:val="20"/>
                <w:szCs w:val="20"/>
                <w:color w:val="auto"/>
              </w:rPr>
            </w:pPr>
            <w:r>
              <w:rPr>
                <w:rFonts w:ascii="Arial" w:cs="Arial" w:eastAsia="Arial" w:hAnsi="Arial"/>
                <w:sz w:val="18"/>
                <w:szCs w:val="18"/>
                <w:color w:val="auto"/>
                <w:w w:val="88"/>
              </w:rPr>
              <w:t>$ 1,452,092</w:t>
            </w:r>
          </w:p>
        </w:tc>
        <w:tc>
          <w:tcPr>
            <w:tcW w:w="0" w:type="dxa"/>
            <w:vAlign w:val="bottom"/>
          </w:tcPr>
          <w:p>
            <w:pPr>
              <w:spacing w:after="0"/>
              <w:rPr>
                <w:sz w:val="1"/>
                <w:szCs w:val="1"/>
                <w:color w:val="auto"/>
              </w:rPr>
            </w:pPr>
          </w:p>
        </w:tc>
      </w:tr>
      <w:tr>
        <w:trPr>
          <w:trHeight w:val="242"/>
        </w:trPr>
        <w:tc>
          <w:tcPr>
            <w:tcW w:w="1920" w:type="dxa"/>
            <w:vAlign w:val="bottom"/>
          </w:tcPr>
          <w:p>
            <w:pPr>
              <w:ind w:left="40"/>
              <w:spacing w:after="0"/>
              <w:rPr>
                <w:sz w:val="20"/>
                <w:szCs w:val="20"/>
                <w:color w:val="auto"/>
              </w:rPr>
            </w:pPr>
            <w:r>
              <w:rPr>
                <w:rFonts w:ascii="Arial" w:cs="Arial" w:eastAsia="Arial" w:hAnsi="Arial"/>
                <w:sz w:val="18"/>
                <w:szCs w:val="18"/>
                <w:color w:val="auto"/>
              </w:rPr>
              <w:t>2013</w:t>
            </w:r>
          </w:p>
        </w:tc>
        <w:tc>
          <w:tcPr>
            <w:tcW w:w="240" w:type="dxa"/>
            <w:vAlign w:val="bottom"/>
            <w:tcBorders>
              <w:bottom w:val="single" w:sz="8" w:color="auto"/>
            </w:tcBorders>
            <w:vMerge w:val="continue"/>
          </w:tcPr>
          <w:p>
            <w:pPr>
              <w:spacing w:after="0"/>
              <w:rPr>
                <w:sz w:val="20"/>
                <w:szCs w:val="20"/>
                <w:color w:val="auto"/>
              </w:rPr>
            </w:pPr>
          </w:p>
        </w:tc>
        <w:tc>
          <w:tcPr>
            <w:tcW w:w="42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5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46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vMerge w:val="continue"/>
          </w:tcPr>
          <w:p>
            <w:pPr>
              <w:spacing w:after="0"/>
              <w:rPr>
                <w:sz w:val="20"/>
                <w:szCs w:val="20"/>
                <w:color w:val="auto"/>
              </w:rPr>
            </w:pPr>
          </w:p>
        </w:tc>
        <w:tc>
          <w:tcPr>
            <w:tcW w:w="8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vMerge w:val="continue"/>
          </w:tcPr>
          <w:p>
            <w:pPr>
              <w:spacing w:after="0"/>
              <w:rPr>
                <w:sz w:val="20"/>
                <w:szCs w:val="20"/>
                <w:color w:val="auto"/>
              </w:rPr>
            </w:pPr>
          </w:p>
        </w:tc>
        <w:tc>
          <w:tcPr>
            <w:tcW w:w="84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Notes:</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51" w:lineRule="exact"/>
        <w:rPr>
          <w:sz w:val="20"/>
          <w:szCs w:val="20"/>
          <w:color w:val="auto"/>
        </w:rPr>
      </w:pPr>
    </w:p>
    <w:p>
      <w:pPr>
        <w:ind w:left="660" w:hanging="652"/>
        <w:spacing w:after="0"/>
        <w:tabs>
          <w:tab w:leader="none" w:pos="660" w:val="left"/>
        </w:tabs>
        <w:numPr>
          <w:ilvl w:val="0"/>
          <w:numId w:val="4"/>
        </w:numPr>
        <w:rPr>
          <w:rFonts w:ascii="Arial" w:cs="Arial" w:eastAsia="Arial" w:hAnsi="Arial"/>
          <w:sz w:val="14"/>
          <w:szCs w:val="14"/>
          <w:color w:val="auto"/>
        </w:rPr>
      </w:pPr>
      <w:r>
        <w:rPr>
          <w:rFonts w:ascii="Arial" w:cs="Arial" w:eastAsia="Arial" w:hAnsi="Arial"/>
          <w:sz w:val="14"/>
          <w:szCs w:val="14"/>
          <w:color w:val="auto"/>
        </w:rPr>
        <w:t>See Note 11 for details on the Company's Cumulative Redeemable Preferred Stock.</w:t>
      </w:r>
    </w:p>
    <w:p>
      <w:pPr>
        <w:spacing w:after="0" w:line="13" w:lineRule="exact"/>
        <w:rPr>
          <w:rFonts w:ascii="Arial" w:cs="Arial" w:eastAsia="Arial" w:hAnsi="Arial"/>
          <w:sz w:val="14"/>
          <w:szCs w:val="14"/>
          <w:color w:val="auto"/>
        </w:rPr>
      </w:pPr>
    </w:p>
    <w:p>
      <w:pPr>
        <w:ind w:left="660" w:hanging="652"/>
        <w:spacing w:after="0"/>
        <w:tabs>
          <w:tab w:leader="none" w:pos="660" w:val="left"/>
        </w:tabs>
        <w:numPr>
          <w:ilvl w:val="0"/>
          <w:numId w:val="4"/>
        </w:numPr>
        <w:rPr>
          <w:rFonts w:ascii="Arial" w:cs="Arial" w:eastAsia="Arial" w:hAnsi="Arial"/>
          <w:sz w:val="13"/>
          <w:szCs w:val="13"/>
          <w:color w:val="auto"/>
        </w:rPr>
      </w:pPr>
      <w:r>
        <w:rPr>
          <w:rFonts w:ascii="Arial" w:cs="Arial" w:eastAsia="Arial" w:hAnsi="Arial"/>
          <w:sz w:val="13"/>
          <w:szCs w:val="13"/>
          <w:color w:val="auto"/>
        </w:rPr>
        <w:t>For the three months ended March 31, 2014 and 2013, net loss shown above excludes $484 and $519, respectively, of net loss attributable to redeemable noncontrolling interests.</w:t>
      </w:r>
    </w:p>
    <w:p>
      <w:pPr>
        <w:spacing w:after="0" w:line="12" w:lineRule="exact"/>
        <w:rPr>
          <w:rFonts w:ascii="Arial" w:cs="Arial" w:eastAsia="Arial" w:hAnsi="Arial"/>
          <w:sz w:val="13"/>
          <w:szCs w:val="13"/>
          <w:color w:val="auto"/>
        </w:rPr>
      </w:pPr>
    </w:p>
    <w:p>
      <w:pPr>
        <w:ind w:left="660" w:hanging="652"/>
        <w:spacing w:after="0"/>
        <w:tabs>
          <w:tab w:leader="none" w:pos="66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Includes $9.4 million of operating property assets contributed by a noncontrolling partner (see Note 4).</w:t>
      </w:r>
    </w:p>
    <w:p>
      <w:pPr>
        <w:spacing w:after="0" w:line="1" w:lineRule="exact"/>
        <w:rPr>
          <w:rFonts w:ascii="Arial" w:cs="Arial" w:eastAsia="Arial" w:hAnsi="Arial"/>
          <w:sz w:val="14"/>
          <w:szCs w:val="14"/>
          <w:color w:val="auto"/>
        </w:rPr>
      </w:pPr>
    </w:p>
    <w:p>
      <w:pPr>
        <w:ind w:left="660" w:hanging="652"/>
        <w:spacing w:after="0"/>
        <w:tabs>
          <w:tab w:leader="none" w:pos="66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Includes an $8.8 million payment to redeem a noncontrolling member's interest.</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40" w:type="dxa"/>
            <w:vAlign w:val="bottom"/>
          </w:tcPr>
          <w:p>
            <w:pPr>
              <w:spacing w:after="0"/>
              <w:rPr>
                <w:sz w:val="18"/>
                <w:szCs w:val="18"/>
                <w:color w:val="auto"/>
              </w:rPr>
            </w:pPr>
          </w:p>
        </w:tc>
        <w:tc>
          <w:tcPr>
            <w:tcW w:w="3980" w:type="dxa"/>
            <w:vAlign w:val="bottom"/>
            <w:gridSpan w:val="5"/>
          </w:tcPr>
          <w:p>
            <w:pPr>
              <w:jc w:val="right"/>
              <w:ind w:right="510"/>
              <w:spacing w:after="0"/>
              <w:rPr>
                <w:sz w:val="20"/>
                <w:szCs w:val="20"/>
                <w:color w:val="auto"/>
              </w:rPr>
            </w:pPr>
            <w:r>
              <w:rPr>
                <w:rFonts w:ascii="Arial" w:cs="Arial" w:eastAsia="Arial" w:hAnsi="Arial"/>
                <w:sz w:val="16"/>
                <w:szCs w:val="16"/>
                <w:b w:val="1"/>
                <w:bCs w:val="1"/>
                <w:color w:val="auto"/>
              </w:rPr>
              <w:t>For the Three Months Ended March 31,</w:t>
            </w:r>
          </w:p>
        </w:tc>
      </w:tr>
      <w:tr>
        <w:trPr>
          <w:trHeight w:val="33"/>
        </w:trPr>
        <w:tc>
          <w:tcPr>
            <w:tcW w:w="744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1"/>
        </w:trPr>
        <w:tc>
          <w:tcPr>
            <w:tcW w:w="74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2014</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80" w:type="dxa"/>
            <w:vAlign w:val="bottom"/>
          </w:tcPr>
          <w:p>
            <w:pPr>
              <w:jc w:val="right"/>
              <w:ind w:right="710"/>
              <w:spacing w:after="0"/>
              <w:rPr>
                <w:sz w:val="20"/>
                <w:szCs w:val="20"/>
                <w:color w:val="auto"/>
              </w:rPr>
            </w:pPr>
            <w:r>
              <w:rPr>
                <w:rFonts w:ascii="Arial" w:cs="Arial" w:eastAsia="Arial" w:hAnsi="Arial"/>
                <w:sz w:val="16"/>
                <w:szCs w:val="16"/>
                <w:b w:val="1"/>
                <w:bCs w:val="1"/>
                <w:color w:val="auto"/>
              </w:rPr>
              <w:t>2013</w:t>
            </w:r>
          </w:p>
        </w:tc>
      </w:tr>
      <w:tr>
        <w:trPr>
          <w:trHeight w:val="33"/>
        </w:trPr>
        <w:tc>
          <w:tcPr>
            <w:tcW w:w="744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1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1160" w:type="dxa"/>
            <w:vAlign w:val="bottom"/>
          </w:tcPr>
          <w:p>
            <w:pPr>
              <w:jc w:val="right"/>
              <w:ind w:right="954"/>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(14,177)</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(32,253)</w:t>
            </w:r>
          </w:p>
        </w:tc>
      </w:tr>
      <w:tr>
        <w:trPr>
          <w:trHeight w:val="27"/>
        </w:trPr>
        <w:tc>
          <w:tcPr>
            <w:tcW w:w="7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income (loss) to cash flows from operating activities:</w:t>
            </w:r>
          </w:p>
        </w:tc>
        <w:tc>
          <w:tcPr>
            <w:tcW w:w="1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Provision for (recovery of) loan losses</w:t>
            </w:r>
          </w:p>
        </w:tc>
        <w:tc>
          <w:tcPr>
            <w:tcW w:w="1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(3,400)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10,206</w:t>
            </w:r>
          </w:p>
        </w:tc>
      </w:tr>
      <w:tr>
        <w:trPr>
          <w:trHeight w:val="27"/>
        </w:trPr>
        <w:tc>
          <w:tcPr>
            <w:tcW w:w="7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Impairment of assets</w:t>
            </w:r>
          </w:p>
        </w:tc>
        <w:tc>
          <w:tcPr>
            <w:tcW w:w="1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2,979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116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18,613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17,354</w:t>
            </w:r>
          </w:p>
        </w:tc>
      </w:tr>
      <w:tr>
        <w:trPr>
          <w:trHeight w:val="27"/>
        </w:trPr>
        <w:tc>
          <w:tcPr>
            <w:tcW w:w="7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Land cost of sales</w:t>
            </w:r>
          </w:p>
        </w:tc>
        <w:tc>
          <w:tcPr>
            <w:tcW w:w="1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3,654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Payments for withholding taxes upon vesting of stock-based compensation</w:t>
            </w:r>
          </w:p>
        </w:tc>
        <w:tc>
          <w:tcPr>
            <w:tcW w:w="1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(13,456)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(9,894)</w:t>
            </w:r>
          </w:p>
        </w:tc>
      </w:tr>
      <w:tr>
        <w:trPr>
          <w:trHeight w:val="27"/>
        </w:trPr>
        <w:tc>
          <w:tcPr>
            <w:tcW w:w="7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Non-cash expense for stock-based compensation</w:t>
            </w:r>
          </w:p>
        </w:tc>
        <w:tc>
          <w:tcPr>
            <w:tcW w:w="1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2,075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5,202</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Amortization of discounts/premiums and deferred financing costs on debt</w:t>
            </w:r>
          </w:p>
        </w:tc>
        <w:tc>
          <w:tcPr>
            <w:tcW w:w="116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4,668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5,000</w:t>
            </w:r>
          </w:p>
        </w:tc>
      </w:tr>
      <w:tr>
        <w:trPr>
          <w:trHeight w:val="27"/>
        </w:trPr>
        <w:tc>
          <w:tcPr>
            <w:tcW w:w="7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of discounts/premiums and deferred interest on loans</w:t>
            </w:r>
          </w:p>
        </w:tc>
        <w:tc>
          <w:tcPr>
            <w:tcW w:w="1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(12,527)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(6,853)</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Earnings from equity method investments</w:t>
            </w:r>
          </w:p>
        </w:tc>
        <w:tc>
          <w:tcPr>
            <w:tcW w:w="1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(3,177)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(21,678)</w:t>
            </w:r>
          </w:p>
        </w:tc>
      </w:tr>
      <w:tr>
        <w:trPr>
          <w:trHeight w:val="27"/>
        </w:trPr>
        <w:tc>
          <w:tcPr>
            <w:tcW w:w="7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Distributions from operations of equity method investments</w:t>
            </w:r>
          </w:p>
        </w:tc>
        <w:tc>
          <w:tcPr>
            <w:tcW w:w="1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8,630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6,109</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Deferred operating lease income</w:t>
            </w:r>
          </w:p>
        </w:tc>
        <w:tc>
          <w:tcPr>
            <w:tcW w:w="1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(2,691)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(3,592)</w:t>
            </w:r>
          </w:p>
        </w:tc>
      </w:tr>
      <w:tr>
        <w:trPr>
          <w:trHeight w:val="27"/>
        </w:trPr>
        <w:tc>
          <w:tcPr>
            <w:tcW w:w="7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from sales of residential property</w:t>
            </w:r>
          </w:p>
        </w:tc>
        <w:tc>
          <w:tcPr>
            <w:tcW w:w="1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(16,494)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(23,697)</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Gain from discontinued operations</w:t>
            </w:r>
          </w:p>
        </w:tc>
        <w:tc>
          <w:tcPr>
            <w:tcW w:w="116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(5,044)</w:t>
            </w:r>
          </w:p>
        </w:tc>
      </w:tr>
      <w:tr>
        <w:trPr>
          <w:trHeight w:val="27"/>
        </w:trPr>
        <w:tc>
          <w:tcPr>
            <w:tcW w:w="7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 on early extinguishment of debt, net</w:t>
            </w:r>
          </w:p>
        </w:tc>
        <w:tc>
          <w:tcPr>
            <w:tcW w:w="1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9,541</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Repayments and repurchases of debt—debt discount and prepayment penalty</w:t>
            </w:r>
          </w:p>
        </w:tc>
        <w:tc>
          <w:tcPr>
            <w:tcW w:w="1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(660)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(20,057)</w:t>
            </w:r>
          </w:p>
        </w:tc>
      </w:tr>
      <w:tr>
        <w:trPr>
          <w:trHeight w:val="27"/>
        </w:trPr>
        <w:tc>
          <w:tcPr>
            <w:tcW w:w="7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operating activities, net</w:t>
            </w:r>
          </w:p>
        </w:tc>
        <w:tc>
          <w:tcPr>
            <w:tcW w:w="1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1,537</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Changes in assets and liabilities:</w:t>
            </w:r>
          </w:p>
        </w:tc>
        <w:tc>
          <w:tcPr>
            <w:tcW w:w="1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7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Changes in accrued interest and operating lease income receivable, net</w:t>
            </w:r>
          </w:p>
        </w:tc>
        <w:tc>
          <w:tcPr>
            <w:tcW w:w="1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973</w:t>
            </w: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color w:val="auto"/>
              </w:rPr>
              <w:t>Changes in deferred expenses and other assets, net</w:t>
            </w:r>
          </w:p>
        </w:tc>
        <w:tc>
          <w:tcPr>
            <w:tcW w:w="116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6,418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(12,420)</w:t>
            </w:r>
          </w:p>
        </w:tc>
      </w:tr>
      <w:tr>
        <w:trPr>
          <w:trHeight w:val="27"/>
        </w:trPr>
        <w:tc>
          <w:tcPr>
            <w:tcW w:w="7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Changes in accounts payable, accrued expenses and other liabilities</w:t>
            </w:r>
          </w:p>
        </w:tc>
        <w:tc>
          <w:tcPr>
            <w:tcW w:w="11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(42,714)</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(4,125)</w:t>
            </w:r>
          </w:p>
        </w:tc>
      </w:tr>
      <w:tr>
        <w:trPr>
          <w:trHeight w:val="237"/>
        </w:trPr>
        <w:tc>
          <w:tcPr>
            <w:tcW w:w="7440" w:type="dxa"/>
            <w:vAlign w:val="bottom"/>
          </w:tcPr>
          <w:p>
            <w:pPr>
              <w:ind w:left="280"/>
              <w:spacing w:after="0"/>
              <w:rPr>
                <w:sz w:val="20"/>
                <w:szCs w:val="20"/>
                <w:color w:val="auto"/>
              </w:rPr>
            </w:pPr>
            <w:r>
              <w:rPr>
                <w:rFonts w:ascii="Arial" w:cs="Arial" w:eastAsia="Arial" w:hAnsi="Arial"/>
                <w:sz w:val="18"/>
                <w:szCs w:val="18"/>
                <w:color w:val="auto"/>
              </w:rPr>
              <w:t>Cash flows from operating activities</w:t>
            </w:r>
          </w:p>
        </w:tc>
        <w:tc>
          <w:tcPr>
            <w:tcW w:w="11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(60,678)</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(83,691)</w:t>
            </w:r>
          </w:p>
        </w:tc>
      </w:tr>
      <w:tr>
        <w:trPr>
          <w:trHeight w:val="27"/>
        </w:trPr>
        <w:tc>
          <w:tcPr>
            <w:tcW w:w="744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investing activities:</w:t>
            </w:r>
          </w:p>
        </w:tc>
        <w:tc>
          <w:tcPr>
            <w:tcW w:w="1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Investment originations and fundings</w:t>
            </w:r>
          </w:p>
        </w:tc>
        <w:tc>
          <w:tcPr>
            <w:tcW w:w="1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3"/>
              </w:rPr>
              <w:t>(193,943)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(13,321)</w:t>
            </w:r>
          </w:p>
        </w:tc>
      </w:tr>
      <w:tr>
        <w:trPr>
          <w:trHeight w:val="27"/>
        </w:trPr>
        <w:tc>
          <w:tcPr>
            <w:tcW w:w="7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Acquisitions of and capital expenditures on real estate assets</w:t>
            </w:r>
          </w:p>
        </w:tc>
        <w:tc>
          <w:tcPr>
            <w:tcW w:w="1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(30,314)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(25,104)</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Repayments of and principal collections on loans</w:t>
            </w:r>
          </w:p>
        </w:tc>
        <w:tc>
          <w:tcPr>
            <w:tcW w:w="116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102,928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193,288</w:t>
            </w:r>
          </w:p>
        </w:tc>
      </w:tr>
      <w:tr>
        <w:trPr>
          <w:trHeight w:val="27"/>
        </w:trPr>
        <w:tc>
          <w:tcPr>
            <w:tcW w:w="7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proceeds from sales of loans</w:t>
            </w:r>
          </w:p>
        </w:tc>
        <w:tc>
          <w:tcPr>
            <w:tcW w:w="1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37,703</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Net proceeds from sales of real estate</w:t>
            </w:r>
          </w:p>
        </w:tc>
        <w:tc>
          <w:tcPr>
            <w:tcW w:w="116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157,090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107,192</w:t>
            </w:r>
          </w:p>
        </w:tc>
      </w:tr>
      <w:tr>
        <w:trPr>
          <w:trHeight w:val="27"/>
        </w:trPr>
        <w:tc>
          <w:tcPr>
            <w:tcW w:w="7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Distributions from other investments</w:t>
            </w:r>
          </w:p>
        </w:tc>
        <w:tc>
          <w:tcPr>
            <w:tcW w:w="1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19,558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13,024</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Contributions to other investments</w:t>
            </w:r>
          </w:p>
        </w:tc>
        <w:tc>
          <w:tcPr>
            <w:tcW w:w="1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(22,978)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(1,448)</w:t>
            </w:r>
          </w:p>
        </w:tc>
      </w:tr>
      <w:tr>
        <w:trPr>
          <w:trHeight w:val="27"/>
        </w:trPr>
        <w:tc>
          <w:tcPr>
            <w:tcW w:w="7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investing activities, net</w:t>
            </w:r>
          </w:p>
        </w:tc>
        <w:tc>
          <w:tcPr>
            <w:tcW w:w="11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(1,023)</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w:t>
            </w:r>
          </w:p>
        </w:tc>
      </w:tr>
      <w:tr>
        <w:trPr>
          <w:trHeight w:val="237"/>
        </w:trPr>
        <w:tc>
          <w:tcPr>
            <w:tcW w:w="7440" w:type="dxa"/>
            <w:vAlign w:val="bottom"/>
          </w:tcPr>
          <w:p>
            <w:pPr>
              <w:ind w:left="280"/>
              <w:spacing w:after="0"/>
              <w:rPr>
                <w:sz w:val="20"/>
                <w:szCs w:val="20"/>
                <w:color w:val="auto"/>
              </w:rPr>
            </w:pPr>
            <w:r>
              <w:rPr>
                <w:rFonts w:ascii="Arial" w:cs="Arial" w:eastAsia="Arial" w:hAnsi="Arial"/>
                <w:sz w:val="18"/>
                <w:szCs w:val="18"/>
                <w:color w:val="auto"/>
              </w:rPr>
              <w:t>Cash flows from investing activities</w:t>
            </w:r>
          </w:p>
        </w:tc>
        <w:tc>
          <w:tcPr>
            <w:tcW w:w="11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31,318</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311,477</w:t>
            </w:r>
          </w:p>
        </w:tc>
      </w:tr>
      <w:tr>
        <w:trPr>
          <w:trHeight w:val="27"/>
        </w:trPr>
        <w:tc>
          <w:tcPr>
            <w:tcW w:w="744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financing activities:</w:t>
            </w:r>
          </w:p>
        </w:tc>
        <w:tc>
          <w:tcPr>
            <w:tcW w:w="1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Borrowings from debt obligations</w:t>
            </w:r>
          </w:p>
        </w:tc>
        <w:tc>
          <w:tcPr>
            <w:tcW w:w="116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2,067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658,700</w:t>
            </w:r>
          </w:p>
        </w:tc>
      </w:tr>
      <w:tr>
        <w:trPr>
          <w:trHeight w:val="27"/>
        </w:trPr>
        <w:tc>
          <w:tcPr>
            <w:tcW w:w="7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Repayments of debt obligations</w:t>
            </w:r>
          </w:p>
        </w:tc>
        <w:tc>
          <w:tcPr>
            <w:tcW w:w="1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(60,863)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(846,562)</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Preferred dividends paid</w:t>
            </w:r>
          </w:p>
        </w:tc>
        <w:tc>
          <w:tcPr>
            <w:tcW w:w="1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(12,830)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(10,580)</w:t>
            </w:r>
          </w:p>
        </w:tc>
      </w:tr>
      <w:tr>
        <w:trPr>
          <w:trHeight w:val="27"/>
        </w:trPr>
        <w:tc>
          <w:tcPr>
            <w:tcW w:w="7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issuance of preferred stock</w:t>
            </w:r>
          </w:p>
        </w:tc>
        <w:tc>
          <w:tcPr>
            <w:tcW w:w="1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193,510</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Other financing activities, net</w:t>
            </w:r>
          </w:p>
        </w:tc>
        <w:tc>
          <w:tcPr>
            <w:tcW w:w="1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(2,984)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(10,804)</w:t>
            </w:r>
          </w:p>
        </w:tc>
      </w:tr>
      <w:tr>
        <w:trPr>
          <w:trHeight w:val="27"/>
        </w:trPr>
        <w:tc>
          <w:tcPr>
            <w:tcW w:w="744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4"/>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flows from financing activities</w:t>
            </w:r>
          </w:p>
        </w:tc>
        <w:tc>
          <w:tcPr>
            <w:tcW w:w="11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(74,610)</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(15,736)</w:t>
            </w:r>
          </w:p>
        </w:tc>
      </w:tr>
      <w:tr>
        <w:trPr>
          <w:trHeight w:val="237"/>
        </w:trPr>
        <w:tc>
          <w:tcPr>
            <w:tcW w:w="7440" w:type="dxa"/>
            <w:vAlign w:val="bottom"/>
          </w:tcPr>
          <w:p>
            <w:pPr>
              <w:ind w:left="180"/>
              <w:spacing w:after="0"/>
              <w:rPr>
                <w:sz w:val="20"/>
                <w:szCs w:val="20"/>
                <w:color w:val="auto"/>
              </w:rPr>
            </w:pPr>
            <w:r>
              <w:rPr>
                <w:rFonts w:ascii="Arial" w:cs="Arial" w:eastAsia="Arial" w:hAnsi="Arial"/>
                <w:sz w:val="18"/>
                <w:szCs w:val="18"/>
                <w:color w:val="auto"/>
              </w:rPr>
              <w:t>Changes in cash and cash equivalents</w:t>
            </w:r>
          </w:p>
        </w:tc>
        <w:tc>
          <w:tcPr>
            <w:tcW w:w="11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(103,970)</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212,050</w:t>
            </w:r>
          </w:p>
        </w:tc>
      </w:tr>
      <w:tr>
        <w:trPr>
          <w:trHeight w:val="27"/>
        </w:trPr>
        <w:tc>
          <w:tcPr>
            <w:tcW w:w="7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and cash equivalents at beginning of period</w:t>
            </w:r>
          </w:p>
        </w:tc>
        <w:tc>
          <w:tcPr>
            <w:tcW w:w="11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513,568</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256,344</w:t>
            </w:r>
          </w:p>
        </w:tc>
      </w:tr>
      <w:tr>
        <w:trPr>
          <w:trHeight w:val="257"/>
        </w:trPr>
        <w:tc>
          <w:tcPr>
            <w:tcW w:w="7440" w:type="dxa"/>
            <w:vAlign w:val="bottom"/>
          </w:tcPr>
          <w:p>
            <w:pPr>
              <w:ind w:left="180"/>
              <w:spacing w:after="0"/>
              <w:rPr>
                <w:sz w:val="20"/>
                <w:szCs w:val="20"/>
                <w:color w:val="auto"/>
              </w:rPr>
            </w:pPr>
            <w:r>
              <w:rPr>
                <w:rFonts w:ascii="Arial" w:cs="Arial" w:eastAsia="Arial" w:hAnsi="Arial"/>
                <w:sz w:val="18"/>
                <w:szCs w:val="18"/>
                <w:color w:val="auto"/>
              </w:rPr>
              <w:t>Cash and cash equivalents at end of period</w:t>
            </w:r>
          </w:p>
        </w:tc>
        <w:tc>
          <w:tcPr>
            <w:tcW w:w="1160" w:type="dxa"/>
            <w:vAlign w:val="bottom"/>
            <w:tcBorders>
              <w:top w:val="single" w:sz="8" w:color="auto"/>
              <w:bottom w:val="single" w:sz="8" w:color="auto"/>
            </w:tcBorders>
          </w:tcPr>
          <w:p>
            <w:pPr>
              <w:jc w:val="right"/>
              <w:ind w:right="954"/>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409,598</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468,394</w:t>
            </w:r>
          </w:p>
        </w:tc>
      </w:tr>
      <w:tr>
        <w:trPr>
          <w:trHeight w:val="20"/>
        </w:trPr>
        <w:tc>
          <w:tcPr>
            <w:tcW w:w="74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ectPr>
          <w:pgSz w:w="11900" w:h="16838" w:orient="portrait"/>
          <w:cols w:equalWidth="0" w:num="1">
            <w:col w:w="11420"/>
          </w:cols>
          <w:pgMar w:left="240" w:top="125" w:right="239" w:bottom="1138"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125" w:right="239" w:bottom="1138" w:gutter="0" w:footer="0" w:header="0"/>
          <w:type w:val="continuous"/>
        </w:sectPr>
      </w:pPr>
    </w:p>
    <w:bookmarkStart w:id="8" w:name="page9"/>
    <w:bookmarkEnd w:id="8"/>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1—Business and Organization</w:t>
      </w:r>
    </w:p>
    <w:p>
      <w:pPr>
        <w:spacing w:after="0" w:line="225" w:lineRule="exact"/>
        <w:rPr>
          <w:sz w:val="20"/>
          <w:szCs w:val="20"/>
          <w:color w:val="auto"/>
        </w:rPr>
      </w:pPr>
    </w:p>
    <w:p>
      <w:pPr>
        <w:jc w:val="both"/>
        <w:ind w:firstLine="432"/>
        <w:spacing w:after="0" w:line="281" w:lineRule="auto"/>
        <w:rPr>
          <w:sz w:val="20"/>
          <w:szCs w:val="20"/>
          <w:color w:val="auto"/>
        </w:rPr>
      </w:pPr>
      <w:r>
        <w:rPr>
          <w:rFonts w:ascii="Arial" w:cs="Arial" w:eastAsia="Arial" w:hAnsi="Arial"/>
          <w:sz w:val="17"/>
          <w:szCs w:val="17"/>
          <w:b w:val="1"/>
          <w:bCs w:val="1"/>
          <w:color w:val="auto"/>
        </w:rPr>
        <w:t>Business</w:t>
      </w:r>
      <w:r>
        <w:rPr>
          <w:rFonts w:ascii="Arial" w:cs="Arial" w:eastAsia="Arial" w:hAnsi="Arial"/>
          <w:sz w:val="17"/>
          <w:szCs w:val="17"/>
          <w:color w:val="auto"/>
        </w:rPr>
        <w:t>—iStar Financial Inc., or the "Company," is a fully-integrated finance and investment company focused on the commercial real estate industry.</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provides custom-tailored investment capital to high-end private and corporate owners of real estate and invests directly across a range of real estate sectors. The Company, which is taxed as a real estate investment trust, or "REIT," has invested more than $35 billion over the past two decades. The Company's primary business segments are real estate finance, net lease, operating properties and land (see Note 15).</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Organization</w:t>
      </w:r>
      <w:r>
        <w:rPr>
          <w:rFonts w:ascii="Arial" w:cs="Arial" w:eastAsia="Arial" w:hAnsi="Arial"/>
          <w:sz w:val="16"/>
          <w:szCs w:val="16"/>
          <w:color w:val="auto"/>
        </w:rPr>
        <w:t>—The Company began its business in 1993 through the management of private investment funds and became publicly traded in 1998.</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color w:val="auto"/>
        </w:rPr>
        <w:t>Since that time, the Company has grown through the origination of new lending and leasing transactions, as well as through corporate acquisitions.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2—Basis of Presentation and Principles of Consolidation</w:t>
      </w:r>
    </w:p>
    <w:p>
      <w:pPr>
        <w:spacing w:after="0" w:line="144" w:lineRule="exact"/>
        <w:rPr>
          <w:sz w:val="20"/>
          <w:szCs w:val="20"/>
          <w:color w:val="auto"/>
        </w:rPr>
      </w:pPr>
    </w:p>
    <w:p>
      <w:pPr>
        <w:jc w:val="both"/>
        <w:ind w:firstLine="432"/>
        <w:spacing w:after="0" w:line="258" w:lineRule="auto"/>
        <w:rPr>
          <w:sz w:val="20"/>
          <w:szCs w:val="20"/>
          <w:color w:val="auto"/>
        </w:rPr>
      </w:pPr>
      <w:r>
        <w:rPr>
          <w:rFonts w:ascii="Arial" w:cs="Arial" w:eastAsia="Arial" w:hAnsi="Arial"/>
          <w:sz w:val="18"/>
          <w:szCs w:val="18"/>
          <w:b w:val="1"/>
          <w:bCs w:val="1"/>
          <w:color w:val="auto"/>
        </w:rPr>
        <w:t>Basis of Presentation</w:t>
      </w:r>
      <w:r>
        <w:rPr>
          <w:rFonts w:ascii="Arial" w:cs="Arial" w:eastAsia="Arial" w:hAnsi="Arial"/>
          <w:sz w:val="18"/>
          <w:szCs w:val="18"/>
          <w:color w:val="auto"/>
        </w:rPr>
        <w:t>—The accompanying unaudited Consolidated Financial Statements have been prepared in conformity with the instructions to</w:t>
      </w:r>
      <w:r>
        <w:rPr>
          <w:rFonts w:ascii="Arial" w:cs="Arial" w:eastAsia="Arial" w:hAnsi="Arial"/>
          <w:sz w:val="18"/>
          <w:szCs w:val="18"/>
          <w:b w:val="1"/>
          <w:bCs w:val="1"/>
          <w:color w:val="auto"/>
        </w:rPr>
        <w:t xml:space="preserve"> </w:t>
      </w:r>
      <w:r>
        <w:rPr>
          <w:rFonts w:ascii="Arial" w:cs="Arial" w:eastAsia="Arial" w:hAnsi="Arial"/>
          <w:sz w:val="18"/>
          <w:szCs w:val="18"/>
          <w:color w:val="auto"/>
        </w:rPr>
        <w:t>Form 10-Q and Article 10-01 of Regulation S-X for interim financial statements. Accordingly, they do not include all the information and footnotes required by generally accepted accounting principles in the United States of America ("GAAP") for complete financial statements. These unaudited Consolidated Financial Statements and related Notes should be read in conjunction with the Consolidated Financial Statements and related Notes included in the Company's Annual Report on Form 10-K for the year ended December 31, 2013.</w:t>
      </w:r>
    </w:p>
    <w:p>
      <w:pPr>
        <w:spacing w:after="0" w:line="10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dates of the financial statements and the reported amounts of revenues and expenses during the reporting periods. Actual results could differ from those estimates.</w:t>
      </w:r>
    </w:p>
    <w:p>
      <w:pPr>
        <w:spacing w:after="0" w:line="14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In the opinion of management, the accompanying Consolidated Financial Statements contain all adjustments, consisting of normal recurring adjustments necessary for a fair statement of the results for the interim periods presented. Such operating results may not be indicative of the expected results for any other interim periods or the entire year.</w:t>
      </w:r>
    </w:p>
    <w:p>
      <w:pPr>
        <w:spacing w:after="0" w:line="14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Certain prior year amounts have been reclassified in the Consolidated Financial Statements and the related Notes to conform to the 2014 presentation.</w:t>
      </w:r>
    </w:p>
    <w:p>
      <w:pPr>
        <w:spacing w:after="0" w:line="204"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8"/>
          <w:szCs w:val="18"/>
          <w:b w:val="1"/>
          <w:bCs w:val="1"/>
          <w:color w:val="auto"/>
        </w:rPr>
        <w:t>Principles of Consolidation</w:t>
      </w:r>
      <w:r>
        <w:rPr>
          <w:rFonts w:ascii="Arial" w:cs="Arial" w:eastAsia="Arial" w:hAnsi="Arial"/>
          <w:sz w:val="18"/>
          <w:szCs w:val="18"/>
          <w:color w:val="auto"/>
        </w:rPr>
        <w:t>—The Consolidated Financial Statements include the financial statements of the Company, its wholly owned subsidiaries,</w:t>
      </w:r>
      <w:r>
        <w:rPr>
          <w:rFonts w:ascii="Arial" w:cs="Arial" w:eastAsia="Arial" w:hAnsi="Arial"/>
          <w:sz w:val="18"/>
          <w:szCs w:val="18"/>
          <w:b w:val="1"/>
          <w:bCs w:val="1"/>
          <w:color w:val="auto"/>
        </w:rPr>
        <w:t xml:space="preserve"> </w:t>
      </w:r>
      <w:r>
        <w:rPr>
          <w:rFonts w:ascii="Arial" w:cs="Arial" w:eastAsia="Arial" w:hAnsi="Arial"/>
          <w:sz w:val="18"/>
          <w:szCs w:val="18"/>
          <w:color w:val="auto"/>
        </w:rPr>
        <w:t>controlled partnerships and variable interest entities ("VIEs") for which the Company is the primary beneficiary. All significant intercompany balances and transactions have been eliminated in consolidation. The Company's involvement with VIEs affects its financial performance and cash flows primarily through amounts recorded in "operating lease income," "earnings from equity method investments," "other income," "real estate expense" and "interest expense" in the Company's Consolidated Statements of Operations. The Company has not provided financial support to these VIEs that it was not previously contractually required to provide.</w:t>
      </w:r>
    </w:p>
    <w:p>
      <w:pPr>
        <w:spacing w:after="0" w:line="192"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b w:val="1"/>
          <w:bCs w:val="1"/>
          <w:i w:val="1"/>
          <w:iCs w:val="1"/>
          <w:color w:val="auto"/>
        </w:rPr>
        <w:t>Consolidated VIEs</w:t>
      </w:r>
      <w:r>
        <w:rPr>
          <w:rFonts w:ascii="Arial" w:cs="Arial" w:eastAsia="Arial" w:hAnsi="Arial"/>
          <w:sz w:val="16"/>
          <w:szCs w:val="16"/>
          <w:color w:val="auto"/>
        </w:rPr>
        <w:t>—As of March 31, 2014, the Company consolidated 5 VIEs for which the Company is considered the primary beneficiary. 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March 31, 2014, the total assets of these consolidated VIEs were $212.9 million and total liabilities were $34.1 million. The classifications of these assets are primarily within "real estate, net," "loans receivable and other lending investments, net" and "other investments" on the Company's Consolidated Balance Sheets. The classifications of liabilities are primarily within "debt obligations, net," and "accounts payable, accrued expenses and other liabilities" on the Company's Consolidated Balance Sheets. The liabilities of these VIEs are non-recourse to the Company and can only be satisfied from each VIE's respective assets. The Company's total unfunded commitments related to consolidated VIEs was $38.8 million as of March 31, 2014.</w:t>
      </w:r>
    </w:p>
    <w:p>
      <w:pPr>
        <w:spacing w:after="0" w:line="16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b w:val="1"/>
          <w:bCs w:val="1"/>
          <w:i w:val="1"/>
          <w:iCs w:val="1"/>
          <w:color w:val="auto"/>
        </w:rPr>
        <w:t>Unconsolidated VIEs</w:t>
      </w:r>
      <w:r>
        <w:rPr>
          <w:rFonts w:ascii="Arial" w:cs="Arial" w:eastAsia="Arial" w:hAnsi="Arial"/>
          <w:sz w:val="18"/>
          <w:szCs w:val="18"/>
          <w:color w:val="auto"/>
        </w:rPr>
        <w:t>—As of March 31, 2014, 27 of the Company's investments were in VIEs where it is not the primary beneficiary and accordingly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VIEs have not been consolidated in the Company's Consolidated Financial Statements. As of March 31, 2014, the Company's maximum exposure to loss from these investments does not exceed the sum of the $157.0 million carrying value of the investments, which are classified in "other investments" on the Company's Consolidated Balance Sheets, and $29.4 million of related unfunded commitments.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1" w:right="239" w:bottom="1440" w:gutter="0" w:footer="0" w:header="0"/>
        </w:sectPr>
      </w:pPr>
    </w:p>
    <w:bookmarkStart w:id="9" w:name="page10"/>
    <w:bookmarkEnd w:id="9"/>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3—Summary of Significant Accounting Policies</w:t>
      </w:r>
    </w:p>
    <w:p>
      <w:pPr>
        <w:spacing w:after="0" w:line="229"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As of March 31, 2014, the Company's significant accounting policies, which are detailed in the Company's Annual Report on Form 10-K for the year ended December 31, 2013, have not changed materially other than the policies described below.</w:t>
      </w:r>
    </w:p>
    <w:p>
      <w:pPr>
        <w:spacing w:after="0" w:line="12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Real estate</w:t>
      </w:r>
    </w:p>
    <w:p>
      <w:pPr>
        <w:spacing w:after="0" w:line="18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i w:val="1"/>
          <w:iCs w:val="1"/>
          <w:color w:val="auto"/>
        </w:rPr>
        <w:t>Capitalization—</w:t>
      </w:r>
      <w:r>
        <w:rPr>
          <w:rFonts w:ascii="Arial" w:cs="Arial" w:eastAsia="Arial" w:hAnsi="Arial"/>
          <w:sz w:val="18"/>
          <w:szCs w:val="18"/>
          <w:color w:val="auto"/>
        </w:rPr>
        <w:t>For real estate projects, the Company begins to capitalize qualified development and construction costs, including interest, real estate</w:t>
      </w:r>
      <w:r>
        <w:rPr>
          <w:rFonts w:ascii="Arial" w:cs="Arial" w:eastAsia="Arial" w:hAnsi="Arial"/>
          <w:sz w:val="18"/>
          <w:szCs w:val="18"/>
          <w:i w:val="1"/>
          <w:iCs w:val="1"/>
          <w:color w:val="auto"/>
        </w:rPr>
        <w:t xml:space="preserve"> </w:t>
      </w:r>
      <w:r>
        <w:rPr>
          <w:rFonts w:ascii="Arial" w:cs="Arial" w:eastAsia="Arial" w:hAnsi="Arial"/>
          <w:sz w:val="18"/>
          <w:szCs w:val="18"/>
          <w:color w:val="auto"/>
        </w:rPr>
        <w:t>taxes, compensation and certain other carrying costs incurred which are specifically identifiable to a development project once activities necessary to get the asset ready for its intended use have commenced. If specific allocation of costs is not practicable, the Company will allocate costs based on relative fair value prior to construction or relative sales value, relative size or other value methods as appropriate during construction. The Company ceases capitalization on the portions substantially completed and ready for their intended use.</w:t>
      </w:r>
    </w:p>
    <w:p>
      <w:pPr>
        <w:spacing w:after="0" w:line="188"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i w:val="1"/>
          <w:iCs w:val="1"/>
          <w:color w:val="auto"/>
        </w:rPr>
        <w:t>Dispositions—</w:t>
      </w:r>
      <w:r>
        <w:rPr>
          <w:rFonts w:ascii="Arial" w:cs="Arial" w:eastAsia="Arial" w:hAnsi="Arial"/>
          <w:sz w:val="17"/>
          <w:szCs w:val="17"/>
          <w:color w:val="auto"/>
        </w:rPr>
        <w:t>Revenues from sales of land are recognized in accordance with Accounting Standards Codification ("ASC") 360-20</w:t>
      </w:r>
      <w:r>
        <w:rPr>
          <w:rFonts w:ascii="Arial" w:cs="Arial" w:eastAsia="Arial" w:hAnsi="Arial"/>
          <w:sz w:val="17"/>
          <w:szCs w:val="17"/>
          <w:i w:val="1"/>
          <w:iCs w:val="1"/>
          <w:color w:val="auto"/>
        </w:rPr>
        <w:t>, Real Estate Sales</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Sales of land are recognized for full profit recognition upon closing of the sale transactions, when the profit is determinable, the earnings process is virtually complete, the parties are bound by the terms of the contract, all consideration has been exchanged, any permanent financing for which the seller is responsible has been arranged and all conditions for closing have been performed. Revenues from sales of land are included in "Land sales revenue" and costs of land sales are included in "Land cost of sales" on the Company’s Consolidated Statements of Operations.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89"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In April 2014, the FASB issued ASU 2014-08, "Reporting Discontinued Operations and Disclosures of Disposals of Components of an Entity" ("ASU 2014-08"). This guidance requires disposals of a component of an entity or group of components of an entity that represent a strategic shift that has (or will have) a major effect on an entity's operations and financial results to be reported as discontinued operations. Assets and liabilities of a disposal group that includes a discontinued operation must be presented separately in asset and liability sections, respectively, of the Company's Consolidated Balance Sheets for each comparative period. Expanded disclosures about the assets, liabilities, revenues and expenses of discontinued operations are also required. For individually significant disposals that do not qualify as discontinued operations, disclosure of pre-tax income is required. ASU 2014-08 is effective for interim and annual periods beginning on or after December 15, 2014. Early adoption is permitted for disposals (or classifications as held for sale) that have not been reported in previously-issued financial statements. The Company has elected to early adopt ASU 2014-08 beginning with disposals and classifications of assets as held for sale that occurred after December 31, 2013.</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1" w:right="239" w:bottom="1440" w:gutter="0" w:footer="0" w:header="0"/>
        </w:sectPr>
      </w:pPr>
    </w:p>
    <w:bookmarkStart w:id="10" w:name="page11"/>
    <w:bookmarkEnd w:id="10"/>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4—Real Estate</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Company's real estate assets were comprised of the following ($ in thousands):</w:t>
      </w:r>
    </w:p>
    <w:p>
      <w:pPr>
        <w:spacing w:after="0" w:line="217" w:lineRule="exact"/>
        <w:rPr>
          <w:sz w:val="20"/>
          <w:szCs w:val="20"/>
          <w:color w:val="auto"/>
        </w:rPr>
      </w:pPr>
    </w:p>
    <w:tbl>
      <w:tblPr>
        <w:tblLayout w:type="fixed"/>
        <w:tblInd w:w="420" w:type="dxa"/>
        <w:tblCellMar>
          <w:top w:w="0" w:type="dxa"/>
          <w:left w:w="0" w:type="dxa"/>
          <w:bottom w:w="0" w:type="dxa"/>
          <w:right w:w="0" w:type="dxa"/>
        </w:tblCellMar>
      </w:tblPr>
      <w:tr>
        <w:trPr>
          <w:trHeight w:val="162"/>
        </w:trPr>
        <w:tc>
          <w:tcPr>
            <w:tcW w:w="4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2"/>
          </w:tcPr>
          <w:p>
            <w:pPr>
              <w:ind w:left="160"/>
              <w:spacing w:after="0"/>
              <w:rPr>
                <w:sz w:val="20"/>
                <w:szCs w:val="20"/>
                <w:color w:val="auto"/>
              </w:rPr>
            </w:pPr>
            <w:r>
              <w:rPr>
                <w:rFonts w:ascii="Arial" w:cs="Arial" w:eastAsia="Arial" w:hAnsi="Arial"/>
                <w:sz w:val="14"/>
                <w:szCs w:val="14"/>
                <w:b w:val="1"/>
                <w:bCs w:val="1"/>
                <w:color w:val="auto"/>
              </w:rPr>
              <w:t>Operating</w:t>
            </w: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4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b w:val="1"/>
                <w:bCs w:val="1"/>
                <w:color w:val="auto"/>
              </w:rPr>
              <w:t>Net Lease</w:t>
            </w:r>
          </w:p>
        </w:tc>
        <w:tc>
          <w:tcPr>
            <w:tcW w:w="260" w:type="dxa"/>
            <w:vAlign w:val="bottom"/>
          </w:tcPr>
          <w:p>
            <w:pPr>
              <w:spacing w:after="0"/>
              <w:rPr>
                <w:sz w:val="17"/>
                <w:szCs w:val="17"/>
                <w:color w:val="auto"/>
              </w:rPr>
            </w:pPr>
          </w:p>
        </w:tc>
        <w:tc>
          <w:tcPr>
            <w:tcW w:w="1320" w:type="dxa"/>
            <w:vAlign w:val="bottom"/>
            <w:gridSpan w:val="2"/>
          </w:tcPr>
          <w:p>
            <w:pPr>
              <w:ind w:left="160"/>
              <w:spacing w:after="0"/>
              <w:rPr>
                <w:sz w:val="20"/>
                <w:szCs w:val="20"/>
                <w:color w:val="auto"/>
              </w:rPr>
            </w:pPr>
            <w:r>
              <w:rPr>
                <w:rFonts w:ascii="Arial" w:cs="Arial" w:eastAsia="Arial" w:hAnsi="Arial"/>
                <w:sz w:val="14"/>
                <w:szCs w:val="14"/>
                <w:b w:val="1"/>
                <w:bCs w:val="1"/>
                <w:color w:val="auto"/>
              </w:rPr>
              <w:t>Properties</w:t>
            </w:r>
          </w:p>
        </w:tc>
        <w:tc>
          <w:tcPr>
            <w:tcW w:w="320" w:type="dxa"/>
            <w:vAlign w:val="bottom"/>
          </w:tcPr>
          <w:p>
            <w:pPr>
              <w:spacing w:after="0"/>
              <w:rPr>
                <w:sz w:val="17"/>
                <w:szCs w:val="17"/>
                <w:color w:val="auto"/>
              </w:rPr>
            </w:pPr>
          </w:p>
        </w:tc>
        <w:tc>
          <w:tcPr>
            <w:tcW w:w="1160" w:type="dxa"/>
            <w:vAlign w:val="bottom"/>
            <w:gridSpan w:val="2"/>
          </w:tcPr>
          <w:p>
            <w:pPr>
              <w:ind w:left="200"/>
              <w:spacing w:after="0"/>
              <w:rPr>
                <w:sz w:val="20"/>
                <w:szCs w:val="20"/>
                <w:color w:val="auto"/>
              </w:rPr>
            </w:pPr>
            <w:r>
              <w:rPr>
                <w:rFonts w:ascii="Arial" w:cs="Arial" w:eastAsia="Arial" w:hAnsi="Arial"/>
                <w:sz w:val="14"/>
                <w:szCs w:val="14"/>
                <w:b w:val="1"/>
                <w:bCs w:val="1"/>
                <w:color w:val="auto"/>
              </w:rPr>
              <w:t>Land</w:t>
            </w:r>
          </w:p>
        </w:tc>
        <w:tc>
          <w:tcPr>
            <w:tcW w:w="360" w:type="dxa"/>
            <w:vAlign w:val="bottom"/>
          </w:tcPr>
          <w:p>
            <w:pPr>
              <w:spacing w:after="0"/>
              <w:rPr>
                <w:sz w:val="17"/>
                <w:szCs w:val="17"/>
                <w:color w:val="auto"/>
              </w:rPr>
            </w:pPr>
          </w:p>
        </w:tc>
        <w:tc>
          <w:tcPr>
            <w:tcW w:w="1140" w:type="dxa"/>
            <w:vAlign w:val="bottom"/>
          </w:tcPr>
          <w:p>
            <w:pPr>
              <w:jc w:val="right"/>
              <w:ind w:right="5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4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 of March 31, 2014</w:t>
            </w: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40" w:type="dxa"/>
            <w:vAlign w:val="bottom"/>
          </w:tcPr>
          <w:p>
            <w:pPr>
              <w:ind w:left="20"/>
              <w:spacing w:after="0"/>
              <w:rPr>
                <w:sz w:val="20"/>
                <w:szCs w:val="20"/>
                <w:color w:val="auto"/>
              </w:rPr>
            </w:pPr>
            <w:r>
              <w:rPr>
                <w:rFonts w:ascii="Arial" w:cs="Arial" w:eastAsia="Arial" w:hAnsi="Arial"/>
                <w:sz w:val="18"/>
                <w:szCs w:val="18"/>
                <w:color w:val="auto"/>
              </w:rPr>
              <w:t>Land and land improvements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328,143</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132,934</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809,517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1,270,594</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Buildings and improvements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1,283,103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593,422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1,876,525</w:t>
            </w:r>
          </w:p>
        </w:tc>
        <w:tc>
          <w:tcPr>
            <w:tcW w:w="0" w:type="dxa"/>
            <w:vAlign w:val="bottom"/>
          </w:tcPr>
          <w:p>
            <w:pPr>
              <w:spacing w:after="0"/>
              <w:rPr>
                <w:sz w:val="1"/>
                <w:szCs w:val="1"/>
                <w:color w:val="auto"/>
              </w:rPr>
            </w:pPr>
          </w:p>
        </w:tc>
      </w:tr>
      <w:tr>
        <w:trPr>
          <w:trHeight w:val="243"/>
        </w:trPr>
        <w:tc>
          <w:tcPr>
            <w:tcW w:w="4540" w:type="dxa"/>
            <w:vAlign w:val="bottom"/>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(343,294)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(86,173)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(3,682)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(433,149)</w:t>
            </w:r>
          </w:p>
        </w:tc>
        <w:tc>
          <w:tcPr>
            <w:tcW w:w="0" w:type="dxa"/>
            <w:vAlign w:val="bottom"/>
          </w:tcPr>
          <w:p>
            <w:pPr>
              <w:spacing w:after="0"/>
              <w:rPr>
                <w:sz w:val="1"/>
                <w:szCs w:val="1"/>
                <w:color w:val="auto"/>
              </w:rPr>
            </w:pPr>
          </w:p>
        </w:tc>
      </w:tr>
      <w:tr>
        <w:trPr>
          <w:trHeight w:val="27"/>
        </w:trPr>
        <w:tc>
          <w:tcPr>
            <w:tcW w:w="4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Real estate, net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1,267,952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640,183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805,835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2,713,970</w:t>
            </w:r>
          </w:p>
        </w:tc>
        <w:tc>
          <w:tcPr>
            <w:tcW w:w="0" w:type="dxa"/>
            <w:vAlign w:val="bottom"/>
          </w:tcPr>
          <w:p>
            <w:pPr>
              <w:spacing w:after="0"/>
              <w:rPr>
                <w:sz w:val="1"/>
                <w:szCs w:val="1"/>
                <w:color w:val="auto"/>
              </w:rPr>
            </w:pPr>
          </w:p>
        </w:tc>
      </w:tr>
      <w:tr>
        <w:trPr>
          <w:trHeight w:val="243"/>
        </w:trPr>
        <w:tc>
          <w:tcPr>
            <w:tcW w:w="4540" w:type="dxa"/>
            <w:vAlign w:val="bottom"/>
          </w:tcPr>
          <w:p>
            <w:pPr>
              <w:ind w:left="20"/>
              <w:spacing w:after="0"/>
              <w:rPr>
                <w:sz w:val="20"/>
                <w:szCs w:val="20"/>
                <w:color w:val="auto"/>
              </w:rPr>
            </w:pPr>
            <w:r>
              <w:rPr>
                <w:rFonts w:ascii="Arial" w:cs="Arial" w:eastAsia="Arial" w:hAnsi="Arial"/>
                <w:sz w:val="18"/>
                <w:szCs w:val="18"/>
                <w:color w:val="auto"/>
              </w:rPr>
              <w:t>Real estate available and held for sale</w:t>
            </w:r>
          </w:p>
        </w:tc>
        <w:tc>
          <w:tcPr>
            <w:tcW w:w="26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204,653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130,038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334,691</w:t>
            </w:r>
          </w:p>
        </w:tc>
        <w:tc>
          <w:tcPr>
            <w:tcW w:w="0" w:type="dxa"/>
            <w:vAlign w:val="bottom"/>
          </w:tcPr>
          <w:p>
            <w:pPr>
              <w:spacing w:after="0"/>
              <w:rPr>
                <w:sz w:val="1"/>
                <w:szCs w:val="1"/>
                <w:color w:val="auto"/>
              </w:rPr>
            </w:pPr>
          </w:p>
        </w:tc>
      </w:tr>
      <w:tr>
        <w:trPr>
          <w:trHeight w:val="27"/>
        </w:trPr>
        <w:tc>
          <w:tcPr>
            <w:tcW w:w="4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real estate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1,267,952</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844,836</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935,873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3,048,661</w:t>
            </w:r>
          </w:p>
        </w:tc>
        <w:tc>
          <w:tcPr>
            <w:tcW w:w="0" w:type="dxa"/>
            <w:vAlign w:val="bottom"/>
          </w:tcPr>
          <w:p>
            <w:pPr>
              <w:spacing w:after="0"/>
              <w:rPr>
                <w:sz w:val="1"/>
                <w:szCs w:val="1"/>
                <w:color w:val="auto"/>
              </w:rPr>
            </w:pPr>
          </w:p>
        </w:tc>
      </w:tr>
      <w:tr>
        <w:trPr>
          <w:trHeight w:val="20"/>
        </w:trPr>
        <w:tc>
          <w:tcPr>
            <w:tcW w:w="45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 of December 31, 2013</w:t>
            </w: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54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Land and land improvements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350,817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132,934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803,238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1,286,989</w:t>
            </w:r>
          </w:p>
        </w:tc>
        <w:tc>
          <w:tcPr>
            <w:tcW w:w="0" w:type="dxa"/>
            <w:vAlign w:val="bottom"/>
          </w:tcPr>
          <w:p>
            <w:pPr>
              <w:spacing w:after="0"/>
              <w:rPr>
                <w:sz w:val="1"/>
                <w:szCs w:val="1"/>
                <w:color w:val="auto"/>
              </w:rPr>
            </w:pPr>
          </w:p>
        </w:tc>
      </w:tr>
      <w:tr>
        <w:trPr>
          <w:trHeight w:val="243"/>
        </w:trPr>
        <w:tc>
          <w:tcPr>
            <w:tcW w:w="4540" w:type="dxa"/>
            <w:vAlign w:val="bottom"/>
          </w:tcPr>
          <w:p>
            <w:pPr>
              <w:ind w:left="20"/>
              <w:spacing w:after="0"/>
              <w:rPr>
                <w:sz w:val="20"/>
                <w:szCs w:val="20"/>
                <w:color w:val="auto"/>
              </w:rPr>
            </w:pPr>
            <w:r>
              <w:rPr>
                <w:rFonts w:ascii="Arial" w:cs="Arial" w:eastAsia="Arial" w:hAnsi="Arial"/>
                <w:sz w:val="18"/>
                <w:szCs w:val="18"/>
                <w:color w:val="auto"/>
              </w:rPr>
              <w:t>Buildings and improvements</w:t>
            </w:r>
          </w:p>
        </w:tc>
        <w:tc>
          <w:tcPr>
            <w:tcW w:w="2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1,346,071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587,574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1,933,645</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(338,640)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(82,420)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(3,393)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(424,453)</w:t>
            </w:r>
          </w:p>
        </w:tc>
        <w:tc>
          <w:tcPr>
            <w:tcW w:w="0" w:type="dxa"/>
            <w:vAlign w:val="bottom"/>
          </w:tcPr>
          <w:p>
            <w:pPr>
              <w:spacing w:after="0"/>
              <w:rPr>
                <w:sz w:val="1"/>
                <w:szCs w:val="1"/>
                <w:color w:val="auto"/>
              </w:rPr>
            </w:pPr>
          </w:p>
        </w:tc>
      </w:tr>
      <w:tr>
        <w:trPr>
          <w:trHeight w:val="237"/>
        </w:trPr>
        <w:tc>
          <w:tcPr>
            <w:tcW w:w="4540" w:type="dxa"/>
            <w:vAlign w:val="bottom"/>
          </w:tcPr>
          <w:p>
            <w:pPr>
              <w:ind w:left="20"/>
              <w:spacing w:after="0"/>
              <w:rPr>
                <w:sz w:val="20"/>
                <w:szCs w:val="20"/>
                <w:color w:val="auto"/>
              </w:rPr>
            </w:pPr>
            <w:r>
              <w:rPr>
                <w:rFonts w:ascii="Arial" w:cs="Arial" w:eastAsia="Arial" w:hAnsi="Arial"/>
                <w:sz w:val="18"/>
                <w:szCs w:val="18"/>
                <w:color w:val="auto"/>
              </w:rPr>
              <w:t>Real estate, net</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1,358,248</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638,088</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799,845</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2,796,181</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Real estate available and held for sale</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228,328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132,189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360,517</w:t>
            </w:r>
          </w:p>
        </w:tc>
        <w:tc>
          <w:tcPr>
            <w:tcW w:w="0" w:type="dxa"/>
            <w:vAlign w:val="bottom"/>
          </w:tcPr>
          <w:p>
            <w:pPr>
              <w:spacing w:after="0"/>
              <w:rPr>
                <w:sz w:val="1"/>
                <w:szCs w:val="1"/>
                <w:color w:val="auto"/>
              </w:rPr>
            </w:pPr>
          </w:p>
        </w:tc>
      </w:tr>
      <w:tr>
        <w:trPr>
          <w:trHeight w:val="257"/>
        </w:trPr>
        <w:tc>
          <w:tcPr>
            <w:tcW w:w="4540" w:type="dxa"/>
            <w:vAlign w:val="bottom"/>
          </w:tcPr>
          <w:p>
            <w:pPr>
              <w:ind w:left="20"/>
              <w:spacing w:after="0"/>
              <w:rPr>
                <w:sz w:val="20"/>
                <w:szCs w:val="20"/>
                <w:color w:val="auto"/>
              </w:rPr>
            </w:pPr>
            <w:r>
              <w:rPr>
                <w:rFonts w:ascii="Arial" w:cs="Arial" w:eastAsia="Arial" w:hAnsi="Arial"/>
                <w:sz w:val="18"/>
                <w:szCs w:val="18"/>
                <w:color w:val="auto"/>
              </w:rPr>
              <w:t>Total real estate</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1,358,248</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866,416</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932,034</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3,156,698</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432"/>
        <w:spacing w:after="0" w:line="282" w:lineRule="auto"/>
        <w:rPr>
          <w:sz w:val="20"/>
          <w:szCs w:val="20"/>
          <w:color w:val="auto"/>
        </w:rPr>
      </w:pPr>
      <w:r>
        <w:rPr>
          <w:rFonts w:ascii="Arial" w:cs="Arial" w:eastAsia="Arial" w:hAnsi="Arial"/>
          <w:sz w:val="18"/>
          <w:szCs w:val="18"/>
          <w:b w:val="1"/>
          <w:bCs w:val="1"/>
          <w:color w:val="auto"/>
        </w:rPr>
        <w:t>Real estate available and held for sale—</w:t>
      </w:r>
      <w:r>
        <w:rPr>
          <w:rFonts w:ascii="Arial" w:cs="Arial" w:eastAsia="Arial" w:hAnsi="Arial"/>
          <w:sz w:val="18"/>
          <w:szCs w:val="18"/>
          <w:color w:val="auto"/>
        </w:rPr>
        <w:t>As of March 31, 2014 and December 31, 2013, the Company had $197.7 million and $221.0 million,</w:t>
      </w:r>
      <w:r>
        <w:rPr>
          <w:rFonts w:ascii="Arial" w:cs="Arial" w:eastAsia="Arial" w:hAnsi="Arial"/>
          <w:sz w:val="18"/>
          <w:szCs w:val="18"/>
          <w:b w:val="1"/>
          <w:bCs w:val="1"/>
          <w:color w:val="auto"/>
        </w:rPr>
        <w:t xml:space="preserve"> </w:t>
      </w:r>
      <w:r>
        <w:rPr>
          <w:rFonts w:ascii="Arial" w:cs="Arial" w:eastAsia="Arial" w:hAnsi="Arial"/>
          <w:sz w:val="18"/>
          <w:szCs w:val="18"/>
          <w:color w:val="auto"/>
        </w:rPr>
        <w:t>respectively, of residential properties available for sale in its operating properties portfolio.</w:t>
      </w:r>
    </w:p>
    <w:p>
      <w:pPr>
        <w:spacing w:after="0" w:line="162"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7"/>
          <w:szCs w:val="17"/>
          <w:b w:val="1"/>
          <w:bCs w:val="1"/>
          <w:color w:val="auto"/>
        </w:rPr>
        <w:t>Acquisitions—</w:t>
      </w:r>
      <w:r>
        <w:rPr>
          <w:rFonts w:ascii="Arial" w:cs="Arial" w:eastAsia="Arial" w:hAnsi="Arial"/>
          <w:sz w:val="17"/>
          <w:szCs w:val="17"/>
          <w:color w:val="auto"/>
        </w:rPr>
        <w:t>During the three months ended March 31, 2013, the Company acquired, via foreclosure, title to a residential operating property, which</w:t>
      </w:r>
      <w:r>
        <w:rPr>
          <w:rFonts w:ascii="Arial" w:cs="Arial" w:eastAsia="Arial" w:hAnsi="Arial"/>
          <w:sz w:val="17"/>
          <w:szCs w:val="17"/>
          <w:b w:val="1"/>
          <w:bCs w:val="1"/>
          <w:color w:val="auto"/>
        </w:rPr>
        <w:t xml:space="preserve"> </w:t>
      </w:r>
      <w:r>
        <w:rPr>
          <w:rFonts w:ascii="Arial" w:cs="Arial" w:eastAsia="Arial" w:hAnsi="Arial"/>
          <w:sz w:val="17"/>
          <w:szCs w:val="17"/>
          <w:color w:val="auto"/>
        </w:rPr>
        <w:t>previously served as collateral for a loan receivable held by the Company. The Company contributed the residential operating property which had a fair value of $25.5 million, to an entity of which it owns 63%. Based on the control provisions in the partnership agreement, the Company consolidates the entity and reflects its partner's 37% share of equity in "Noncontrolling interests" on the Company's Consolidated Balance Sheets. The acquisition was accounted for at fair value. No gain or loss was recorded in conjunction with this transaction.</w:t>
      </w:r>
    </w:p>
    <w:p>
      <w:pPr>
        <w:spacing w:after="0" w:line="168" w:lineRule="exact"/>
        <w:rPr>
          <w:sz w:val="20"/>
          <w:szCs w:val="20"/>
          <w:color w:val="auto"/>
        </w:rPr>
      </w:pPr>
    </w:p>
    <w:p>
      <w:pPr>
        <w:jc w:val="both"/>
        <w:ind w:firstLine="432"/>
        <w:spacing w:after="0" w:line="258" w:lineRule="auto"/>
        <w:rPr>
          <w:sz w:val="20"/>
          <w:szCs w:val="20"/>
          <w:color w:val="auto"/>
        </w:rPr>
      </w:pPr>
      <w:r>
        <w:rPr>
          <w:rFonts w:ascii="Arial" w:cs="Arial" w:eastAsia="Arial" w:hAnsi="Arial"/>
          <w:sz w:val="18"/>
          <w:szCs w:val="18"/>
          <w:b w:val="1"/>
          <w:bCs w:val="1"/>
          <w:color w:val="auto"/>
        </w:rPr>
        <w:t>Dispositions—</w:t>
      </w:r>
      <w:r>
        <w:rPr>
          <w:rFonts w:ascii="Arial" w:cs="Arial" w:eastAsia="Arial" w:hAnsi="Arial"/>
          <w:sz w:val="18"/>
          <w:szCs w:val="18"/>
          <w:color w:val="auto"/>
        </w:rPr>
        <w:t>During the three months ended March 31, 2014 and 2013, the Company sold residential condominiums for total net proceeds of $47.7</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and $75.2 million, respectively, and recorded income from sales of residential properties totaling $16.5 million and $23.7 million, respectively. During the three months ended March 31, 2014, the Company sold residential lots from two of our master planned community properties for proceeds of $4.1 million and which had cost of sales of $3.7 million. During the same period, the Company also sold properties with a carrying value of $6.7 million for proceeds that approximated carrying value.</w:t>
      </w:r>
    </w:p>
    <w:p>
      <w:pPr>
        <w:spacing w:after="0" w:line="14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During the three months ended March 31, 2014, the Company sold a net lease asset for net proceeds of $93.7 million which approximated carrying value to a newly formed unconsolidated entity in which the Company has a noncontrolling equity interest of 51.9% (see Note 6).</w:t>
      </w:r>
    </w:p>
    <w:p>
      <w:pPr>
        <w:spacing w:after="0" w:line="130"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Additionally, during the three months ended March 31, 2014, the Company sold a net lease asset for net proceeds of $7.8 million. The Company recorded an impairment loss of $3.0 million in connection with the sale.</w:t>
      </w:r>
    </w:p>
    <w:p>
      <w:pPr>
        <w:spacing w:after="0" w:line="130" w:lineRule="exact"/>
        <w:rPr>
          <w:sz w:val="20"/>
          <w:szCs w:val="20"/>
          <w:color w:val="auto"/>
        </w:rPr>
      </w:pPr>
    </w:p>
    <w:p>
      <w:pPr>
        <w:jc w:val="both"/>
        <w:ind w:right="20" w:firstLine="405"/>
        <w:spacing w:after="0" w:line="342" w:lineRule="auto"/>
        <w:rPr>
          <w:sz w:val="20"/>
          <w:szCs w:val="20"/>
          <w:color w:val="auto"/>
        </w:rPr>
      </w:pPr>
      <w:r>
        <w:rPr>
          <w:rFonts w:ascii="Arial" w:cs="Arial" w:eastAsia="Arial" w:hAnsi="Arial"/>
          <w:sz w:val="16"/>
          <w:szCs w:val="16"/>
          <w:color w:val="auto"/>
        </w:rPr>
        <w:t>During the three months ended March 31, 2013, the Company sold a commercial operating property with a carrying value of $24.1 million resulting in a net gain of $5.0 million. The gain was recorded as "Gain from discontinued operations" on the Company's Consolidated Statements of Operations.</w:t>
      </w:r>
    </w:p>
    <w:p>
      <w:pPr>
        <w:spacing w:after="0" w:line="79" w:lineRule="exact"/>
        <w:rPr>
          <w:sz w:val="20"/>
          <w:szCs w:val="20"/>
          <w:color w:val="auto"/>
        </w:rPr>
      </w:pPr>
    </w:p>
    <w:p>
      <w:pPr>
        <w:jc w:val="both"/>
        <w:ind w:firstLine="405"/>
        <w:spacing w:after="0" w:line="266" w:lineRule="auto"/>
        <w:rPr>
          <w:sz w:val="20"/>
          <w:szCs w:val="20"/>
          <w:color w:val="auto"/>
        </w:rPr>
      </w:pPr>
      <w:r>
        <w:rPr>
          <w:rFonts w:ascii="Arial" w:cs="Arial" w:eastAsia="Arial" w:hAnsi="Arial"/>
          <w:sz w:val="18"/>
          <w:szCs w:val="18"/>
          <w:b w:val="1"/>
          <w:bCs w:val="1"/>
          <w:color w:val="auto"/>
        </w:rPr>
        <w:t>Discontinued Operations—</w:t>
      </w:r>
      <w:r>
        <w:rPr>
          <w:rFonts w:ascii="Arial" w:cs="Arial" w:eastAsia="Arial" w:hAnsi="Arial"/>
          <w:sz w:val="18"/>
          <w:szCs w:val="18"/>
          <w:color w:val="auto"/>
        </w:rPr>
        <w:t>The Company has elected to early adopt ASU 2014-08 beginning with disposals and classifications of assets as held for</w:t>
      </w:r>
      <w:r>
        <w:rPr>
          <w:rFonts w:ascii="Arial" w:cs="Arial" w:eastAsia="Arial" w:hAnsi="Arial"/>
          <w:sz w:val="18"/>
          <w:szCs w:val="18"/>
          <w:b w:val="1"/>
          <w:bCs w:val="1"/>
          <w:color w:val="auto"/>
        </w:rPr>
        <w:t xml:space="preserve"> </w:t>
      </w:r>
      <w:r>
        <w:rPr>
          <w:rFonts w:ascii="Arial" w:cs="Arial" w:eastAsia="Arial" w:hAnsi="Arial"/>
          <w:sz w:val="18"/>
          <w:szCs w:val="18"/>
          <w:color w:val="auto"/>
        </w:rPr>
        <w:t>sale that occurred after December 31, 2013. During the three months ended March 31, 2014, there were no disposals or assets classified as held for sale which were individually significant or represented a strategic shift that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2" w:right="239" w:bottom="1440" w:gutter="0" w:footer="0" w:header="0"/>
        </w:sectPr>
      </w:pPr>
    </w:p>
    <w:bookmarkStart w:id="11" w:name="page12"/>
    <w:bookmarkEnd w:id="11"/>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has (or will have) a major effect on the Company's operations and financial results. For the three months ended March 31, 2013, income (loss) from discontinued operations was $1.2 million, which includes revenues of $2.4 million and expenses of $1.2 million.</w:t>
      </w:r>
    </w:p>
    <w:p>
      <w:pPr>
        <w:spacing w:after="0" w:line="166" w:lineRule="exact"/>
        <w:rPr>
          <w:sz w:val="20"/>
          <w:szCs w:val="20"/>
          <w:color w:val="auto"/>
        </w:rPr>
      </w:pPr>
    </w:p>
    <w:p>
      <w:pPr>
        <w:jc w:val="both"/>
        <w:ind w:right="20" w:firstLine="405"/>
        <w:spacing w:after="0" w:line="289" w:lineRule="auto"/>
        <w:rPr>
          <w:sz w:val="20"/>
          <w:szCs w:val="20"/>
          <w:color w:val="auto"/>
        </w:rPr>
      </w:pPr>
      <w:r>
        <w:rPr>
          <w:rFonts w:ascii="Arial" w:cs="Arial" w:eastAsia="Arial" w:hAnsi="Arial"/>
          <w:sz w:val="17"/>
          <w:szCs w:val="17"/>
          <w:b w:val="1"/>
          <w:bCs w:val="1"/>
          <w:color w:val="auto"/>
        </w:rPr>
        <w:t>Tenant Reimbursements—</w:t>
      </w:r>
      <w:r>
        <w:rPr>
          <w:rFonts w:ascii="Arial" w:cs="Arial" w:eastAsia="Arial" w:hAnsi="Arial"/>
          <w:sz w:val="17"/>
          <w:szCs w:val="17"/>
          <w:color w:val="auto"/>
        </w:rPr>
        <w:t>The Company receives reimbursements from tenants for certain facility operating expenses including common area costs,</w:t>
      </w:r>
      <w:r>
        <w:rPr>
          <w:rFonts w:ascii="Arial" w:cs="Arial" w:eastAsia="Arial" w:hAnsi="Arial"/>
          <w:sz w:val="17"/>
          <w:szCs w:val="17"/>
          <w:b w:val="1"/>
          <w:bCs w:val="1"/>
          <w:color w:val="auto"/>
        </w:rPr>
        <w:t xml:space="preserve"> </w:t>
      </w:r>
      <w:r>
        <w:rPr>
          <w:rFonts w:ascii="Arial" w:cs="Arial" w:eastAsia="Arial" w:hAnsi="Arial"/>
          <w:sz w:val="17"/>
          <w:szCs w:val="17"/>
          <w:color w:val="auto"/>
        </w:rPr>
        <w:t>insurance, utilities and real estate taxes. Tenant expense reimbursements for the three months ended March 31, 2014 and 2013 were $8.5 million and $7.7 million, respectively, and are included in “Operating lease income” on the Company's Consolidated Statements of Operations.</w:t>
      </w:r>
    </w:p>
    <w:p>
      <w:pPr>
        <w:spacing w:after="0" w:line="118" w:lineRule="exact"/>
        <w:rPr>
          <w:sz w:val="20"/>
          <w:szCs w:val="20"/>
          <w:color w:val="auto"/>
        </w:rPr>
      </w:pPr>
    </w:p>
    <w:p>
      <w:pPr>
        <w:jc w:val="both"/>
        <w:ind w:firstLine="405"/>
        <w:spacing w:after="0" w:line="266" w:lineRule="auto"/>
        <w:rPr>
          <w:sz w:val="20"/>
          <w:szCs w:val="20"/>
          <w:color w:val="auto"/>
        </w:rPr>
      </w:pPr>
      <w:r>
        <w:rPr>
          <w:rFonts w:ascii="Arial" w:cs="Arial" w:eastAsia="Arial" w:hAnsi="Arial"/>
          <w:sz w:val="18"/>
          <w:szCs w:val="18"/>
          <w:b w:val="1"/>
          <w:bCs w:val="1"/>
          <w:color w:val="auto"/>
        </w:rPr>
        <w:t>Allowance for doubtful accounts—</w:t>
      </w:r>
      <w:r>
        <w:rPr>
          <w:rFonts w:ascii="Arial" w:cs="Arial" w:eastAsia="Arial" w:hAnsi="Arial"/>
          <w:sz w:val="18"/>
          <w:szCs w:val="18"/>
          <w:color w:val="auto"/>
        </w:rPr>
        <w:t>As of March 31, 2014 and December 31, 2013, the allowance for doubtful accounts related to real estate tenant</w:t>
      </w:r>
      <w:r>
        <w:rPr>
          <w:rFonts w:ascii="Arial" w:cs="Arial" w:eastAsia="Arial" w:hAnsi="Arial"/>
          <w:sz w:val="18"/>
          <w:szCs w:val="18"/>
          <w:b w:val="1"/>
          <w:bCs w:val="1"/>
          <w:color w:val="auto"/>
        </w:rPr>
        <w:t xml:space="preserve"> </w:t>
      </w:r>
      <w:r>
        <w:rPr>
          <w:rFonts w:ascii="Arial" w:cs="Arial" w:eastAsia="Arial" w:hAnsi="Arial"/>
          <w:sz w:val="18"/>
          <w:szCs w:val="18"/>
          <w:color w:val="auto"/>
        </w:rPr>
        <w:t>receivables was $2.4 million and $3.4 million, respectively and the allowance for doubtful accounts related to deferred operating lease income was $2.1 million and $2.5 million, respectively.</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5—Loans Receivable and Other Lending Investments, net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is a summary of the Company's loans receivable and other lending investments by class ($ in thousands):</w:t>
      </w:r>
    </w:p>
    <w:p>
      <w:pPr>
        <w:spacing w:after="0" w:line="230" w:lineRule="exact"/>
        <w:rPr>
          <w:sz w:val="20"/>
          <w:szCs w:val="20"/>
          <w:color w:val="auto"/>
        </w:rPr>
      </w:pPr>
    </w:p>
    <w:tbl>
      <w:tblPr>
        <w:tblLayout w:type="fixed"/>
        <w:tblInd w:w="220" w:type="dxa"/>
        <w:tblCellMar>
          <w:top w:w="0" w:type="dxa"/>
          <w:left w:w="0" w:type="dxa"/>
          <w:bottom w:w="0" w:type="dxa"/>
          <w:right w:w="0" w:type="dxa"/>
        </w:tblCellMar>
      </w:tblPr>
      <w:tr>
        <w:trPr>
          <w:trHeight w:val="192"/>
        </w:trPr>
        <w:tc>
          <w:tcPr>
            <w:tcW w:w="80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1"/>
              </w:rPr>
              <w:t>As of</w:t>
            </w: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80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Type of Investment</w:t>
            </w:r>
          </w:p>
        </w:tc>
        <w:tc>
          <w:tcPr>
            <w:tcW w:w="240" w:type="dxa"/>
            <w:vAlign w:val="bottom"/>
          </w:tcPr>
          <w:p>
            <w:pPr>
              <w:spacing w:after="0"/>
              <w:rPr>
                <w:sz w:val="13"/>
                <w:szCs w:val="13"/>
                <w:color w:val="auto"/>
              </w:rPr>
            </w:pPr>
          </w:p>
        </w:tc>
        <w:tc>
          <w:tcPr>
            <w:tcW w:w="1080" w:type="dxa"/>
            <w:vAlign w:val="bottom"/>
          </w:tcPr>
          <w:p>
            <w:pPr>
              <w:jc w:val="right"/>
              <w:ind w:right="234"/>
              <w:spacing w:after="0" w:line="153" w:lineRule="exact"/>
              <w:rPr>
                <w:sz w:val="20"/>
                <w:szCs w:val="20"/>
                <w:color w:val="auto"/>
              </w:rPr>
            </w:pPr>
            <w:r>
              <w:rPr>
                <w:rFonts w:ascii="Arial" w:cs="Arial" w:eastAsia="Arial" w:hAnsi="Arial"/>
                <w:sz w:val="14"/>
                <w:szCs w:val="14"/>
                <w:b w:val="1"/>
                <w:bCs w:val="1"/>
                <w:color w:val="auto"/>
              </w:rPr>
              <w:t>March 31,</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jc w:val="right"/>
              <w:ind w:right="254"/>
              <w:spacing w:after="0" w:line="153" w:lineRule="exact"/>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92"/>
        </w:trPr>
        <w:tc>
          <w:tcPr>
            <w:tcW w:w="804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Senior mortgages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1,103,471</w:t>
            </w:r>
          </w:p>
        </w:tc>
        <w:tc>
          <w:tcPr>
            <w:tcW w:w="42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1,071,662</w:t>
            </w:r>
          </w:p>
        </w:tc>
        <w:tc>
          <w:tcPr>
            <w:tcW w:w="0" w:type="dxa"/>
            <w:vAlign w:val="bottom"/>
          </w:tcPr>
          <w:p>
            <w:pPr>
              <w:spacing w:after="0"/>
              <w:rPr>
                <w:sz w:val="1"/>
                <w:szCs w:val="1"/>
                <w:color w:val="auto"/>
              </w:rPr>
            </w:pPr>
          </w:p>
        </w:tc>
      </w:tr>
      <w:tr>
        <w:trPr>
          <w:trHeight w:val="243"/>
        </w:trPr>
        <w:tc>
          <w:tcPr>
            <w:tcW w:w="8040" w:type="dxa"/>
            <w:vAlign w:val="bottom"/>
          </w:tcPr>
          <w:p>
            <w:pPr>
              <w:ind w:left="20"/>
              <w:spacing w:after="0"/>
              <w:rPr>
                <w:sz w:val="20"/>
                <w:szCs w:val="20"/>
                <w:color w:val="auto"/>
              </w:rPr>
            </w:pPr>
            <w:r>
              <w:rPr>
                <w:rFonts w:ascii="Arial" w:cs="Arial" w:eastAsia="Arial" w:hAnsi="Arial"/>
                <w:sz w:val="18"/>
                <w:szCs w:val="18"/>
                <w:color w:val="auto"/>
              </w:rPr>
              <w:t>Subordinate mortgages</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61,764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60,679</w:t>
            </w:r>
          </w:p>
        </w:tc>
        <w:tc>
          <w:tcPr>
            <w:tcW w:w="0" w:type="dxa"/>
            <w:vAlign w:val="bottom"/>
          </w:tcPr>
          <w:p>
            <w:pPr>
              <w:spacing w:after="0"/>
              <w:rPr>
                <w:sz w:val="1"/>
                <w:szCs w:val="1"/>
                <w:color w:val="auto"/>
              </w:rPr>
            </w:pPr>
          </w:p>
        </w:tc>
      </w:tr>
      <w:tr>
        <w:trPr>
          <w:trHeight w:val="27"/>
        </w:trPr>
        <w:tc>
          <w:tcPr>
            <w:tcW w:w="8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Corporate/Partnership loans</w:t>
            </w:r>
          </w:p>
        </w:tc>
        <w:tc>
          <w:tcPr>
            <w:tcW w:w="2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527,865</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473,045</w:t>
            </w:r>
          </w:p>
        </w:tc>
        <w:tc>
          <w:tcPr>
            <w:tcW w:w="0" w:type="dxa"/>
            <w:vAlign w:val="bottom"/>
          </w:tcPr>
          <w:p>
            <w:pPr>
              <w:spacing w:after="0"/>
              <w:rPr>
                <w:sz w:val="1"/>
                <w:szCs w:val="1"/>
                <w:color w:val="auto"/>
              </w:rPr>
            </w:pPr>
          </w:p>
        </w:tc>
      </w:tr>
      <w:tr>
        <w:trPr>
          <w:trHeight w:val="237"/>
        </w:trPr>
        <w:tc>
          <w:tcPr>
            <w:tcW w:w="8040" w:type="dxa"/>
            <w:vAlign w:val="bottom"/>
          </w:tcPr>
          <w:p>
            <w:pPr>
              <w:ind w:left="140"/>
              <w:spacing w:after="0"/>
              <w:rPr>
                <w:sz w:val="20"/>
                <w:szCs w:val="20"/>
                <w:color w:val="auto"/>
              </w:rPr>
            </w:pPr>
            <w:r>
              <w:rPr>
                <w:rFonts w:ascii="Arial" w:cs="Arial" w:eastAsia="Arial" w:hAnsi="Arial"/>
                <w:sz w:val="18"/>
                <w:szCs w:val="18"/>
                <w:color w:val="auto"/>
              </w:rPr>
              <w:t>Total gross carrying value of loans</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1,693,100</w:t>
            </w:r>
          </w:p>
        </w:tc>
        <w:tc>
          <w:tcPr>
            <w:tcW w:w="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1,605,386</w:t>
            </w:r>
          </w:p>
        </w:tc>
        <w:tc>
          <w:tcPr>
            <w:tcW w:w="0" w:type="dxa"/>
            <w:vAlign w:val="bottom"/>
          </w:tcPr>
          <w:p>
            <w:pPr>
              <w:spacing w:after="0"/>
              <w:rPr>
                <w:sz w:val="1"/>
                <w:szCs w:val="1"/>
                <w:color w:val="auto"/>
              </w:rPr>
            </w:pPr>
          </w:p>
        </w:tc>
      </w:tr>
      <w:tr>
        <w:trPr>
          <w:trHeight w:val="27"/>
        </w:trPr>
        <w:tc>
          <w:tcPr>
            <w:tcW w:w="8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Reserves for loan losses</w:t>
            </w:r>
          </w:p>
        </w:tc>
        <w:tc>
          <w:tcPr>
            <w:tcW w:w="2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(370,076)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(377,204)</w:t>
            </w:r>
          </w:p>
        </w:tc>
        <w:tc>
          <w:tcPr>
            <w:tcW w:w="0" w:type="dxa"/>
            <w:vAlign w:val="bottom"/>
          </w:tcPr>
          <w:p>
            <w:pPr>
              <w:spacing w:after="0"/>
              <w:rPr>
                <w:sz w:val="1"/>
                <w:szCs w:val="1"/>
                <w:color w:val="auto"/>
              </w:rPr>
            </w:pPr>
          </w:p>
        </w:tc>
      </w:tr>
      <w:tr>
        <w:trPr>
          <w:trHeight w:val="237"/>
        </w:trPr>
        <w:tc>
          <w:tcPr>
            <w:tcW w:w="8040" w:type="dxa"/>
            <w:vAlign w:val="bottom"/>
          </w:tcPr>
          <w:p>
            <w:pPr>
              <w:ind w:left="140"/>
              <w:spacing w:after="0"/>
              <w:rPr>
                <w:sz w:val="20"/>
                <w:szCs w:val="20"/>
                <w:color w:val="auto"/>
              </w:rPr>
            </w:pPr>
            <w:r>
              <w:rPr>
                <w:rFonts w:ascii="Arial" w:cs="Arial" w:eastAsia="Arial" w:hAnsi="Arial"/>
                <w:sz w:val="18"/>
                <w:szCs w:val="18"/>
                <w:color w:val="auto"/>
              </w:rPr>
              <w:t>Total loans receivable, net</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1,323,024</w:t>
            </w:r>
          </w:p>
        </w:tc>
        <w:tc>
          <w:tcPr>
            <w:tcW w:w="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1,228,182</w:t>
            </w:r>
          </w:p>
        </w:tc>
        <w:tc>
          <w:tcPr>
            <w:tcW w:w="0" w:type="dxa"/>
            <w:vAlign w:val="bottom"/>
          </w:tcPr>
          <w:p>
            <w:pPr>
              <w:spacing w:after="0"/>
              <w:rPr>
                <w:sz w:val="1"/>
                <w:szCs w:val="1"/>
                <w:color w:val="auto"/>
              </w:rPr>
            </w:pPr>
          </w:p>
        </w:tc>
      </w:tr>
      <w:tr>
        <w:trPr>
          <w:trHeight w:val="27"/>
        </w:trPr>
        <w:tc>
          <w:tcPr>
            <w:tcW w:w="8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lending investments—securities</w:t>
            </w:r>
          </w:p>
        </w:tc>
        <w:tc>
          <w:tcPr>
            <w:tcW w:w="2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153,466</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141,927</w:t>
            </w:r>
          </w:p>
        </w:tc>
        <w:tc>
          <w:tcPr>
            <w:tcW w:w="0" w:type="dxa"/>
            <w:vAlign w:val="bottom"/>
          </w:tcPr>
          <w:p>
            <w:pPr>
              <w:spacing w:after="0"/>
              <w:rPr>
                <w:sz w:val="1"/>
                <w:szCs w:val="1"/>
                <w:color w:val="auto"/>
              </w:rPr>
            </w:pPr>
          </w:p>
        </w:tc>
      </w:tr>
      <w:tr>
        <w:trPr>
          <w:trHeight w:val="257"/>
        </w:trPr>
        <w:tc>
          <w:tcPr>
            <w:tcW w:w="8040" w:type="dxa"/>
            <w:vAlign w:val="bottom"/>
          </w:tcPr>
          <w:p>
            <w:pPr>
              <w:ind w:left="140"/>
              <w:spacing w:after="0"/>
              <w:rPr>
                <w:sz w:val="20"/>
                <w:szCs w:val="20"/>
                <w:color w:val="auto"/>
              </w:rPr>
            </w:pPr>
            <w:r>
              <w:rPr>
                <w:rFonts w:ascii="Arial" w:cs="Arial" w:eastAsia="Arial" w:hAnsi="Arial"/>
                <w:sz w:val="18"/>
                <w:szCs w:val="18"/>
                <w:color w:val="auto"/>
              </w:rPr>
              <w:t>Total loans receivable and other lending investments, net(1)</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1,476,490</w:t>
            </w:r>
          </w:p>
        </w:tc>
        <w:tc>
          <w:tcPr>
            <w:tcW w:w="1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1,370,109</w:t>
            </w:r>
          </w:p>
        </w:tc>
        <w:tc>
          <w:tcPr>
            <w:tcW w:w="0" w:type="dxa"/>
            <w:vAlign w:val="bottom"/>
          </w:tcPr>
          <w:p>
            <w:pPr>
              <w:spacing w:after="0"/>
              <w:rPr>
                <w:sz w:val="1"/>
                <w:szCs w:val="1"/>
                <w:color w:val="auto"/>
              </w:rPr>
            </w:pPr>
          </w:p>
        </w:tc>
      </w:tr>
      <w:tr>
        <w:trPr>
          <w:trHeight w:val="20"/>
        </w:trPr>
        <w:tc>
          <w:tcPr>
            <w:tcW w:w="80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51" w:lineRule="exact"/>
        <w:rPr>
          <w:sz w:val="20"/>
          <w:szCs w:val="20"/>
          <w:color w:val="auto"/>
        </w:rPr>
      </w:pPr>
    </w:p>
    <w:p>
      <w:pPr>
        <w:ind w:left="660" w:right="20" w:hanging="652"/>
        <w:spacing w:after="0" w:line="273" w:lineRule="auto"/>
        <w:tabs>
          <w:tab w:leader="none" w:pos="66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Company's recorded investment in loans as of March 31, 2014 and December 31, 2013 also includes accrued interest of $7.6 million and $6.5 million, respectively, which are included in "Accrued interest and operating lease income receivable, net" on the Company's Consolidated Balance Sheets.</w:t>
      </w:r>
    </w:p>
    <w:p>
      <w:pPr>
        <w:spacing w:after="0" w:line="124" w:lineRule="exact"/>
        <w:rPr>
          <w:sz w:val="20"/>
          <w:szCs w:val="20"/>
          <w:color w:val="auto"/>
        </w:rPr>
      </w:pPr>
    </w:p>
    <w:p>
      <w:pPr>
        <w:ind w:firstLine="432"/>
        <w:spacing w:after="0" w:line="342" w:lineRule="auto"/>
        <w:rPr>
          <w:sz w:val="20"/>
          <w:szCs w:val="20"/>
          <w:color w:val="auto"/>
        </w:rPr>
      </w:pPr>
      <w:r>
        <w:rPr>
          <w:rFonts w:ascii="Arial" w:cs="Arial" w:eastAsia="Arial" w:hAnsi="Arial"/>
          <w:sz w:val="16"/>
          <w:szCs w:val="16"/>
          <w:color w:val="auto"/>
        </w:rPr>
        <w:t>During the three months ended March 31, 2013, the Company sold loans with total carrying values of $38.3 million, which resulted in a net realized loss of $0.6 million. Gains and losses on sales of loans are included in "Other income" on the Company's Consolidated Statements of Operations.</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Reserve for loan losses</w:t>
      </w:r>
      <w:r>
        <w:rPr>
          <w:rFonts w:ascii="Arial" w:cs="Arial" w:eastAsia="Arial" w:hAnsi="Arial"/>
          <w:sz w:val="18"/>
          <w:szCs w:val="18"/>
          <w:color w:val="auto"/>
        </w:rPr>
        <w:t>—Changes in the Company's reserve for loan losses were as follows ($ 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00" w:type="dxa"/>
            <w:vAlign w:val="bottom"/>
          </w:tcPr>
          <w:p>
            <w:pPr>
              <w:spacing w:after="0"/>
              <w:rPr>
                <w:sz w:val="16"/>
                <w:szCs w:val="16"/>
                <w:color w:val="auto"/>
              </w:rPr>
            </w:pPr>
          </w:p>
        </w:tc>
        <w:tc>
          <w:tcPr>
            <w:tcW w:w="34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For the Three Months Ended March 31,</w:t>
            </w:r>
          </w:p>
        </w:tc>
        <w:tc>
          <w:tcPr>
            <w:tcW w:w="780" w:type="dxa"/>
            <w:vAlign w:val="bottom"/>
            <w:tcBorders>
              <w:bottom w:val="single" w:sz="8" w:color="auto"/>
            </w:tcBorders>
          </w:tcPr>
          <w:p>
            <w:pPr>
              <w:spacing w:after="0"/>
              <w:rPr>
                <w:sz w:val="16"/>
                <w:szCs w:val="16"/>
                <w:color w:val="auto"/>
              </w:rPr>
            </w:pPr>
          </w:p>
        </w:tc>
      </w:tr>
      <w:tr>
        <w:trPr>
          <w:trHeight w:val="264"/>
        </w:trPr>
        <w:tc>
          <w:tcPr>
            <w:tcW w:w="7200" w:type="dxa"/>
            <w:vAlign w:val="bottom"/>
            <w:tcBorders>
              <w:bottom w:val="single" w:sz="8" w:color="CCEEFF"/>
            </w:tcBorders>
          </w:tcPr>
          <w:p>
            <w:pPr>
              <w:spacing w:after="0"/>
              <w:rPr>
                <w:sz w:val="22"/>
                <w:szCs w:val="22"/>
                <w:color w:val="auto"/>
              </w:rPr>
            </w:pP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2014</w:t>
            </w:r>
          </w:p>
        </w:tc>
        <w:tc>
          <w:tcPr>
            <w:tcW w:w="7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8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2013</w:t>
            </w:r>
          </w:p>
        </w:tc>
        <w:tc>
          <w:tcPr>
            <w:tcW w:w="780" w:type="dxa"/>
            <w:vAlign w:val="bottom"/>
            <w:tcBorders>
              <w:bottom w:val="single" w:sz="8" w:color="auto"/>
            </w:tcBorders>
          </w:tcPr>
          <w:p>
            <w:pPr>
              <w:spacing w:after="0"/>
              <w:rPr>
                <w:sz w:val="22"/>
                <w:szCs w:val="2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Reserve for loan losses at beginning of period</w:t>
            </w:r>
          </w:p>
        </w:tc>
        <w:tc>
          <w:tcPr>
            <w:tcW w:w="1280" w:type="dxa"/>
            <w:vAlign w:val="bottom"/>
            <w:tcBorders>
              <w:bottom w:val="single" w:sz="8" w:color="CCEEFF"/>
            </w:tcBorders>
            <w:shd w:val="clear" w:color="auto" w:fill="CCEEFF"/>
          </w:tcPr>
          <w:p>
            <w:pPr>
              <w:jc w:val="right"/>
              <w:ind w:right="1079"/>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377,204</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76"/>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524,499</w:t>
            </w:r>
          </w:p>
        </w:tc>
      </w:tr>
      <w:tr>
        <w:trPr>
          <w:trHeight w:val="243"/>
        </w:trPr>
        <w:tc>
          <w:tcPr>
            <w:tcW w:w="7200" w:type="dxa"/>
            <w:vAlign w:val="bottom"/>
          </w:tcPr>
          <w:p>
            <w:pPr>
              <w:ind w:left="180"/>
              <w:spacing w:after="0"/>
              <w:rPr>
                <w:sz w:val="20"/>
                <w:szCs w:val="20"/>
                <w:color w:val="auto"/>
              </w:rPr>
            </w:pPr>
            <w:r>
              <w:rPr>
                <w:rFonts w:ascii="Arial" w:cs="Arial" w:eastAsia="Arial" w:hAnsi="Arial"/>
                <w:sz w:val="18"/>
                <w:szCs w:val="18"/>
                <w:color w:val="auto"/>
              </w:rPr>
              <w:t>Provision for (recovery of) loan losses(1)</w:t>
            </w:r>
          </w:p>
        </w:tc>
        <w:tc>
          <w:tcPr>
            <w:tcW w:w="12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(3,400)</w:t>
            </w:r>
          </w:p>
        </w:tc>
        <w:tc>
          <w:tcPr>
            <w:tcW w:w="1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10,206</w:t>
            </w:r>
          </w:p>
        </w:tc>
      </w:tr>
      <w:tr>
        <w:trPr>
          <w:trHeight w:val="27"/>
        </w:trPr>
        <w:tc>
          <w:tcPr>
            <w:tcW w:w="7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Charge-offs</w:t>
            </w:r>
          </w:p>
        </w:tc>
        <w:tc>
          <w:tcPr>
            <w:tcW w:w="12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(3,728)</w:t>
            </w:r>
          </w:p>
        </w:tc>
        <w:tc>
          <w:tcPr>
            <w:tcW w:w="1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(12,910)</w:t>
            </w:r>
          </w:p>
        </w:tc>
      </w:tr>
      <w:tr>
        <w:trPr>
          <w:trHeight w:val="257"/>
        </w:trPr>
        <w:tc>
          <w:tcPr>
            <w:tcW w:w="7200" w:type="dxa"/>
            <w:vAlign w:val="bottom"/>
          </w:tcPr>
          <w:p>
            <w:pPr>
              <w:ind w:left="40"/>
              <w:spacing w:after="0"/>
              <w:rPr>
                <w:sz w:val="20"/>
                <w:szCs w:val="20"/>
                <w:color w:val="auto"/>
              </w:rPr>
            </w:pPr>
            <w:r>
              <w:rPr>
                <w:rFonts w:ascii="Arial" w:cs="Arial" w:eastAsia="Arial" w:hAnsi="Arial"/>
                <w:sz w:val="18"/>
                <w:szCs w:val="18"/>
                <w:b w:val="1"/>
                <w:bCs w:val="1"/>
                <w:color w:val="auto"/>
              </w:rPr>
              <w:t>Reserve for loan losses at end of period</w:t>
            </w:r>
          </w:p>
        </w:tc>
        <w:tc>
          <w:tcPr>
            <w:tcW w:w="1280" w:type="dxa"/>
            <w:vAlign w:val="bottom"/>
            <w:tcBorders>
              <w:top w:val="single" w:sz="8" w:color="auto"/>
              <w:bottom w:val="single" w:sz="8" w:color="auto"/>
            </w:tcBorders>
          </w:tcPr>
          <w:p>
            <w:pPr>
              <w:jc w:val="right"/>
              <w:ind w:right="1079"/>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370,076</w:t>
            </w:r>
          </w:p>
        </w:tc>
        <w:tc>
          <w:tcPr>
            <w:tcW w:w="100" w:type="dxa"/>
            <w:vAlign w:val="bottom"/>
          </w:tcPr>
          <w:p>
            <w:pPr>
              <w:spacing w:after="0"/>
              <w:rPr>
                <w:sz w:val="22"/>
                <w:szCs w:val="22"/>
                <w:color w:val="auto"/>
              </w:rPr>
            </w:pPr>
          </w:p>
        </w:tc>
        <w:tc>
          <w:tcPr>
            <w:tcW w:w="1280" w:type="dxa"/>
            <w:vAlign w:val="bottom"/>
            <w:tcBorders>
              <w:top w:val="single" w:sz="8" w:color="auto"/>
              <w:bottom w:val="single" w:sz="8" w:color="auto"/>
            </w:tcBorders>
          </w:tcPr>
          <w:p>
            <w:pPr>
              <w:jc w:val="right"/>
              <w:ind w:right="1076"/>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521,795</w:t>
            </w:r>
          </w:p>
        </w:tc>
      </w:tr>
      <w:tr>
        <w:trPr>
          <w:trHeight w:val="20"/>
        </w:trPr>
        <w:tc>
          <w:tcPr>
            <w:tcW w:w="72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24" w:lineRule="exact"/>
        <w:rPr>
          <w:sz w:val="20"/>
          <w:szCs w:val="20"/>
          <w:color w:val="auto"/>
        </w:rPr>
      </w:pPr>
    </w:p>
    <w:p>
      <w:pPr>
        <w:ind w:left="660" w:hanging="652"/>
        <w:spacing w:after="0" w:line="273" w:lineRule="auto"/>
        <w:tabs>
          <w:tab w:leader="none" w:pos="660" w:val="left"/>
        </w:tabs>
        <w:numPr>
          <w:ilvl w:val="0"/>
          <w:numId w:val="6"/>
        </w:numPr>
        <w:rPr>
          <w:rFonts w:ascii="Arial" w:cs="Arial" w:eastAsia="Arial" w:hAnsi="Arial"/>
          <w:sz w:val="14"/>
          <w:szCs w:val="14"/>
          <w:color w:val="auto"/>
        </w:rPr>
      </w:pPr>
      <w:r>
        <w:rPr>
          <w:rFonts w:ascii="Arial" w:cs="Arial" w:eastAsia="Arial" w:hAnsi="Arial"/>
          <w:sz w:val="14"/>
          <w:szCs w:val="14"/>
          <w:color w:val="auto"/>
        </w:rPr>
        <w:t>For the three months ended March 31, 2014 and 2013, the provision for loan losses includes recoveries of previously recorded loan loss reserves of $5.2 million and $4.6 million, respectively.</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1" w:right="239" w:bottom="1440" w:gutter="0" w:footer="0" w:header="0"/>
        </w:sectPr>
      </w:pPr>
    </w:p>
    <w:bookmarkStart w:id="12" w:name="page13"/>
    <w:bookmarkEnd w:id="12"/>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10"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The Company's recorded investment in loans (comprised of a loan's carrying value plus accrued interest) and the associated reserve for loan losses were as follows ($ in thousands):</w:t>
      </w:r>
    </w:p>
    <w:p>
      <w:pPr>
        <w:spacing w:after="0" w:line="96"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4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8"/>
              </w:rPr>
              <w:t>Individually</w:t>
            </w:r>
          </w:p>
        </w:tc>
        <w:tc>
          <w:tcPr>
            <w:tcW w:w="200" w:type="dxa"/>
            <w:vAlign w:val="bottom"/>
          </w:tcPr>
          <w:p>
            <w:pPr>
              <w:spacing w:after="0"/>
              <w:rPr>
                <w:sz w:val="14"/>
                <w:szCs w:val="14"/>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Collectively</w:t>
            </w:r>
          </w:p>
        </w:tc>
        <w:tc>
          <w:tcPr>
            <w:tcW w:w="160" w:type="dxa"/>
            <w:vAlign w:val="bottom"/>
          </w:tcPr>
          <w:p>
            <w:pPr>
              <w:spacing w:after="0"/>
              <w:rPr>
                <w:sz w:val="14"/>
                <w:szCs w:val="14"/>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Loans Acquired</w:t>
            </w:r>
          </w:p>
        </w:tc>
        <w:tc>
          <w:tcPr>
            <w:tcW w:w="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Evaluated for</w:t>
            </w:r>
          </w:p>
        </w:tc>
        <w:tc>
          <w:tcPr>
            <w:tcW w:w="200" w:type="dxa"/>
            <w:vAlign w:val="bottom"/>
          </w:tcPr>
          <w:p>
            <w:pPr>
              <w:spacing w:after="0"/>
              <w:rPr>
                <w:sz w:val="12"/>
                <w:szCs w:val="12"/>
                <w:color w:val="auto"/>
              </w:rPr>
            </w:pPr>
          </w:p>
        </w:tc>
        <w:tc>
          <w:tcPr>
            <w:tcW w:w="14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Evaluated for</w:t>
            </w:r>
          </w:p>
        </w:tc>
        <w:tc>
          <w:tcPr>
            <w:tcW w:w="160" w:type="dxa"/>
            <w:vAlign w:val="bottom"/>
          </w:tcPr>
          <w:p>
            <w:pPr>
              <w:spacing w:after="0"/>
              <w:rPr>
                <w:sz w:val="12"/>
                <w:szCs w:val="12"/>
                <w:color w:val="auto"/>
              </w:rPr>
            </w:pPr>
          </w:p>
        </w:tc>
        <w:tc>
          <w:tcPr>
            <w:tcW w:w="15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with Deteriorated</w:t>
            </w:r>
          </w:p>
        </w:tc>
        <w:tc>
          <w:tcPr>
            <w:tcW w:w="340" w:type="dxa"/>
            <w:vAlign w:val="bottom"/>
          </w:tcPr>
          <w:p>
            <w:pPr>
              <w:spacing w:after="0"/>
              <w:rPr>
                <w:sz w:val="12"/>
                <w:szCs w:val="12"/>
                <w:color w:val="auto"/>
              </w:rPr>
            </w:pPr>
          </w:p>
        </w:tc>
        <w:tc>
          <w:tcPr>
            <w:tcW w:w="1200" w:type="dxa"/>
            <w:vAlign w:val="bottom"/>
            <w:vMerge w:val="restart"/>
          </w:tcPr>
          <w:p>
            <w:pPr>
              <w:jc w:val="right"/>
              <w:ind w:right="5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9"/>
              </w:rPr>
              <w:t>Impairment(1)</w:t>
            </w:r>
          </w:p>
        </w:tc>
        <w:tc>
          <w:tcPr>
            <w:tcW w:w="200" w:type="dxa"/>
            <w:vAlign w:val="bottom"/>
          </w:tcPr>
          <w:p>
            <w:pPr>
              <w:spacing w:after="0"/>
              <w:rPr>
                <w:sz w:val="16"/>
                <w:szCs w:val="16"/>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9"/>
              </w:rPr>
              <w:t>Impairment(2)</w:t>
            </w:r>
          </w:p>
        </w:tc>
        <w:tc>
          <w:tcPr>
            <w:tcW w:w="160" w:type="dxa"/>
            <w:vAlign w:val="bottom"/>
          </w:tcPr>
          <w:p>
            <w:pPr>
              <w:spacing w:after="0"/>
              <w:rPr>
                <w:sz w:val="16"/>
                <w:szCs w:val="16"/>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Credit Quality(3)</w:t>
            </w:r>
          </w:p>
        </w:tc>
        <w:tc>
          <w:tcPr>
            <w:tcW w:w="34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 of March 31, 2014</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20" w:type="dxa"/>
            <w:vAlign w:val="bottom"/>
          </w:tcPr>
          <w:p>
            <w:pPr>
              <w:ind w:left="20"/>
              <w:spacing w:after="0"/>
              <w:rPr>
                <w:sz w:val="20"/>
                <w:szCs w:val="20"/>
                <w:color w:val="auto"/>
              </w:rPr>
            </w:pPr>
            <w:r>
              <w:rPr>
                <w:rFonts w:ascii="Arial" w:cs="Arial" w:eastAsia="Arial" w:hAnsi="Arial"/>
                <w:sz w:val="18"/>
                <w:szCs w:val="18"/>
                <w:color w:val="auto"/>
              </w:rPr>
              <w:t>Loans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16"/>
              <w:spacing w:after="0"/>
              <w:rPr>
                <w:sz w:val="20"/>
                <w:szCs w:val="20"/>
                <w:color w:val="auto"/>
              </w:rPr>
            </w:pPr>
            <w:r>
              <w:rPr>
                <w:rFonts w:ascii="Arial" w:cs="Arial" w:eastAsia="Arial" w:hAnsi="Arial"/>
                <w:sz w:val="18"/>
                <w:szCs w:val="18"/>
                <w:color w:val="auto"/>
              </w:rPr>
              <w:t>687,812</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36"/>
              <w:spacing w:after="0"/>
              <w:rPr>
                <w:sz w:val="20"/>
                <w:szCs w:val="20"/>
                <w:color w:val="auto"/>
              </w:rPr>
            </w:pPr>
            <w:r>
              <w:rPr>
                <w:rFonts w:ascii="Arial" w:cs="Arial" w:eastAsia="Arial" w:hAnsi="Arial"/>
                <w:sz w:val="18"/>
                <w:szCs w:val="18"/>
                <w:color w:val="auto"/>
              </w:rPr>
              <w:t>1,003,264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36"/>
              <w:spacing w:after="0"/>
              <w:rPr>
                <w:sz w:val="20"/>
                <w:szCs w:val="20"/>
                <w:color w:val="auto"/>
              </w:rPr>
            </w:pPr>
            <w:r>
              <w:rPr>
                <w:rFonts w:ascii="Arial" w:cs="Arial" w:eastAsia="Arial" w:hAnsi="Arial"/>
                <w:sz w:val="18"/>
                <w:szCs w:val="18"/>
                <w:color w:val="auto"/>
              </w:rPr>
              <w:t>9,586</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1,700,662</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Reserve for loan losses</w:t>
            </w:r>
          </w:p>
        </w:tc>
        <w:tc>
          <w:tcPr>
            <w:tcW w:w="2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(339,076)</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(31,000)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(370,076)</w:t>
            </w:r>
          </w:p>
        </w:tc>
        <w:tc>
          <w:tcPr>
            <w:tcW w:w="0" w:type="dxa"/>
            <w:vAlign w:val="bottom"/>
          </w:tcPr>
          <w:p>
            <w:pPr>
              <w:spacing w:after="0"/>
              <w:rPr>
                <w:sz w:val="1"/>
                <w:szCs w:val="1"/>
                <w:color w:val="auto"/>
              </w:rPr>
            </w:pPr>
          </w:p>
        </w:tc>
      </w:tr>
      <w:tr>
        <w:trPr>
          <w:trHeight w:val="297"/>
        </w:trPr>
        <w:tc>
          <w:tcPr>
            <w:tcW w:w="45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348,736</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972,264</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9,586</w:t>
            </w:r>
          </w:p>
        </w:tc>
        <w:tc>
          <w:tcPr>
            <w:tcW w:w="12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1,330,586</w:t>
            </w:r>
          </w:p>
        </w:tc>
        <w:tc>
          <w:tcPr>
            <w:tcW w:w="0" w:type="dxa"/>
            <w:vAlign w:val="bottom"/>
          </w:tcPr>
          <w:p>
            <w:pPr>
              <w:spacing w:after="0"/>
              <w:rPr>
                <w:sz w:val="1"/>
                <w:szCs w:val="1"/>
                <w:color w:val="auto"/>
              </w:rPr>
            </w:pPr>
          </w:p>
        </w:tc>
      </w:tr>
      <w:tr>
        <w:trPr>
          <w:trHeight w:val="237"/>
        </w:trPr>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 of December 31, 2013</w:t>
            </w:r>
          </w:p>
        </w:tc>
        <w:tc>
          <w:tcPr>
            <w:tcW w:w="2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520" w:type="dxa"/>
            <w:vAlign w:val="bottom"/>
          </w:tcPr>
          <w:p>
            <w:pPr>
              <w:ind w:left="20"/>
              <w:spacing w:after="0"/>
              <w:rPr>
                <w:sz w:val="20"/>
                <w:szCs w:val="20"/>
                <w:color w:val="auto"/>
              </w:rPr>
            </w:pPr>
            <w:r>
              <w:rPr>
                <w:rFonts w:ascii="Arial" w:cs="Arial" w:eastAsia="Arial" w:hAnsi="Arial"/>
                <w:sz w:val="18"/>
                <w:szCs w:val="18"/>
                <w:color w:val="auto"/>
              </w:rPr>
              <w:t>Loans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16"/>
              <w:spacing w:after="0"/>
              <w:rPr>
                <w:sz w:val="20"/>
                <w:szCs w:val="20"/>
                <w:color w:val="auto"/>
              </w:rPr>
            </w:pPr>
            <w:r>
              <w:rPr>
                <w:rFonts w:ascii="Arial" w:cs="Arial" w:eastAsia="Arial" w:hAnsi="Arial"/>
                <w:sz w:val="18"/>
                <w:szCs w:val="18"/>
                <w:color w:val="auto"/>
              </w:rPr>
              <w:t>752,425</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36"/>
              <w:spacing w:after="0"/>
              <w:rPr>
                <w:sz w:val="20"/>
                <w:szCs w:val="20"/>
                <w:color w:val="auto"/>
              </w:rPr>
            </w:pPr>
            <w:r>
              <w:rPr>
                <w:rFonts w:ascii="Arial" w:cs="Arial" w:eastAsia="Arial" w:hAnsi="Arial"/>
                <w:sz w:val="18"/>
                <w:szCs w:val="18"/>
                <w:color w:val="auto"/>
              </w:rPr>
              <w:t>849,613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36"/>
              <w:spacing w:after="0"/>
              <w:rPr>
                <w:sz w:val="20"/>
                <w:szCs w:val="20"/>
                <w:color w:val="auto"/>
              </w:rPr>
            </w:pPr>
            <w:r>
              <w:rPr>
                <w:rFonts w:ascii="Arial" w:cs="Arial" w:eastAsia="Arial" w:hAnsi="Arial"/>
                <w:sz w:val="18"/>
                <w:szCs w:val="18"/>
                <w:color w:val="auto"/>
              </w:rPr>
              <w:t>9,889</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1,611,927</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Reserve for loan losses</w:t>
            </w:r>
          </w:p>
        </w:tc>
        <w:tc>
          <w:tcPr>
            <w:tcW w:w="2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(348,004)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(29,200)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(377,204)</w:t>
            </w:r>
          </w:p>
        </w:tc>
        <w:tc>
          <w:tcPr>
            <w:tcW w:w="0" w:type="dxa"/>
            <w:vAlign w:val="bottom"/>
          </w:tcPr>
          <w:p>
            <w:pPr>
              <w:spacing w:after="0"/>
              <w:rPr>
                <w:sz w:val="1"/>
                <w:szCs w:val="1"/>
                <w:color w:val="auto"/>
              </w:rPr>
            </w:pPr>
          </w:p>
        </w:tc>
      </w:tr>
      <w:tr>
        <w:trPr>
          <w:trHeight w:val="257"/>
        </w:trPr>
        <w:tc>
          <w:tcPr>
            <w:tcW w:w="4520" w:type="dxa"/>
            <w:vAlign w:val="bottom"/>
          </w:tcPr>
          <w:p>
            <w:pPr>
              <w:ind w:left="14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404,421</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820,413</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9,889</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1,234,723</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Notes:</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51" w:lineRule="exact"/>
        <w:rPr>
          <w:sz w:val="20"/>
          <w:szCs w:val="20"/>
          <w:color w:val="auto"/>
        </w:rPr>
      </w:pPr>
    </w:p>
    <w:p>
      <w:pPr>
        <w:jc w:val="both"/>
        <w:ind w:left="660" w:hanging="652"/>
        <w:spacing w:after="0" w:line="247" w:lineRule="auto"/>
        <w:tabs>
          <w:tab w:leader="none" w:pos="66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carrying value of these loans include unamortized discounts, premiums, deferred fees and costs aggregating to a net discount of $0.2 million and a net premium of $0.5 million as of March 31, 2014 and December 31, 2013, respectively. The Company's loans individually evaluated for impairment primarily represent loans on non-accrual status and therefore, the unamortized amounts associated with these loans are not currently being amortized into income.</w:t>
      </w:r>
    </w:p>
    <w:p>
      <w:pPr>
        <w:spacing w:after="0" w:line="1" w:lineRule="exact"/>
        <w:rPr>
          <w:rFonts w:ascii="Arial" w:cs="Arial" w:eastAsia="Arial" w:hAnsi="Arial"/>
          <w:sz w:val="14"/>
          <w:szCs w:val="14"/>
          <w:color w:val="auto"/>
        </w:rPr>
      </w:pPr>
    </w:p>
    <w:p>
      <w:pPr>
        <w:ind w:left="660" w:hanging="652"/>
        <w:spacing w:after="0" w:line="241" w:lineRule="auto"/>
        <w:tabs>
          <w:tab w:leader="none" w:pos="66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carrying value of these loans include unamortized discounts, premiums, deferred fees and costs aggregating to a net discount of $7.6 million and $4.6 million as of March 31, 2014 and December 31, 2013, respectively.</w:t>
      </w:r>
    </w:p>
    <w:p>
      <w:pPr>
        <w:ind w:left="660" w:hanging="652"/>
        <w:spacing w:after="0" w:line="293" w:lineRule="auto"/>
        <w:tabs>
          <w:tab w:leader="none" w:pos="660" w:val="left"/>
        </w:tabs>
        <w:numPr>
          <w:ilvl w:val="0"/>
          <w:numId w:val="7"/>
        </w:numPr>
        <w:rPr>
          <w:rFonts w:ascii="Arial" w:cs="Arial" w:eastAsia="Arial" w:hAnsi="Arial"/>
          <w:sz w:val="13"/>
          <w:szCs w:val="13"/>
          <w:color w:val="auto"/>
        </w:rPr>
      </w:pPr>
      <w:r>
        <w:rPr>
          <w:rFonts w:ascii="Arial" w:cs="Arial" w:eastAsia="Arial" w:hAnsi="Arial"/>
          <w:sz w:val="13"/>
          <w:szCs w:val="13"/>
          <w:color w:val="auto"/>
        </w:rPr>
        <w:t>The carrying value of these loans include unamortized discounts, premiums, deferred fees and costs aggregating to a net premium of $0.4 million and $0.4 million as of March 31, 2014 and December 31, 2013, respectively. These loans had cumulative principal balances of $9.9 million and $10.2 million, as of March 31, 2014 and December 31, 2013, respectively.</w:t>
      </w:r>
    </w:p>
    <w:p>
      <w:pPr>
        <w:spacing w:after="0" w:line="164" w:lineRule="exact"/>
        <w:rPr>
          <w:sz w:val="20"/>
          <w:szCs w:val="20"/>
          <w:color w:val="auto"/>
        </w:rPr>
      </w:pPr>
    </w:p>
    <w:p>
      <w:pPr>
        <w:jc w:val="both"/>
        <w:ind w:firstLine="432"/>
        <w:spacing w:after="0" w:line="266" w:lineRule="auto"/>
        <w:rPr>
          <w:sz w:val="20"/>
          <w:szCs w:val="20"/>
          <w:color w:val="auto"/>
        </w:rPr>
      </w:pPr>
      <w:r>
        <w:rPr>
          <w:rFonts w:ascii="Arial" w:cs="Arial" w:eastAsia="Arial" w:hAnsi="Arial"/>
          <w:sz w:val="18"/>
          <w:szCs w:val="18"/>
          <w:b w:val="1"/>
          <w:bCs w:val="1"/>
          <w:color w:val="auto"/>
        </w:rPr>
        <w:t>Credit Characteristics</w:t>
      </w:r>
      <w:r>
        <w:rPr>
          <w:rFonts w:ascii="Arial" w:cs="Arial" w:eastAsia="Arial" w:hAnsi="Arial"/>
          <w:sz w:val="18"/>
          <w:szCs w:val="18"/>
          <w:color w:val="auto"/>
        </w:rPr>
        <w:t>—As part of the Company's process for monitoring the credit quality of its loans, it performs a quarterly loan portfolio</w:t>
      </w:r>
      <w:r>
        <w:rPr>
          <w:rFonts w:ascii="Arial" w:cs="Arial" w:eastAsia="Arial" w:hAnsi="Arial"/>
          <w:sz w:val="18"/>
          <w:szCs w:val="18"/>
          <w:b w:val="1"/>
          <w:bCs w:val="1"/>
          <w:color w:val="auto"/>
        </w:rPr>
        <w:t xml:space="preserve"> </w:t>
      </w:r>
      <w:r>
        <w:rPr>
          <w:rFonts w:ascii="Arial" w:cs="Arial" w:eastAsia="Arial" w:hAnsi="Arial"/>
          <w:sz w:val="18"/>
          <w:szCs w:val="18"/>
          <w:color w:val="auto"/>
        </w:rPr>
        <w:t>assessment and assigns risk ratings to each of its performing loans. Risk ratings are based on judgments which are inherently uncertain and there can be no assurance that actual performance will not be different than current expectation.</w:t>
      </w:r>
    </w:p>
    <w:p>
      <w:pPr>
        <w:spacing w:after="0" w:line="18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Company's recorded investment in performing loans, presented by class and by credit quality, as indicated by risk rating, was as follows ($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As of</w:t>
            </w: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6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640" w:type="dxa"/>
            <w:vAlign w:val="bottom"/>
            <w:tcBorders>
              <w:bottom w:val="single" w:sz="8" w:color="auto"/>
            </w:tcBorders>
            <w:gridSpan w:val="3"/>
          </w:tcPr>
          <w:p>
            <w:pPr>
              <w:jc w:val="right"/>
              <w:ind w:right="868"/>
              <w:spacing w:after="0"/>
              <w:rPr>
                <w:sz w:val="20"/>
                <w:szCs w:val="20"/>
                <w:color w:val="auto"/>
              </w:rPr>
            </w:pPr>
            <w:r>
              <w:rPr>
                <w:rFonts w:ascii="Arial" w:cs="Arial" w:eastAsia="Arial" w:hAnsi="Arial"/>
                <w:sz w:val="14"/>
                <w:szCs w:val="14"/>
                <w:b w:val="1"/>
                <w:bCs w:val="1"/>
                <w:color w:val="auto"/>
              </w:rPr>
              <w:t>March 31, 2014</w:t>
            </w: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600" w:type="dxa"/>
            <w:vAlign w:val="bottom"/>
            <w:tcBorders>
              <w:bottom w:val="single" w:sz="8" w:color="auto"/>
            </w:tcBorders>
            <w:gridSpan w:val="3"/>
          </w:tcPr>
          <w:p>
            <w:pPr>
              <w:jc w:val="right"/>
              <w:ind w:right="748"/>
              <w:spacing w:after="0"/>
              <w:rPr>
                <w:sz w:val="20"/>
                <w:szCs w:val="20"/>
                <w:color w:val="auto"/>
              </w:rPr>
            </w:pPr>
            <w:r>
              <w:rPr>
                <w:rFonts w:ascii="Arial" w:cs="Arial" w:eastAsia="Arial" w:hAnsi="Arial"/>
                <w:sz w:val="14"/>
                <w:szCs w:val="14"/>
                <w:b w:val="1"/>
                <w:bCs w:val="1"/>
                <w:color w:val="auto"/>
              </w:rPr>
              <w:t>December 31, 2013</w:t>
            </w:r>
          </w:p>
        </w:tc>
        <w:tc>
          <w:tcPr>
            <w:tcW w:w="0" w:type="dxa"/>
            <w:vAlign w:val="bottom"/>
          </w:tcPr>
          <w:p>
            <w:pPr>
              <w:spacing w:after="0"/>
              <w:rPr>
                <w:sz w:val="1"/>
                <w:szCs w:val="1"/>
                <w:color w:val="auto"/>
              </w:rPr>
            </w:pPr>
          </w:p>
        </w:tc>
      </w:tr>
      <w:tr>
        <w:trPr>
          <w:trHeight w:val="152"/>
        </w:trPr>
        <w:tc>
          <w:tcPr>
            <w:tcW w:w="5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vMerge w:val="restart"/>
          </w:tcPr>
          <w:p>
            <w:pPr>
              <w:jc w:val="right"/>
              <w:ind w:right="258"/>
              <w:spacing w:after="0"/>
              <w:rPr>
                <w:sz w:val="20"/>
                <w:szCs w:val="20"/>
                <w:color w:val="auto"/>
              </w:rPr>
            </w:pPr>
            <w:r>
              <w:rPr>
                <w:rFonts w:ascii="Arial" w:cs="Arial" w:eastAsia="Arial" w:hAnsi="Arial"/>
                <w:sz w:val="14"/>
                <w:szCs w:val="14"/>
                <w:b w:val="1"/>
                <w:bCs w:val="1"/>
                <w:color w:val="auto"/>
              </w:rPr>
              <w:t>Performing</w:t>
            </w:r>
          </w:p>
        </w:tc>
        <w:tc>
          <w:tcPr>
            <w:tcW w:w="120" w:type="dxa"/>
            <w:vAlign w:val="bottom"/>
          </w:tcPr>
          <w:p>
            <w:pPr>
              <w:spacing w:after="0"/>
              <w:rPr>
                <w:sz w:val="13"/>
                <w:szCs w:val="13"/>
                <w:color w:val="auto"/>
              </w:rPr>
            </w:pPr>
          </w:p>
        </w:tc>
        <w:tc>
          <w:tcPr>
            <w:tcW w:w="146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1"/>
              </w:rPr>
              <w:t>Weighted</w:t>
            </w:r>
          </w:p>
        </w:tc>
        <w:tc>
          <w:tcPr>
            <w:tcW w:w="220" w:type="dxa"/>
            <w:vAlign w:val="bottom"/>
          </w:tcPr>
          <w:p>
            <w:pPr>
              <w:spacing w:after="0"/>
              <w:rPr>
                <w:sz w:val="13"/>
                <w:szCs w:val="13"/>
                <w:color w:val="auto"/>
              </w:rPr>
            </w:pPr>
          </w:p>
        </w:tc>
        <w:tc>
          <w:tcPr>
            <w:tcW w:w="1140" w:type="dxa"/>
            <w:vAlign w:val="bottom"/>
            <w:vMerge w:val="restart"/>
          </w:tcPr>
          <w:p>
            <w:pPr>
              <w:jc w:val="right"/>
              <w:ind w:right="238"/>
              <w:spacing w:after="0"/>
              <w:rPr>
                <w:sz w:val="20"/>
                <w:szCs w:val="20"/>
                <w:color w:val="auto"/>
              </w:rPr>
            </w:pPr>
            <w:r>
              <w:rPr>
                <w:rFonts w:ascii="Arial" w:cs="Arial" w:eastAsia="Arial" w:hAnsi="Arial"/>
                <w:sz w:val="14"/>
                <w:szCs w:val="14"/>
                <w:b w:val="1"/>
                <w:bCs w:val="1"/>
                <w:color w:val="auto"/>
              </w:rPr>
              <w:t>Performing</w:t>
            </w:r>
          </w:p>
        </w:tc>
        <w:tc>
          <w:tcPr>
            <w:tcW w:w="100" w:type="dxa"/>
            <w:vAlign w:val="bottom"/>
          </w:tcPr>
          <w:p>
            <w:pPr>
              <w:spacing w:after="0"/>
              <w:rPr>
                <w:sz w:val="13"/>
                <w:szCs w:val="13"/>
                <w:color w:val="auto"/>
              </w:rPr>
            </w:pPr>
          </w:p>
        </w:tc>
        <w:tc>
          <w:tcPr>
            <w:tcW w:w="13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22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92"/>
        </w:trPr>
        <w:tc>
          <w:tcPr>
            <w:tcW w:w="56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Loans</w:t>
            </w:r>
          </w:p>
        </w:tc>
        <w:tc>
          <w:tcPr>
            <w:tcW w:w="12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Risk Ratings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18"/>
              <w:spacing w:after="0"/>
              <w:rPr>
                <w:sz w:val="20"/>
                <w:szCs w:val="20"/>
                <w:color w:val="auto"/>
              </w:rPr>
            </w:pPr>
            <w:r>
              <w:rPr>
                <w:rFonts w:ascii="Arial" w:cs="Arial" w:eastAsia="Arial" w:hAnsi="Arial"/>
                <w:sz w:val="14"/>
                <w:szCs w:val="14"/>
                <w:b w:val="1"/>
                <w:bCs w:val="1"/>
                <w:color w:val="auto"/>
              </w:rPr>
              <w:t>Loans</w:t>
            </w: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Risk Ratings</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mortgages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624,044</w:t>
            </w:r>
          </w:p>
        </w:tc>
        <w:tc>
          <w:tcPr>
            <w:tcW w:w="146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2.69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591,145</w:t>
            </w:r>
          </w:p>
        </w:tc>
        <w:tc>
          <w:tcPr>
            <w:tcW w:w="146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Subordinate mortgages</w:t>
            </w:r>
          </w:p>
        </w:tc>
        <w:tc>
          <w:tcPr>
            <w:tcW w:w="220" w:type="dxa"/>
            <w:vAlign w:val="bottom"/>
          </w:tcPr>
          <w:p>
            <w:pPr>
              <w:spacing w:after="0"/>
              <w:rPr>
                <w:sz w:val="21"/>
                <w:szCs w:val="21"/>
                <w:color w:val="auto"/>
              </w:rPr>
            </w:pPr>
          </w:p>
        </w:tc>
        <w:tc>
          <w:tcPr>
            <w:tcW w:w="1180" w:type="dxa"/>
            <w:vAlign w:val="bottom"/>
          </w:tcPr>
          <w:p>
            <w:pPr>
              <w:jc w:val="right"/>
              <w:ind w:right="38"/>
              <w:spacing w:after="0"/>
              <w:rPr>
                <w:sz w:val="20"/>
                <w:szCs w:val="20"/>
                <w:color w:val="auto"/>
              </w:rPr>
            </w:pPr>
            <w:r>
              <w:rPr>
                <w:rFonts w:ascii="Arial" w:cs="Arial" w:eastAsia="Arial" w:hAnsi="Arial"/>
                <w:sz w:val="18"/>
                <w:szCs w:val="18"/>
                <w:color w:val="auto"/>
              </w:rPr>
              <w:t>62,449</w:t>
            </w:r>
          </w:p>
        </w:tc>
        <w:tc>
          <w:tcPr>
            <w:tcW w:w="1460" w:type="dxa"/>
            <w:vAlign w:val="bottom"/>
            <w:gridSpan w:val="2"/>
          </w:tcPr>
          <w:p>
            <w:pPr>
              <w:jc w:val="right"/>
              <w:ind w:right="28"/>
              <w:spacing w:after="0"/>
              <w:rPr>
                <w:sz w:val="20"/>
                <w:szCs w:val="20"/>
                <w:color w:val="auto"/>
              </w:rPr>
            </w:pPr>
            <w:r>
              <w:rPr>
                <w:rFonts w:ascii="Arial" w:cs="Arial" w:eastAsia="Arial" w:hAnsi="Arial"/>
                <w:sz w:val="18"/>
                <w:szCs w:val="18"/>
                <w:color w:val="auto"/>
              </w:rPr>
              <w:t>3.40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8"/>
              <w:spacing w:after="0"/>
              <w:rPr>
                <w:sz w:val="20"/>
                <w:szCs w:val="20"/>
                <w:color w:val="auto"/>
              </w:rPr>
            </w:pPr>
            <w:r>
              <w:rPr>
                <w:rFonts w:ascii="Arial" w:cs="Arial" w:eastAsia="Arial" w:hAnsi="Arial"/>
                <w:sz w:val="18"/>
                <w:szCs w:val="18"/>
                <w:color w:val="auto"/>
              </w:rPr>
              <w:t>61,364</w:t>
            </w:r>
          </w:p>
        </w:tc>
        <w:tc>
          <w:tcPr>
            <w:tcW w:w="1460" w:type="dxa"/>
            <w:vAlign w:val="bottom"/>
            <w:gridSpan w:val="2"/>
          </w:tcPr>
          <w:p>
            <w:pPr>
              <w:jc w:val="right"/>
              <w:ind w:right="28"/>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Corporate/Partnership loans</w:t>
            </w: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494,012</w:t>
            </w:r>
          </w:p>
        </w:tc>
        <w:tc>
          <w:tcPr>
            <w:tcW w:w="146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3.66</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438,831</w:t>
            </w:r>
          </w:p>
        </w:tc>
        <w:tc>
          <w:tcPr>
            <w:tcW w:w="146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57"/>
        </w:trPr>
        <w:tc>
          <w:tcPr>
            <w:tcW w:w="5620" w:type="dxa"/>
            <w:vAlign w:val="bottom"/>
          </w:tcPr>
          <w:p>
            <w:pPr>
              <w:ind w:left="12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1,180,505</w:t>
            </w:r>
          </w:p>
        </w:tc>
        <w:tc>
          <w:tcPr>
            <w:tcW w:w="1460" w:type="dxa"/>
            <w:vAlign w:val="bottom"/>
            <w:gridSpan w:val="2"/>
          </w:tcPr>
          <w:p>
            <w:pPr>
              <w:jc w:val="right"/>
              <w:ind w:right="28"/>
              <w:spacing w:after="0"/>
              <w:rPr>
                <w:sz w:val="20"/>
                <w:szCs w:val="20"/>
                <w:color w:val="auto"/>
              </w:rPr>
            </w:pPr>
            <w:r>
              <w:rPr>
                <w:rFonts w:ascii="Arial" w:cs="Arial" w:eastAsia="Arial" w:hAnsi="Arial"/>
                <w:sz w:val="18"/>
                <w:szCs w:val="18"/>
                <w:color w:val="auto"/>
              </w:rPr>
              <w:t>3.14</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1,091,340</w:t>
            </w:r>
          </w:p>
        </w:tc>
        <w:tc>
          <w:tcPr>
            <w:tcW w:w="1460" w:type="dxa"/>
            <w:vAlign w:val="bottom"/>
            <w:gridSpan w:val="2"/>
          </w:tcPr>
          <w:p>
            <w:pPr>
              <w:jc w:val="right"/>
              <w:ind w:right="28"/>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As of March 31, 2014, the Company's recorded investment in loans, aged by payment status and presented by class, were as follows ($ in thousands):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ind w:left="360"/>
              <w:spacing w:after="0"/>
              <w:rPr>
                <w:sz w:val="20"/>
                <w:szCs w:val="20"/>
                <w:color w:val="auto"/>
              </w:rPr>
            </w:pPr>
            <w:r>
              <w:rPr>
                <w:rFonts w:ascii="Arial" w:cs="Arial" w:eastAsia="Arial" w:hAnsi="Arial"/>
                <w:sz w:val="14"/>
                <w:szCs w:val="14"/>
                <w:b w:val="1"/>
                <w:bCs w:val="1"/>
                <w:color w:val="auto"/>
                <w:w w:val="95"/>
              </w:rPr>
              <w:t>Less Than</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6"/>
              </w:rPr>
              <w:t>Greater</w:t>
            </w:r>
          </w:p>
        </w:tc>
        <w:tc>
          <w:tcPr>
            <w:tcW w:w="260" w:type="dxa"/>
            <w:vAlign w:val="bottom"/>
          </w:tcPr>
          <w:p>
            <w:pPr>
              <w:spacing w:after="0"/>
              <w:rPr>
                <w:sz w:val="14"/>
                <w:szCs w:val="14"/>
                <w:color w:val="auto"/>
              </w:rPr>
            </w:pPr>
          </w:p>
        </w:tc>
        <w:tc>
          <w:tcPr>
            <w:tcW w:w="122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Total</w:t>
            </w: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vMerge w:val="restart"/>
          </w:tcPr>
          <w:p>
            <w:pPr>
              <w:jc w:val="right"/>
              <w:ind w:right="374"/>
              <w:spacing w:after="0"/>
              <w:rPr>
                <w:sz w:val="20"/>
                <w:szCs w:val="20"/>
                <w:color w:val="auto"/>
              </w:rPr>
            </w:pPr>
            <w:r>
              <w:rPr>
                <w:rFonts w:ascii="Arial" w:cs="Arial" w:eastAsia="Arial" w:hAnsi="Arial"/>
                <w:sz w:val="14"/>
                <w:szCs w:val="14"/>
                <w:b w:val="1"/>
                <w:bCs w:val="1"/>
                <w:color w:val="auto"/>
              </w:rPr>
              <w:t>Current</w:t>
            </w:r>
          </w:p>
        </w:tc>
        <w:tc>
          <w:tcPr>
            <w:tcW w:w="100" w:type="dxa"/>
            <w:vAlign w:val="bottom"/>
          </w:tcPr>
          <w:p>
            <w:pPr>
              <w:spacing w:after="0"/>
              <w:rPr>
                <w:sz w:val="12"/>
                <w:szCs w:val="12"/>
                <w:color w:val="auto"/>
              </w:rPr>
            </w:pPr>
          </w:p>
        </w:tc>
        <w:tc>
          <w:tcPr>
            <w:tcW w:w="1040" w:type="dxa"/>
            <w:vAlign w:val="bottom"/>
          </w:tcPr>
          <w:p>
            <w:pPr>
              <w:ind w:left="360"/>
              <w:spacing w:after="0" w:line="149" w:lineRule="exact"/>
              <w:rPr>
                <w:sz w:val="20"/>
                <w:szCs w:val="20"/>
                <w:color w:val="auto"/>
              </w:rPr>
            </w:pPr>
            <w:r>
              <w:rPr>
                <w:rFonts w:ascii="Arial" w:cs="Arial" w:eastAsia="Arial" w:hAnsi="Arial"/>
                <w:sz w:val="14"/>
                <w:szCs w:val="14"/>
                <w:b w:val="1"/>
                <w:bCs w:val="1"/>
                <w:color w:val="auto"/>
                <w:w w:val="98"/>
              </w:rPr>
              <w:t>and Equal</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rPr>
              <w:t>Than</w:t>
            </w:r>
          </w:p>
        </w:tc>
        <w:tc>
          <w:tcPr>
            <w:tcW w:w="26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vMerge w:val="restart"/>
          </w:tcPr>
          <w:p>
            <w:pPr>
              <w:jc w:val="right"/>
              <w:ind w:right="43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w w:val="94"/>
              </w:rPr>
              <w:t>to 90 Days</w:t>
            </w:r>
          </w:p>
        </w:tc>
        <w:tc>
          <w:tcPr>
            <w:tcW w:w="3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98"/>
              <w:spacing w:after="0"/>
              <w:rPr>
                <w:sz w:val="20"/>
                <w:szCs w:val="20"/>
                <w:color w:val="auto"/>
              </w:rPr>
            </w:pPr>
            <w:r>
              <w:rPr>
                <w:rFonts w:ascii="Arial" w:cs="Arial" w:eastAsia="Arial" w:hAnsi="Arial"/>
                <w:sz w:val="14"/>
                <w:szCs w:val="14"/>
                <w:b w:val="1"/>
                <w:bCs w:val="1"/>
                <w:color w:val="auto"/>
                <w:w w:val="90"/>
              </w:rPr>
              <w:t>90 Days</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Past Due</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mortgages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658,085</w:t>
            </w:r>
          </w:p>
        </w:tc>
        <w:tc>
          <w:tcPr>
            <w:tcW w:w="1140" w:type="dxa"/>
            <w:vAlign w:val="bottom"/>
            <w:tcBorders>
              <w:bottom w:val="single" w:sz="8" w:color="CCEEFF"/>
            </w:tcBorders>
            <w:gridSpan w:val="2"/>
            <w:shd w:val="clear" w:color="auto" w:fill="CCEEFF"/>
          </w:tcPr>
          <w:p>
            <w:pPr>
              <w:jc w:val="center"/>
              <w:ind w:right="724"/>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448,737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448,737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1,106,822</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Subordinate mortgages</w:t>
            </w:r>
          </w:p>
        </w:tc>
        <w:tc>
          <w:tcPr>
            <w:tcW w:w="30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62,449</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4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62,449</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Corporate/Partnership loans</w:t>
            </w:r>
          </w:p>
        </w:tc>
        <w:tc>
          <w:tcPr>
            <w:tcW w:w="3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531,391</w:t>
            </w:r>
          </w:p>
        </w:tc>
        <w:tc>
          <w:tcPr>
            <w:tcW w:w="1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531,391</w:t>
            </w:r>
          </w:p>
        </w:tc>
        <w:tc>
          <w:tcPr>
            <w:tcW w:w="0" w:type="dxa"/>
            <w:vAlign w:val="bottom"/>
          </w:tcPr>
          <w:p>
            <w:pPr>
              <w:spacing w:after="0"/>
              <w:rPr>
                <w:sz w:val="1"/>
                <w:szCs w:val="1"/>
                <w:color w:val="auto"/>
              </w:rPr>
            </w:pPr>
          </w:p>
        </w:tc>
      </w:tr>
      <w:tr>
        <w:trPr>
          <w:trHeight w:val="257"/>
        </w:trPr>
        <w:tc>
          <w:tcPr>
            <w:tcW w:w="4120" w:type="dxa"/>
            <w:vAlign w:val="bottom"/>
          </w:tcPr>
          <w:p>
            <w:pPr>
              <w:ind w:left="18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1,251,925</w:t>
            </w:r>
          </w:p>
        </w:tc>
        <w:tc>
          <w:tcPr>
            <w:tcW w:w="100" w:type="dxa"/>
            <w:vAlign w:val="bottom"/>
          </w:tcPr>
          <w:p>
            <w:pPr>
              <w:spacing w:after="0"/>
              <w:rPr>
                <w:sz w:val="22"/>
                <w:szCs w:val="22"/>
                <w:color w:val="auto"/>
              </w:rPr>
            </w:pPr>
          </w:p>
        </w:tc>
        <w:tc>
          <w:tcPr>
            <w:tcW w:w="1040" w:type="dxa"/>
            <w:vAlign w:val="bottom"/>
            <w:tcBorders>
              <w:top w:val="single" w:sz="8" w:color="auto"/>
              <w:bottom w:val="single" w:sz="8" w:color="auto"/>
            </w:tcBorders>
          </w:tcPr>
          <w:p>
            <w:pPr>
              <w:jc w:val="center"/>
              <w:ind w:right="824"/>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448,737</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448,737</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1,700,662</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40" w:type="dxa"/>
            <w:vAlign w:val="bottom"/>
            <w:gridSpan w:val="2"/>
          </w:tcPr>
          <w:p>
            <w:pPr>
              <w:jc w:val="center"/>
              <w:ind w:right="724"/>
              <w:spacing w:after="0"/>
              <w:rPr>
                <w:sz w:val="20"/>
                <w:szCs w:val="20"/>
                <w:color w:val="auto"/>
              </w:rPr>
            </w:pPr>
            <w:r>
              <w:rPr>
                <w:rFonts w:ascii="Arial" w:cs="Arial" w:eastAsia="Arial" w:hAnsi="Arial"/>
                <w:sz w:val="18"/>
                <w:szCs w:val="18"/>
                <w:color w:val="auto"/>
                <w:w w:val="89"/>
              </w:rPr>
              <w:t>11</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13" w:name="page14"/>
    <w:bookmarkEnd w:id="13"/>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0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Impaired Loans</w:t>
      </w:r>
      <w:r>
        <w:rPr>
          <w:rFonts w:ascii="Arial" w:cs="Arial" w:eastAsia="Arial" w:hAnsi="Arial"/>
          <w:sz w:val="18"/>
          <w:szCs w:val="18"/>
          <w:color w:val="auto"/>
        </w:rPr>
        <w:t>—The Company's recorded investment in impaired loans, presented by class, were as follows ($ in thousands)(1):</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As of March 31, 2014</w:t>
            </w: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6"/>
          </w:tcPr>
          <w:p>
            <w:pPr>
              <w:jc w:val="center"/>
              <w:ind w:right="50"/>
              <w:spacing w:after="0"/>
              <w:rPr>
                <w:sz w:val="20"/>
                <w:szCs w:val="20"/>
                <w:color w:val="auto"/>
              </w:rPr>
            </w:pPr>
            <w:r>
              <w:rPr>
                <w:rFonts w:ascii="Arial" w:cs="Arial" w:eastAsia="Arial" w:hAnsi="Arial"/>
                <w:sz w:val="14"/>
                <w:szCs w:val="14"/>
                <w:b w:val="1"/>
                <w:bCs w:val="1"/>
                <w:color w:val="auto"/>
                <w:w w:val="92"/>
              </w:rPr>
              <w:t>As of December 31, 2013</w:t>
            </w: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vMerge w:val="restart"/>
          </w:tcPr>
          <w:p>
            <w:pPr>
              <w:jc w:val="right"/>
              <w:ind w:right="254"/>
              <w:spacing w:after="0"/>
              <w:rPr>
                <w:sz w:val="20"/>
                <w:szCs w:val="20"/>
                <w:color w:val="auto"/>
              </w:rPr>
            </w:pPr>
            <w:r>
              <w:rPr>
                <w:rFonts w:ascii="Arial" w:cs="Arial" w:eastAsia="Arial" w:hAnsi="Arial"/>
                <w:sz w:val="14"/>
                <w:szCs w:val="14"/>
                <w:b w:val="1"/>
                <w:bCs w:val="1"/>
                <w:color w:val="auto"/>
              </w:rPr>
              <w:t>Recorded</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6"/>
              </w:rPr>
              <w:t>Unpaid</w:t>
            </w:r>
          </w:p>
        </w:tc>
        <w:tc>
          <w:tcPr>
            <w:tcW w:w="200" w:type="dxa"/>
            <w:vAlign w:val="bottom"/>
          </w:tcPr>
          <w:p>
            <w:pPr>
              <w:spacing w:after="0"/>
              <w:rPr>
                <w:sz w:val="13"/>
                <w:szCs w:val="13"/>
                <w:color w:val="auto"/>
              </w:rPr>
            </w:pPr>
          </w:p>
        </w:tc>
        <w:tc>
          <w:tcPr>
            <w:tcW w:w="11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4"/>
              </w:rPr>
              <w:t>Related</w:t>
            </w:r>
          </w:p>
        </w:tc>
        <w:tc>
          <w:tcPr>
            <w:tcW w:w="200" w:type="dxa"/>
            <w:vAlign w:val="bottom"/>
          </w:tcPr>
          <w:p>
            <w:pPr>
              <w:spacing w:after="0"/>
              <w:rPr>
                <w:sz w:val="13"/>
                <w:szCs w:val="13"/>
                <w:color w:val="auto"/>
              </w:rPr>
            </w:pPr>
          </w:p>
        </w:tc>
        <w:tc>
          <w:tcPr>
            <w:tcW w:w="1000" w:type="dxa"/>
            <w:vAlign w:val="bottom"/>
            <w:vMerge w:val="restart"/>
          </w:tcPr>
          <w:p>
            <w:pPr>
              <w:jc w:val="right"/>
              <w:ind w:right="194"/>
              <w:spacing w:after="0"/>
              <w:rPr>
                <w:sz w:val="20"/>
                <w:szCs w:val="20"/>
                <w:color w:val="auto"/>
              </w:rPr>
            </w:pPr>
            <w:r>
              <w:rPr>
                <w:rFonts w:ascii="Arial" w:cs="Arial" w:eastAsia="Arial" w:hAnsi="Arial"/>
                <w:sz w:val="14"/>
                <w:szCs w:val="14"/>
                <w:b w:val="1"/>
                <w:bCs w:val="1"/>
                <w:color w:val="auto"/>
              </w:rPr>
              <w:t>Recorded</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6"/>
              </w:rPr>
              <w:t>Unpaid</w:t>
            </w:r>
          </w:p>
        </w:tc>
        <w:tc>
          <w:tcPr>
            <w:tcW w:w="220" w:type="dxa"/>
            <w:vAlign w:val="bottom"/>
          </w:tcPr>
          <w:p>
            <w:pPr>
              <w:spacing w:after="0"/>
              <w:rPr>
                <w:sz w:val="13"/>
                <w:szCs w:val="13"/>
                <w:color w:val="auto"/>
              </w:rPr>
            </w:pPr>
          </w:p>
        </w:tc>
        <w:tc>
          <w:tcPr>
            <w:tcW w:w="1040" w:type="dxa"/>
            <w:vAlign w:val="bottom"/>
            <w:vMerge w:val="restart"/>
          </w:tcPr>
          <w:p>
            <w:pPr>
              <w:jc w:val="right"/>
              <w:ind w:right="314"/>
              <w:spacing w:after="0"/>
              <w:rPr>
                <w:sz w:val="20"/>
                <w:szCs w:val="20"/>
                <w:color w:val="auto"/>
              </w:rPr>
            </w:pPr>
            <w:r>
              <w:rPr>
                <w:rFonts w:ascii="Arial" w:cs="Arial" w:eastAsia="Arial" w:hAnsi="Arial"/>
                <w:sz w:val="14"/>
                <w:szCs w:val="14"/>
                <w:b w:val="1"/>
                <w:bCs w:val="1"/>
                <w:color w:val="auto"/>
              </w:rPr>
              <w:t>Related</w:t>
            </w: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Principal</w:t>
            </w:r>
          </w:p>
        </w:tc>
        <w:tc>
          <w:tcPr>
            <w:tcW w:w="2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7"/>
              </w:rPr>
              <w:t>Principal</w:t>
            </w:r>
          </w:p>
        </w:tc>
        <w:tc>
          <w:tcPr>
            <w:tcW w:w="2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ind w:right="214"/>
              <w:spacing w:after="0"/>
              <w:rPr>
                <w:sz w:val="20"/>
                <w:szCs w:val="20"/>
                <w:color w:val="auto"/>
              </w:rPr>
            </w:pPr>
            <w:r>
              <w:rPr>
                <w:rFonts w:ascii="Arial" w:cs="Arial" w:eastAsia="Arial" w:hAnsi="Arial"/>
                <w:sz w:val="14"/>
                <w:szCs w:val="14"/>
                <w:b w:val="1"/>
                <w:bCs w:val="1"/>
                <w:color w:val="auto"/>
              </w:rPr>
              <w:t>Investment</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Balance</w:t>
            </w:r>
          </w:p>
        </w:tc>
        <w:tc>
          <w:tcPr>
            <w:tcW w:w="200" w:type="dxa"/>
            <w:vAlign w:val="bottom"/>
          </w:tcPr>
          <w:p>
            <w:pPr>
              <w:spacing w:after="0"/>
              <w:rPr>
                <w:sz w:val="16"/>
                <w:szCs w:val="16"/>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Allowance</w:t>
            </w:r>
          </w:p>
        </w:tc>
        <w:tc>
          <w:tcPr>
            <w:tcW w:w="200" w:type="dxa"/>
            <w:vAlign w:val="bottom"/>
          </w:tcPr>
          <w:p>
            <w:pPr>
              <w:spacing w:after="0"/>
              <w:rPr>
                <w:sz w:val="16"/>
                <w:szCs w:val="16"/>
                <w:color w:val="auto"/>
              </w:rPr>
            </w:pPr>
          </w:p>
        </w:tc>
        <w:tc>
          <w:tcPr>
            <w:tcW w:w="1000" w:type="dxa"/>
            <w:vAlign w:val="bottom"/>
          </w:tcPr>
          <w:p>
            <w:pPr>
              <w:jc w:val="right"/>
              <w:ind w:right="154"/>
              <w:spacing w:after="0"/>
              <w:rPr>
                <w:sz w:val="20"/>
                <w:szCs w:val="20"/>
                <w:color w:val="auto"/>
              </w:rPr>
            </w:pPr>
            <w:r>
              <w:rPr>
                <w:rFonts w:ascii="Arial" w:cs="Arial" w:eastAsia="Arial" w:hAnsi="Arial"/>
                <w:sz w:val="14"/>
                <w:szCs w:val="14"/>
                <w:b w:val="1"/>
                <w:bCs w:val="1"/>
                <w:color w:val="auto"/>
              </w:rPr>
              <w:t>Investment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Balance</w:t>
            </w:r>
          </w:p>
        </w:tc>
        <w:tc>
          <w:tcPr>
            <w:tcW w:w="220" w:type="dxa"/>
            <w:vAlign w:val="bottom"/>
          </w:tcPr>
          <w:p>
            <w:pPr>
              <w:spacing w:after="0"/>
              <w:rPr>
                <w:sz w:val="16"/>
                <w:szCs w:val="16"/>
                <w:color w:val="auto"/>
              </w:rPr>
            </w:pPr>
          </w:p>
        </w:tc>
        <w:tc>
          <w:tcPr>
            <w:tcW w:w="1040" w:type="dxa"/>
            <w:vAlign w:val="bottom"/>
          </w:tcPr>
          <w:p>
            <w:pPr>
              <w:jc w:val="right"/>
              <w:ind w:right="214"/>
              <w:spacing w:after="0"/>
              <w:rPr>
                <w:sz w:val="20"/>
                <w:szCs w:val="20"/>
                <w:color w:val="auto"/>
              </w:rPr>
            </w:pPr>
            <w:r>
              <w:rPr>
                <w:rFonts w:ascii="Arial" w:cs="Arial" w:eastAsia="Arial" w:hAnsi="Arial"/>
                <w:sz w:val="14"/>
                <w:szCs w:val="14"/>
                <w:b w:val="1"/>
                <w:bCs w:val="1"/>
                <w:color w:val="auto"/>
              </w:rPr>
              <w:t>Allowance</w:t>
            </w:r>
          </w:p>
        </w:tc>
        <w:tc>
          <w:tcPr>
            <w:tcW w:w="0" w:type="dxa"/>
            <w:vAlign w:val="bottom"/>
          </w:tcPr>
          <w:p>
            <w:pPr>
              <w:spacing w:after="0"/>
              <w:rPr>
                <w:sz w:val="1"/>
                <w:szCs w:val="1"/>
                <w:color w:val="auto"/>
              </w:rPr>
            </w:pPr>
          </w:p>
        </w:tc>
      </w:tr>
      <w:tr>
        <w:trPr>
          <w:trHeight w:val="250"/>
        </w:trPr>
        <w:tc>
          <w:tcPr>
            <w:tcW w:w="3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With no related allowance recorded:</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Senior mortgages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94,013</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93,286</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3,012</w:t>
            </w:r>
          </w:p>
        </w:tc>
        <w:tc>
          <w:tcPr>
            <w:tcW w:w="40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2,992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With an allowance recorded:</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Senior mortgages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505,745</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502,319</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(297,173)</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650,337</w:t>
            </w:r>
          </w:p>
        </w:tc>
        <w:tc>
          <w:tcPr>
            <w:tcW w:w="40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645,463</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(304,544)</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Corporate/Partnership loans</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88,054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88,027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(41,903)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99,076</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99,067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(43,460)</w:t>
            </w:r>
          </w:p>
        </w:tc>
        <w:tc>
          <w:tcPr>
            <w:tcW w:w="0" w:type="dxa"/>
            <w:vAlign w:val="bottom"/>
          </w:tcPr>
          <w:p>
            <w:pPr>
              <w:spacing w:after="0"/>
              <w:rPr>
                <w:sz w:val="1"/>
                <w:szCs w:val="1"/>
                <w:color w:val="auto"/>
              </w:rPr>
            </w:pPr>
          </w:p>
        </w:tc>
      </w:tr>
      <w:tr>
        <w:trPr>
          <w:trHeight w:val="237"/>
        </w:trPr>
        <w:tc>
          <w:tcPr>
            <w:tcW w:w="3340" w:type="dxa"/>
            <w:vAlign w:val="bottom"/>
          </w:tcPr>
          <w:p>
            <w:pPr>
              <w:ind w:left="380"/>
              <w:spacing w:after="0"/>
              <w:rPr>
                <w:sz w:val="20"/>
                <w:szCs w:val="20"/>
                <w:color w:val="auto"/>
              </w:rPr>
            </w:pPr>
            <w:r>
              <w:rPr>
                <w:rFonts w:ascii="Arial" w:cs="Arial" w:eastAsia="Arial" w:hAnsi="Arial"/>
                <w:sz w:val="18"/>
                <w:szCs w:val="18"/>
                <w:color w:val="auto"/>
              </w:rPr>
              <w:t>Subtotal</w:t>
            </w: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593,799</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590,346</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(339,076)</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749,413</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744,530</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(348,004)</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Senior mortgages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599,758</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595,605</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(297,173)</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653,349</w:t>
            </w:r>
          </w:p>
        </w:tc>
        <w:tc>
          <w:tcPr>
            <w:tcW w:w="40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648,455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(304,544)</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Corporate/Partnership loans</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88,054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88,027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(41,903)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99,076</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99,067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(43,460)</w:t>
            </w:r>
          </w:p>
        </w:tc>
        <w:tc>
          <w:tcPr>
            <w:tcW w:w="0" w:type="dxa"/>
            <w:vAlign w:val="bottom"/>
          </w:tcPr>
          <w:p>
            <w:pPr>
              <w:spacing w:after="0"/>
              <w:rPr>
                <w:sz w:val="1"/>
                <w:szCs w:val="1"/>
                <w:color w:val="auto"/>
              </w:rPr>
            </w:pPr>
          </w:p>
        </w:tc>
      </w:tr>
      <w:tr>
        <w:trPr>
          <w:trHeight w:val="257"/>
        </w:trPr>
        <w:tc>
          <w:tcPr>
            <w:tcW w:w="3340" w:type="dxa"/>
            <w:vAlign w:val="bottom"/>
          </w:tcPr>
          <w:p>
            <w:pPr>
              <w:ind w:left="38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687,812</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683,632</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(339,076)</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752,425</w:t>
            </w:r>
          </w:p>
        </w:tc>
        <w:tc>
          <w:tcPr>
            <w:tcW w:w="6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747,522</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(348,004)</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51" w:lineRule="exact"/>
        <w:rPr>
          <w:sz w:val="20"/>
          <w:szCs w:val="20"/>
          <w:color w:val="auto"/>
        </w:rPr>
      </w:pPr>
    </w:p>
    <w:p>
      <w:pPr>
        <w:jc w:val="both"/>
        <w:ind w:left="660" w:hanging="652"/>
        <w:spacing w:after="0" w:line="257" w:lineRule="auto"/>
        <w:tabs>
          <w:tab w:leader="none" w:pos="660" w:val="left"/>
        </w:tabs>
        <w:numPr>
          <w:ilvl w:val="0"/>
          <w:numId w:val="8"/>
        </w:numPr>
        <w:rPr>
          <w:rFonts w:ascii="Arial" w:cs="Arial" w:eastAsia="Arial" w:hAnsi="Arial"/>
          <w:sz w:val="14"/>
          <w:szCs w:val="14"/>
          <w:color w:val="auto"/>
        </w:rPr>
      </w:pPr>
      <w:r>
        <w:rPr>
          <w:rFonts w:ascii="Arial" w:cs="Arial" w:eastAsia="Arial" w:hAnsi="Arial"/>
          <w:sz w:val="14"/>
          <w:szCs w:val="14"/>
          <w:color w:val="auto"/>
        </w:rPr>
        <w:t>All of the Company's non-accrual loans are considered impaired and included in the table above. In addition, as of March 31, 2014 and December 31, 2013, certain loans modified through troubled debt restructurings with a recorded investment of $167.7 million and $231.8 million, respectively, are also included as impaired loans in accordance with GAAP although they are performing and on accrual status.</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Company's average recorded investment in impaired loans and interest income recognized, presented by class, were as follows ($ in thousands):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234"/>
              <w:spacing w:after="0"/>
              <w:rPr>
                <w:sz w:val="20"/>
                <w:szCs w:val="20"/>
                <w:color w:val="auto"/>
              </w:rPr>
            </w:pPr>
            <w:r>
              <w:rPr>
                <w:rFonts w:ascii="Arial" w:cs="Arial" w:eastAsia="Arial" w:hAnsi="Arial"/>
                <w:sz w:val="14"/>
                <w:szCs w:val="14"/>
                <w:b w:val="1"/>
                <w:bCs w:val="1"/>
                <w:color w:val="auto"/>
                <w:w w:val="99"/>
              </w:rPr>
              <w:t>For the Three Months Ended March 31,</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r>
      <w:tr>
        <w:trPr>
          <w:trHeight w:val="264"/>
        </w:trPr>
        <w:tc>
          <w:tcPr>
            <w:tcW w:w="47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w w:val="89"/>
              </w:rPr>
              <w:t>2014</w:t>
            </w:r>
          </w:p>
        </w:tc>
        <w:tc>
          <w:tcPr>
            <w:tcW w:w="13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w w:val="89"/>
              </w:rPr>
              <w:t>2013</w:t>
            </w:r>
          </w:p>
        </w:tc>
        <w:tc>
          <w:tcPr>
            <w:tcW w:w="1320" w:type="dxa"/>
            <w:vAlign w:val="bottom"/>
            <w:tcBorders>
              <w:bottom w:val="single" w:sz="8" w:color="auto"/>
            </w:tcBorders>
          </w:tcPr>
          <w:p>
            <w:pPr>
              <w:spacing w:after="0"/>
              <w:rPr>
                <w:sz w:val="22"/>
                <w:szCs w:val="22"/>
                <w:color w:val="auto"/>
              </w:rPr>
            </w:pPr>
          </w:p>
        </w:tc>
      </w:tr>
      <w:tr>
        <w:trPr>
          <w:trHeight w:val="152"/>
        </w:trPr>
        <w:tc>
          <w:tcPr>
            <w:tcW w:w="4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40" w:type="dxa"/>
            <w:vAlign w:val="bottom"/>
          </w:tcPr>
          <w:p>
            <w:pPr>
              <w:jc w:val="center"/>
              <w:ind w:right="94"/>
              <w:spacing w:after="0" w:line="153" w:lineRule="exact"/>
              <w:rPr>
                <w:sz w:val="20"/>
                <w:szCs w:val="20"/>
                <w:color w:val="auto"/>
              </w:rPr>
            </w:pPr>
            <w:r>
              <w:rPr>
                <w:rFonts w:ascii="Arial" w:cs="Arial" w:eastAsia="Arial" w:hAnsi="Arial"/>
                <w:sz w:val="14"/>
                <w:szCs w:val="14"/>
                <w:b w:val="1"/>
                <w:bCs w:val="1"/>
                <w:color w:val="auto"/>
                <w:w w:val="90"/>
              </w:rPr>
              <w:t>Average</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2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4"/>
              </w:rPr>
              <w:t>Interest</w:t>
            </w:r>
          </w:p>
        </w:tc>
        <w:tc>
          <w:tcPr>
            <w:tcW w:w="280" w:type="dxa"/>
            <w:vAlign w:val="bottom"/>
          </w:tcPr>
          <w:p>
            <w:pPr>
              <w:spacing w:after="0"/>
              <w:rPr>
                <w:sz w:val="13"/>
                <w:szCs w:val="13"/>
                <w:color w:val="auto"/>
              </w:rPr>
            </w:pPr>
          </w:p>
        </w:tc>
        <w:tc>
          <w:tcPr>
            <w:tcW w:w="1220" w:type="dxa"/>
            <w:vAlign w:val="bottom"/>
          </w:tcPr>
          <w:p>
            <w:pPr>
              <w:jc w:val="center"/>
              <w:ind w:right="74"/>
              <w:spacing w:after="0" w:line="153" w:lineRule="exact"/>
              <w:rPr>
                <w:sz w:val="20"/>
                <w:szCs w:val="20"/>
                <w:color w:val="auto"/>
              </w:rPr>
            </w:pPr>
            <w:r>
              <w:rPr>
                <w:rFonts w:ascii="Arial" w:cs="Arial" w:eastAsia="Arial" w:hAnsi="Arial"/>
                <w:sz w:val="14"/>
                <w:szCs w:val="14"/>
                <w:b w:val="1"/>
                <w:bCs w:val="1"/>
                <w:color w:val="auto"/>
                <w:w w:val="90"/>
              </w:rPr>
              <w:t>Average</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20" w:type="dxa"/>
            <w:vAlign w:val="bottom"/>
          </w:tcPr>
          <w:p>
            <w:pPr>
              <w:jc w:val="center"/>
              <w:ind w:right="194"/>
              <w:spacing w:after="0" w:line="153" w:lineRule="exact"/>
              <w:rPr>
                <w:sz w:val="20"/>
                <w:szCs w:val="20"/>
                <w:color w:val="auto"/>
              </w:rPr>
            </w:pPr>
            <w:r>
              <w:rPr>
                <w:rFonts w:ascii="Arial" w:cs="Arial" w:eastAsia="Arial" w:hAnsi="Arial"/>
                <w:sz w:val="14"/>
                <w:szCs w:val="14"/>
                <w:b w:val="1"/>
                <w:bCs w:val="1"/>
                <w:color w:val="auto"/>
                <w:w w:val="94"/>
              </w:rPr>
              <w:t>Interest</w:t>
            </w:r>
          </w:p>
        </w:tc>
      </w:tr>
      <w:tr>
        <w:trPr>
          <w:trHeight w:val="149"/>
        </w:trPr>
        <w:tc>
          <w:tcPr>
            <w:tcW w:w="4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tcPr>
          <w:p>
            <w:pPr>
              <w:jc w:val="center"/>
              <w:ind w:right="114"/>
              <w:spacing w:after="0" w:line="149" w:lineRule="exact"/>
              <w:rPr>
                <w:sz w:val="20"/>
                <w:szCs w:val="20"/>
                <w:color w:val="auto"/>
              </w:rPr>
            </w:pPr>
            <w:r>
              <w:rPr>
                <w:rFonts w:ascii="Arial" w:cs="Arial" w:eastAsia="Arial" w:hAnsi="Arial"/>
                <w:sz w:val="14"/>
                <w:szCs w:val="14"/>
                <w:b w:val="1"/>
                <w:bCs w:val="1"/>
                <w:color w:val="auto"/>
                <w:w w:val="92"/>
              </w:rPr>
              <w:t>Recorded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9"/>
              </w:rPr>
              <w:t>Income</w:t>
            </w:r>
          </w:p>
        </w:tc>
        <w:tc>
          <w:tcPr>
            <w:tcW w:w="280" w:type="dxa"/>
            <w:vAlign w:val="bottom"/>
          </w:tcPr>
          <w:p>
            <w:pPr>
              <w:spacing w:after="0"/>
              <w:rPr>
                <w:sz w:val="12"/>
                <w:szCs w:val="12"/>
                <w:color w:val="auto"/>
              </w:rPr>
            </w:pPr>
          </w:p>
        </w:tc>
        <w:tc>
          <w:tcPr>
            <w:tcW w:w="1220" w:type="dxa"/>
            <w:vAlign w:val="bottom"/>
          </w:tcPr>
          <w:p>
            <w:pPr>
              <w:jc w:val="center"/>
              <w:ind w:right="94"/>
              <w:spacing w:after="0" w:line="149" w:lineRule="exact"/>
              <w:rPr>
                <w:sz w:val="20"/>
                <w:szCs w:val="20"/>
                <w:color w:val="auto"/>
              </w:rPr>
            </w:pPr>
            <w:r>
              <w:rPr>
                <w:rFonts w:ascii="Arial" w:cs="Arial" w:eastAsia="Arial" w:hAnsi="Arial"/>
                <w:sz w:val="14"/>
                <w:szCs w:val="14"/>
                <w:b w:val="1"/>
                <w:bCs w:val="1"/>
                <w:color w:val="auto"/>
                <w:w w:val="92"/>
              </w:rPr>
              <w:t>Recorded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20" w:type="dxa"/>
            <w:vAlign w:val="bottom"/>
          </w:tcPr>
          <w:p>
            <w:pPr>
              <w:jc w:val="center"/>
              <w:ind w:right="174"/>
              <w:spacing w:after="0" w:line="149" w:lineRule="exact"/>
              <w:rPr>
                <w:sz w:val="20"/>
                <w:szCs w:val="20"/>
                <w:color w:val="auto"/>
              </w:rPr>
            </w:pPr>
            <w:r>
              <w:rPr>
                <w:rFonts w:ascii="Arial" w:cs="Arial" w:eastAsia="Arial" w:hAnsi="Arial"/>
                <w:sz w:val="14"/>
                <w:szCs w:val="14"/>
                <w:b w:val="1"/>
                <w:bCs w:val="1"/>
                <w:color w:val="auto"/>
                <w:w w:val="93"/>
              </w:rPr>
              <w:t>Income</w:t>
            </w:r>
          </w:p>
        </w:tc>
      </w:tr>
      <w:tr>
        <w:trPr>
          <w:trHeight w:val="192"/>
        </w:trPr>
        <w:tc>
          <w:tcPr>
            <w:tcW w:w="4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tcPr>
          <w:p>
            <w:pPr>
              <w:jc w:val="center"/>
              <w:ind w:right="114"/>
              <w:spacing w:after="0"/>
              <w:rPr>
                <w:sz w:val="20"/>
                <w:szCs w:val="20"/>
                <w:color w:val="auto"/>
              </w:rPr>
            </w:pPr>
            <w:r>
              <w:rPr>
                <w:rFonts w:ascii="Arial" w:cs="Arial" w:eastAsia="Arial" w:hAnsi="Arial"/>
                <w:sz w:val="14"/>
                <w:szCs w:val="14"/>
                <w:b w:val="1"/>
                <w:bCs w:val="1"/>
                <w:color w:val="auto"/>
                <w:w w:val="91"/>
              </w:rPr>
              <w:t>Investment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Recognized</w:t>
            </w:r>
          </w:p>
        </w:tc>
        <w:tc>
          <w:tcPr>
            <w:tcW w:w="280" w:type="dxa"/>
            <w:vAlign w:val="bottom"/>
          </w:tcPr>
          <w:p>
            <w:pPr>
              <w:spacing w:after="0"/>
              <w:rPr>
                <w:sz w:val="16"/>
                <w:szCs w:val="16"/>
                <w:color w:val="auto"/>
              </w:rPr>
            </w:pPr>
          </w:p>
        </w:tc>
        <w:tc>
          <w:tcPr>
            <w:tcW w:w="1220" w:type="dxa"/>
            <w:vAlign w:val="bottom"/>
          </w:tcPr>
          <w:p>
            <w:pPr>
              <w:jc w:val="center"/>
              <w:ind w:right="94"/>
              <w:spacing w:after="0"/>
              <w:rPr>
                <w:sz w:val="20"/>
                <w:szCs w:val="20"/>
                <w:color w:val="auto"/>
              </w:rPr>
            </w:pPr>
            <w:r>
              <w:rPr>
                <w:rFonts w:ascii="Arial" w:cs="Arial" w:eastAsia="Arial" w:hAnsi="Arial"/>
                <w:sz w:val="14"/>
                <w:szCs w:val="14"/>
                <w:b w:val="1"/>
                <w:bCs w:val="1"/>
                <w:color w:val="auto"/>
                <w:w w:val="91"/>
              </w:rPr>
              <w:t>Investment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tcPr>
          <w:p>
            <w:pPr>
              <w:jc w:val="center"/>
              <w:ind w:right="174"/>
              <w:spacing w:after="0"/>
              <w:rPr>
                <w:sz w:val="20"/>
                <w:szCs w:val="20"/>
                <w:color w:val="auto"/>
              </w:rPr>
            </w:pPr>
            <w:r>
              <w:rPr>
                <w:rFonts w:ascii="Arial" w:cs="Arial" w:eastAsia="Arial" w:hAnsi="Arial"/>
                <w:sz w:val="14"/>
                <w:szCs w:val="14"/>
                <w:b w:val="1"/>
                <w:bCs w:val="1"/>
                <w:color w:val="auto"/>
                <w:w w:val="89"/>
              </w:rPr>
              <w:t>Recognized</w:t>
            </w: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With no related allowance recorded:</w:t>
            </w: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Senior mortgages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48,512</w:t>
            </w:r>
          </w:p>
        </w:tc>
        <w:tc>
          <w:tcPr>
            <w:tcW w:w="48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5"/>
              <w:spacing w:after="0"/>
              <w:rPr>
                <w:sz w:val="20"/>
                <w:szCs w:val="20"/>
                <w:color w:val="auto"/>
              </w:rPr>
            </w:pPr>
            <w:r>
              <w:rPr>
                <w:rFonts w:ascii="Arial" w:cs="Arial" w:eastAsia="Arial" w:hAnsi="Arial"/>
                <w:sz w:val="18"/>
                <w:szCs w:val="18"/>
                <w:color w:val="auto"/>
              </w:rPr>
              <w:t>501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63,394</w:t>
            </w:r>
          </w:p>
        </w:tc>
        <w:tc>
          <w:tcPr>
            <w:tcW w:w="48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844</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Corporate/Partnership loans</w:t>
            </w:r>
          </w:p>
        </w:tc>
        <w:tc>
          <w:tcPr>
            <w:tcW w:w="2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10,110</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120</w:t>
            </w:r>
          </w:p>
        </w:tc>
      </w:tr>
      <w:tr>
        <w:trPr>
          <w:trHeight w:val="237"/>
        </w:trPr>
        <w:tc>
          <w:tcPr>
            <w:tcW w:w="4700" w:type="dxa"/>
            <w:vAlign w:val="bottom"/>
          </w:tcPr>
          <w:p>
            <w:pPr>
              <w:ind w:left="380"/>
              <w:spacing w:after="0"/>
              <w:rPr>
                <w:sz w:val="20"/>
                <w:szCs w:val="20"/>
                <w:color w:val="auto"/>
              </w:rPr>
            </w:pPr>
            <w:r>
              <w:rPr>
                <w:rFonts w:ascii="Arial" w:cs="Arial" w:eastAsia="Arial" w:hAnsi="Arial"/>
                <w:sz w:val="18"/>
                <w:szCs w:val="18"/>
                <w:color w:val="auto"/>
              </w:rPr>
              <w:t>Subtotal</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48,512</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501</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73,504</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964</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With an allowance recorded:</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Senior mortgages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578,041</w:t>
            </w:r>
          </w:p>
        </w:tc>
        <w:tc>
          <w:tcPr>
            <w:tcW w:w="48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5"/>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911,082</w:t>
            </w:r>
          </w:p>
        </w:tc>
        <w:tc>
          <w:tcPr>
            <w:tcW w:w="48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506</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Subordinate mortgages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53,888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Corporate/Partnership loans</w:t>
            </w: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93,565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35"/>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62,326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78</w:t>
            </w:r>
          </w:p>
        </w:tc>
      </w:tr>
      <w:tr>
        <w:trPr>
          <w:trHeight w:val="27"/>
        </w:trPr>
        <w:tc>
          <w:tcPr>
            <w:tcW w:w="4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Subtotal</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671,606</w:t>
            </w:r>
          </w:p>
        </w:tc>
        <w:tc>
          <w:tcPr>
            <w:tcW w:w="480" w:type="dxa"/>
            <w:vAlign w:val="bottom"/>
            <w:tcBorders>
              <w:bottom w:val="single" w:sz="8" w:color="CCEEFF"/>
            </w:tcBorders>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1,027,296</w:t>
            </w:r>
          </w:p>
        </w:tc>
        <w:tc>
          <w:tcPr>
            <w:tcW w:w="480" w:type="dxa"/>
            <w:vAlign w:val="bottom"/>
            <w:tcBorders>
              <w:bottom w:val="single" w:sz="8" w:color="CCEEFF"/>
            </w:tcBorders>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584</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Total:</w:t>
            </w: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Senior mortgages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626,553</w:t>
            </w:r>
          </w:p>
        </w:tc>
        <w:tc>
          <w:tcPr>
            <w:tcW w:w="480" w:type="dxa"/>
            <w:vAlign w:val="bottom"/>
            <w:tcBorders>
              <w:bottom w:val="single" w:sz="8" w:color="CCEEFF"/>
            </w:tcBorders>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554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974,476</w:t>
            </w:r>
          </w:p>
        </w:tc>
        <w:tc>
          <w:tcPr>
            <w:tcW w:w="480" w:type="dxa"/>
            <w:vAlign w:val="bottom"/>
            <w:tcBorders>
              <w:bottom w:val="single" w:sz="8" w:color="CCEEFF"/>
            </w:tcBorders>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1,350</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Subordinate mortgages</w:t>
            </w: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53,888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Corporate/Partnership loans</w:t>
            </w:r>
          </w:p>
        </w:tc>
        <w:tc>
          <w:tcPr>
            <w:tcW w:w="2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93,565</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72,436</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198</w:t>
            </w:r>
          </w:p>
        </w:tc>
      </w:tr>
      <w:tr>
        <w:trPr>
          <w:trHeight w:val="257"/>
        </w:trPr>
        <w:tc>
          <w:tcPr>
            <w:tcW w:w="4700" w:type="dxa"/>
            <w:vAlign w:val="bottom"/>
          </w:tcPr>
          <w:p>
            <w:pPr>
              <w:ind w:left="38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720,118</w:t>
            </w: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619</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1,100,800</w:t>
            </w: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1,548</w:t>
            </w:r>
          </w:p>
        </w:tc>
      </w:tr>
      <w:tr>
        <w:trPr>
          <w:trHeight w:val="20"/>
        </w:trPr>
        <w:tc>
          <w:tcPr>
            <w:tcW w:w="4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432"/>
        <w:spacing w:after="0" w:line="266" w:lineRule="auto"/>
        <w:rPr>
          <w:sz w:val="20"/>
          <w:szCs w:val="20"/>
          <w:color w:val="auto"/>
        </w:rPr>
      </w:pPr>
      <w:r>
        <w:rPr>
          <w:rFonts w:ascii="Arial" w:cs="Arial" w:eastAsia="Arial" w:hAnsi="Arial"/>
          <w:sz w:val="18"/>
          <w:szCs w:val="18"/>
          <w:b w:val="1"/>
          <w:bCs w:val="1"/>
          <w:color w:val="auto"/>
        </w:rPr>
        <w:t>Troubled Debt Restructurings</w:t>
      </w:r>
      <w:r>
        <w:rPr>
          <w:rFonts w:ascii="Arial" w:cs="Arial" w:eastAsia="Arial" w:hAnsi="Arial"/>
          <w:sz w:val="18"/>
          <w:szCs w:val="18"/>
          <w:color w:val="auto"/>
        </w:rPr>
        <w:t>—During the three months ended March 31, 2014 the Company did not modify loans that were determined to be</w:t>
      </w:r>
      <w:r>
        <w:rPr>
          <w:rFonts w:ascii="Arial" w:cs="Arial" w:eastAsia="Arial" w:hAnsi="Arial"/>
          <w:sz w:val="18"/>
          <w:szCs w:val="18"/>
          <w:b w:val="1"/>
          <w:bCs w:val="1"/>
          <w:color w:val="auto"/>
        </w:rPr>
        <w:t xml:space="preserve"> </w:t>
      </w:r>
      <w:r>
        <w:rPr>
          <w:rFonts w:ascii="Arial" w:cs="Arial" w:eastAsia="Arial" w:hAnsi="Arial"/>
          <w:sz w:val="18"/>
          <w:szCs w:val="18"/>
          <w:color w:val="auto"/>
        </w:rPr>
        <w:t>troubled debt restructurings. During the three months ended March 31, 2013, the Company modified one loan that was determined to be a troubled debt restructuring.</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122" w:right="2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1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recorded investment in this loan was impacted by the modification as follows, presented by class ($ in thousands):</w:t>
      </w:r>
    </w:p>
    <w:p>
      <w:pPr>
        <w:spacing w:after="0" w:line="230" w:lineRule="exact"/>
        <w:rPr>
          <w:sz w:val="20"/>
          <w:szCs w:val="20"/>
          <w:color w:val="auto"/>
        </w:rPr>
      </w:pPr>
    </w:p>
    <w:p>
      <w:pPr>
        <w:ind w:left="6160"/>
        <w:spacing w:after="0"/>
        <w:rPr>
          <w:sz w:val="20"/>
          <w:szCs w:val="20"/>
          <w:color w:val="auto"/>
        </w:rPr>
      </w:pPr>
      <w:r>
        <w:rPr>
          <w:rFonts w:ascii="Arial" w:cs="Arial" w:eastAsia="Arial" w:hAnsi="Arial"/>
          <w:sz w:val="14"/>
          <w:szCs w:val="14"/>
          <w:b w:val="1"/>
          <w:bCs w:val="1"/>
          <w:color w:val="auto"/>
        </w:rPr>
        <w:t>For the 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2114550</wp:posOffset>
            </wp:positionH>
            <wp:positionV relativeFrom="paragraph">
              <wp:posOffset>23495</wp:posOffset>
            </wp:positionV>
            <wp:extent cx="51371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3715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04"/>
              <w:spacing w:after="0"/>
              <w:rPr>
                <w:sz w:val="20"/>
                <w:szCs w:val="20"/>
                <w:color w:val="auto"/>
              </w:rPr>
            </w:pPr>
            <w:r>
              <w:rPr>
                <w:rFonts w:ascii="Arial" w:cs="Arial" w:eastAsia="Arial" w:hAnsi="Arial"/>
                <w:sz w:val="14"/>
                <w:szCs w:val="14"/>
                <w:b w:val="1"/>
                <w:bCs w:val="1"/>
                <w:color w:val="auto"/>
                <w:w w:val="96"/>
              </w:rPr>
              <w:t>2014</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w w:val="96"/>
              </w:rPr>
              <w:t>2013</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3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96"/>
              </w:rPr>
              <w:t>Pre-Modification</w:t>
            </w:r>
          </w:p>
        </w:tc>
        <w:tc>
          <w:tcPr>
            <w:tcW w:w="136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93"/>
              </w:rPr>
              <w:t>Post-Modification</w:t>
            </w: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96"/>
              </w:rPr>
              <w:t>Pre-Modification</w:t>
            </w:r>
          </w:p>
        </w:tc>
        <w:tc>
          <w:tcPr>
            <w:tcW w:w="126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3"/>
              </w:rPr>
              <w:t>Post-Modification</w:t>
            </w: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920" w:type="dxa"/>
            <w:vAlign w:val="bottom"/>
            <w:vMerge w:val="restart"/>
          </w:tcPr>
          <w:p>
            <w:pPr>
              <w:ind w:left="360"/>
              <w:spacing w:after="0"/>
              <w:rPr>
                <w:sz w:val="20"/>
                <w:szCs w:val="20"/>
                <w:color w:val="auto"/>
              </w:rPr>
            </w:pPr>
            <w:r>
              <w:rPr>
                <w:rFonts w:ascii="Arial" w:cs="Arial" w:eastAsia="Arial" w:hAnsi="Arial"/>
                <w:sz w:val="14"/>
                <w:szCs w:val="14"/>
                <w:b w:val="1"/>
                <w:bCs w:val="1"/>
                <w:color w:val="auto"/>
              </w:rPr>
              <w:t>Number</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Outstanding</w:t>
            </w: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Outstanding</w:t>
            </w:r>
          </w:p>
        </w:tc>
        <w:tc>
          <w:tcPr>
            <w:tcW w:w="136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Number</w:t>
            </w: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Outstanding</w:t>
            </w:r>
          </w:p>
        </w:tc>
        <w:tc>
          <w:tcPr>
            <w:tcW w:w="180" w:type="dxa"/>
            <w:vAlign w:val="bottom"/>
          </w:tcPr>
          <w:p>
            <w:pPr>
              <w:spacing w:after="0"/>
              <w:rPr>
                <w:sz w:val="12"/>
                <w:szCs w:val="12"/>
                <w:color w:val="auto"/>
              </w:rPr>
            </w:pPr>
          </w:p>
        </w:tc>
        <w:tc>
          <w:tcPr>
            <w:tcW w:w="1080" w:type="dxa"/>
            <w:vAlign w:val="bottom"/>
          </w:tcPr>
          <w:p>
            <w:pPr>
              <w:jc w:val="center"/>
              <w:ind w:right="104"/>
              <w:spacing w:after="0" w:line="149" w:lineRule="exact"/>
              <w:rPr>
                <w:sz w:val="20"/>
                <w:szCs w:val="20"/>
                <w:color w:val="auto"/>
              </w:rPr>
            </w:pPr>
            <w:r>
              <w:rPr>
                <w:rFonts w:ascii="Arial" w:cs="Arial" w:eastAsia="Arial" w:hAnsi="Arial"/>
                <w:sz w:val="14"/>
                <w:szCs w:val="14"/>
                <w:b w:val="1"/>
                <w:bCs w:val="1"/>
                <w:color w:val="auto"/>
                <w:w w:val="94"/>
              </w:rPr>
              <w:t>Outstanding</w:t>
            </w: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Recorded</w:t>
            </w: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Recorded</w:t>
            </w:r>
          </w:p>
        </w:tc>
        <w:tc>
          <w:tcPr>
            <w:tcW w:w="13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Recorded</w:t>
            </w:r>
          </w:p>
        </w:tc>
        <w:tc>
          <w:tcPr>
            <w:tcW w:w="180" w:type="dxa"/>
            <w:vAlign w:val="bottom"/>
          </w:tcPr>
          <w:p>
            <w:pPr>
              <w:spacing w:after="0"/>
              <w:rPr>
                <w:sz w:val="12"/>
                <w:szCs w:val="12"/>
                <w:color w:val="auto"/>
              </w:rPr>
            </w:pPr>
          </w:p>
        </w:tc>
        <w:tc>
          <w:tcPr>
            <w:tcW w:w="1080" w:type="dxa"/>
            <w:vAlign w:val="bottom"/>
          </w:tcPr>
          <w:p>
            <w:pPr>
              <w:jc w:val="center"/>
              <w:ind w:right="104"/>
              <w:spacing w:after="0" w:line="149" w:lineRule="exact"/>
              <w:rPr>
                <w:sz w:val="20"/>
                <w:szCs w:val="20"/>
                <w:color w:val="auto"/>
              </w:rPr>
            </w:pPr>
            <w:r>
              <w:rPr>
                <w:rFonts w:ascii="Arial" w:cs="Arial" w:eastAsia="Arial" w:hAnsi="Arial"/>
                <w:sz w:val="14"/>
                <w:szCs w:val="14"/>
                <w:b w:val="1"/>
                <w:bCs w:val="1"/>
                <w:color w:val="auto"/>
                <w:w w:val="89"/>
              </w:rPr>
              <w:t>Recorded</w:t>
            </w:r>
          </w:p>
        </w:tc>
        <w:tc>
          <w:tcPr>
            <w:tcW w:w="0" w:type="dxa"/>
            <w:vAlign w:val="bottom"/>
          </w:tcPr>
          <w:p>
            <w:pPr>
              <w:spacing w:after="0"/>
              <w:rPr>
                <w:sz w:val="1"/>
                <w:szCs w:val="1"/>
                <w:color w:val="auto"/>
              </w:rPr>
            </w:pPr>
          </w:p>
        </w:tc>
      </w:tr>
      <w:tr>
        <w:trPr>
          <w:trHeight w:val="192"/>
        </w:trPr>
        <w:tc>
          <w:tcPr>
            <w:tcW w:w="334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w w:val="92"/>
              </w:rPr>
              <w:t>of Loans</w:t>
            </w:r>
          </w:p>
        </w:tc>
        <w:tc>
          <w:tcPr>
            <w:tcW w:w="3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04"/>
              <w:spacing w:after="0"/>
              <w:rPr>
                <w:sz w:val="20"/>
                <w:szCs w:val="20"/>
                <w:color w:val="auto"/>
              </w:rPr>
            </w:pPr>
            <w:r>
              <w:rPr>
                <w:rFonts w:ascii="Arial" w:cs="Arial" w:eastAsia="Arial" w:hAnsi="Arial"/>
                <w:sz w:val="14"/>
                <w:szCs w:val="14"/>
                <w:b w:val="1"/>
                <w:bCs w:val="1"/>
                <w:color w:val="auto"/>
                <w:w w:val="94"/>
              </w:rPr>
              <w:t>Investment</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04"/>
              <w:spacing w:after="0"/>
              <w:rPr>
                <w:sz w:val="20"/>
                <w:szCs w:val="20"/>
                <w:color w:val="auto"/>
              </w:rPr>
            </w:pPr>
            <w:r>
              <w:rPr>
                <w:rFonts w:ascii="Arial" w:cs="Arial" w:eastAsia="Arial" w:hAnsi="Arial"/>
                <w:sz w:val="14"/>
                <w:szCs w:val="14"/>
                <w:b w:val="1"/>
                <w:bCs w:val="1"/>
                <w:color w:val="auto"/>
                <w:w w:val="94"/>
              </w:rPr>
              <w:t>Investment</w:t>
            </w:r>
          </w:p>
        </w:tc>
        <w:tc>
          <w:tcPr>
            <w:tcW w:w="1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of Loans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04"/>
              <w:spacing w:after="0"/>
              <w:rPr>
                <w:sz w:val="20"/>
                <w:szCs w:val="20"/>
                <w:color w:val="auto"/>
              </w:rPr>
            </w:pPr>
            <w:r>
              <w:rPr>
                <w:rFonts w:ascii="Arial" w:cs="Arial" w:eastAsia="Arial" w:hAnsi="Arial"/>
                <w:sz w:val="14"/>
                <w:szCs w:val="14"/>
                <w:b w:val="1"/>
                <w:bCs w:val="1"/>
                <w:color w:val="auto"/>
                <w:w w:val="94"/>
              </w:rPr>
              <w:t>Investment</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04"/>
              <w:spacing w:after="0"/>
              <w:rPr>
                <w:sz w:val="20"/>
                <w:szCs w:val="20"/>
                <w:color w:val="auto"/>
              </w:rPr>
            </w:pPr>
            <w:r>
              <w:rPr>
                <w:rFonts w:ascii="Arial" w:cs="Arial" w:eastAsia="Arial" w:hAnsi="Arial"/>
                <w:sz w:val="14"/>
                <w:szCs w:val="14"/>
                <w:b w:val="1"/>
                <w:bCs w:val="1"/>
                <w:color w:val="auto"/>
                <w:w w:val="94"/>
              </w:rPr>
              <w:t>Investment</w:t>
            </w:r>
          </w:p>
        </w:tc>
        <w:tc>
          <w:tcPr>
            <w:tcW w:w="0" w:type="dxa"/>
            <w:vAlign w:val="bottom"/>
          </w:tcPr>
          <w:p>
            <w:pPr>
              <w:spacing w:after="0"/>
              <w:rPr>
                <w:sz w:val="1"/>
                <w:szCs w:val="1"/>
                <w:color w:val="auto"/>
              </w:rPr>
            </w:pPr>
          </w:p>
        </w:tc>
      </w:tr>
      <w:tr>
        <w:trPr>
          <w:trHeight w:val="263"/>
        </w:trPr>
        <w:tc>
          <w:tcPr>
            <w:tcW w:w="42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Senior mortgages</w:t>
            </w:r>
          </w:p>
        </w:tc>
        <w:tc>
          <w:tcPr>
            <w:tcW w:w="4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44"/>
              <w:spacing w:after="0"/>
              <w:rPr>
                <w:sz w:val="20"/>
                <w:szCs w:val="20"/>
                <w:color w:val="auto"/>
              </w:rPr>
            </w:pPr>
            <w:r>
              <w:rPr>
                <w:rFonts w:ascii="Arial" w:cs="Arial" w:eastAsia="Arial" w:hAnsi="Arial"/>
                <w:sz w:val="18"/>
                <w:szCs w:val="18"/>
                <w:color w:val="auto"/>
              </w:rPr>
              <w:t>72,674</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rPr>
              <w:t>65,000</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During the three months ended March 31, 2013, the Company restructured one non-performing loan with a recorded investment of $72.7 million in which the Company received a $13.3 million paydown and accepted a discounted payoff option on this loan. At the time of the restructuring, the Company reclassified the loan from non-performing to performing status as the Company believed the borrower would perform under the modified terms of the agreement. The loan was repaid in January 2014 at the discounted payoff amount.</w:t>
      </w:r>
    </w:p>
    <w:p>
      <w:pPr>
        <w:spacing w:after="0" w:line="146"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Generally when granting concessions, the Company will seek to protect its position by requiring incremental pay downs, additional collateral or guarantees and in some cases lookback features or equity kickers to offset concessions granted should conditions impacting the loan improve. The Company's determination of credit losses is impacted by troubled debt restructurings whereby loans that have gone through troubled debt restructurings are considered impaired, assessed for specific reserves, and are not included in the Company's assessment of general loan loss reserves. Loans previously restructured under troubled debt restructurings that subsequently default are reassessed to incorporate the Company's current assumptions on expected cash flows and additional provision expense is recorded to the extent necessary. As of March 31, 2014, the Company had $6.7 million of unfunded commitments associated with modified loans considered troubled debt restructurings.</w:t>
      </w:r>
    </w:p>
    <w:p>
      <w:pPr>
        <w:spacing w:after="0" w:line="174"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Securities</w:t>
      </w:r>
      <w:r>
        <w:rPr>
          <w:rFonts w:ascii="Arial" w:cs="Arial" w:eastAsia="Arial" w:hAnsi="Arial"/>
          <w:sz w:val="18"/>
          <w:szCs w:val="18"/>
          <w:color w:val="auto"/>
        </w:rPr>
        <w:t>—As of March 31, 2014, other lending investments—securities includes the following ($ in thousands):</w:t>
      </w:r>
    </w:p>
    <w:p>
      <w:pPr>
        <w:spacing w:after="0" w:line="330" w:lineRule="exact"/>
        <w:rPr>
          <w:sz w:val="20"/>
          <w:szCs w:val="20"/>
          <w:color w:val="auto"/>
        </w:rPr>
      </w:pPr>
    </w:p>
    <w:tbl>
      <w:tblPr>
        <w:tblLayout w:type="fixed"/>
        <w:tblInd w:w="960" w:type="dxa"/>
        <w:tblCellMar>
          <w:top w:w="0" w:type="dxa"/>
          <w:left w:w="0" w:type="dxa"/>
          <w:bottom w:w="0" w:type="dxa"/>
          <w:right w:w="0" w:type="dxa"/>
        </w:tblCellMar>
      </w:tblPr>
      <w:tr>
        <w:trPr>
          <w:trHeight w:val="161"/>
        </w:trPr>
        <w:tc>
          <w:tcPr>
            <w:tcW w:w="2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Face Value</w:t>
            </w:r>
          </w:p>
        </w:tc>
        <w:tc>
          <w:tcPr>
            <w:tcW w:w="12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Amortized Cost</w:t>
            </w:r>
          </w:p>
        </w:tc>
        <w:tc>
          <w:tcPr>
            <w:tcW w:w="14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Net Unrealized</w:t>
            </w:r>
          </w:p>
        </w:tc>
        <w:tc>
          <w:tcPr>
            <w:tcW w:w="14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Estimated Fair</w:t>
            </w:r>
          </w:p>
        </w:tc>
        <w:tc>
          <w:tcPr>
            <w:tcW w:w="12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5"/>
              </w:rPr>
              <w:t>Net Carrying Value</w:t>
            </w:r>
          </w:p>
        </w:tc>
        <w:tc>
          <w:tcPr>
            <w:tcW w:w="0" w:type="dxa"/>
            <w:vAlign w:val="bottom"/>
          </w:tcPr>
          <w:p>
            <w:pPr>
              <w:spacing w:after="0"/>
              <w:rPr>
                <w:sz w:val="1"/>
                <w:szCs w:val="1"/>
                <w:color w:val="auto"/>
              </w:rPr>
            </w:pPr>
          </w:p>
        </w:tc>
      </w:tr>
      <w:tr>
        <w:trPr>
          <w:trHeight w:val="192"/>
        </w:trPr>
        <w:tc>
          <w:tcPr>
            <w:tcW w:w="2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Basis</w:t>
            </w:r>
          </w:p>
        </w:tc>
        <w:tc>
          <w:tcPr>
            <w:tcW w:w="140" w:type="dxa"/>
            <w:vAlign w:val="bottom"/>
          </w:tcPr>
          <w:p>
            <w:pPr>
              <w:spacing w:after="0"/>
              <w:rPr>
                <w:sz w:val="16"/>
                <w:szCs w:val="16"/>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Gain (Loss)</w:t>
            </w:r>
          </w:p>
        </w:tc>
        <w:tc>
          <w:tcPr>
            <w:tcW w:w="140" w:type="dxa"/>
            <w:vAlign w:val="bottom"/>
          </w:tcPr>
          <w:p>
            <w:pPr>
              <w:spacing w:after="0"/>
              <w:rPr>
                <w:sz w:val="16"/>
                <w:szCs w:val="16"/>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Value</w:t>
            </w:r>
          </w:p>
        </w:tc>
        <w:tc>
          <w:tcPr>
            <w:tcW w:w="12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Available-for-Sale Securities</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60" w:type="dxa"/>
            <w:vAlign w:val="bottom"/>
          </w:tcPr>
          <w:p>
            <w:pPr>
              <w:ind w:left="140"/>
              <w:spacing w:after="0"/>
              <w:rPr>
                <w:sz w:val="20"/>
                <w:szCs w:val="20"/>
                <w:color w:val="auto"/>
              </w:rPr>
            </w:pPr>
            <w:r>
              <w:rPr>
                <w:rFonts w:ascii="Arial" w:cs="Arial" w:eastAsia="Arial" w:hAnsi="Arial"/>
                <w:sz w:val="18"/>
                <w:szCs w:val="18"/>
                <w:color w:val="auto"/>
              </w:rPr>
              <w:t>Municipal debt securities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1,040</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1,040</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7"/>
              <w:spacing w:after="0"/>
              <w:rPr>
                <w:sz w:val="20"/>
                <w:szCs w:val="20"/>
                <w:color w:val="auto"/>
              </w:rPr>
            </w:pPr>
            <w:r>
              <w:rPr>
                <w:rFonts w:ascii="Arial" w:cs="Arial" w:eastAsia="Arial" w:hAnsi="Arial"/>
                <w:sz w:val="18"/>
                <w:szCs w:val="18"/>
                <w:color w:val="auto"/>
              </w:rPr>
              <w:t>1,087</w:t>
            </w:r>
          </w:p>
        </w:tc>
        <w:tc>
          <w:tcPr>
            <w:tcW w:w="120" w:type="dxa"/>
            <w:vAlign w:val="bottom"/>
          </w:tcPr>
          <w:p>
            <w:pPr>
              <w:spacing w:after="0"/>
              <w:rPr>
                <w:sz w:val="21"/>
                <w:szCs w:val="21"/>
                <w:color w:val="auto"/>
              </w:rPr>
            </w:pPr>
          </w:p>
        </w:tc>
        <w:tc>
          <w:tcPr>
            <w:tcW w:w="340" w:type="dxa"/>
            <w:vAlign w:val="bottom"/>
          </w:tcPr>
          <w:p>
            <w:pPr>
              <w:ind w:left="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1,087</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Held-to-Maturity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60" w:type="dxa"/>
            <w:vAlign w:val="bottom"/>
          </w:tcPr>
          <w:p>
            <w:pPr>
              <w:ind w:left="140"/>
              <w:spacing w:after="0"/>
              <w:rPr>
                <w:sz w:val="20"/>
                <w:szCs w:val="20"/>
                <w:color w:val="auto"/>
              </w:rPr>
            </w:pPr>
            <w:r>
              <w:rPr>
                <w:rFonts w:ascii="Arial" w:cs="Arial" w:eastAsia="Arial" w:hAnsi="Arial"/>
                <w:sz w:val="18"/>
                <w:szCs w:val="18"/>
                <w:color w:val="auto"/>
              </w:rPr>
              <w:t>Corporate debt securities</w:t>
            </w:r>
          </w:p>
        </w:tc>
        <w:tc>
          <w:tcPr>
            <w:tcW w:w="20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149,176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152,379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tcPr>
          <w:p>
            <w:pPr>
              <w:jc w:val="right"/>
              <w:ind w:right="17"/>
              <w:spacing w:after="0"/>
              <w:rPr>
                <w:sz w:val="20"/>
                <w:szCs w:val="20"/>
                <w:color w:val="auto"/>
              </w:rPr>
            </w:pPr>
            <w:r>
              <w:rPr>
                <w:rFonts w:ascii="Arial" w:cs="Arial" w:eastAsia="Arial" w:hAnsi="Arial"/>
                <w:sz w:val="18"/>
                <w:szCs w:val="18"/>
                <w:color w:val="auto"/>
              </w:rPr>
              <w:t>152,379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152,379</w:t>
            </w:r>
          </w:p>
        </w:tc>
        <w:tc>
          <w:tcPr>
            <w:tcW w:w="0" w:type="dxa"/>
            <w:vAlign w:val="bottom"/>
          </w:tcPr>
          <w:p>
            <w:pPr>
              <w:spacing w:after="0"/>
              <w:rPr>
                <w:sz w:val="1"/>
                <w:szCs w:val="1"/>
                <w:color w:val="auto"/>
              </w:rPr>
            </w:pPr>
          </w:p>
        </w:tc>
      </w:tr>
      <w:tr>
        <w:trPr>
          <w:trHeight w:val="27"/>
        </w:trPr>
        <w:tc>
          <w:tcPr>
            <w:tcW w:w="28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8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150,216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153,419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153,466</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153,466</w:t>
            </w: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6—Other Investments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Company's other investments and its proportionate share of results from equity method investments were as follows ($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80" w:type="dxa"/>
            <w:vAlign w:val="bottom"/>
            <w:gridSpan w:val="3"/>
            <w:vMerge w:val="restart"/>
          </w:tcPr>
          <w:p>
            <w:pPr>
              <w:jc w:val="right"/>
              <w:ind w:right="134"/>
              <w:spacing w:after="0"/>
              <w:rPr>
                <w:sz w:val="20"/>
                <w:szCs w:val="20"/>
                <w:color w:val="auto"/>
              </w:rPr>
            </w:pPr>
            <w:r>
              <w:rPr>
                <w:rFonts w:ascii="Arial" w:cs="Arial" w:eastAsia="Arial" w:hAnsi="Arial"/>
                <w:sz w:val="14"/>
                <w:szCs w:val="14"/>
                <w:b w:val="1"/>
                <w:bCs w:val="1"/>
                <w:color w:val="auto"/>
              </w:rPr>
              <w:t>Carrying Value as of</w:t>
            </w: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100" w:type="dxa"/>
            <w:vAlign w:val="bottom"/>
            <w:gridSpan w:val="4"/>
          </w:tcPr>
          <w:p>
            <w:pPr>
              <w:jc w:val="right"/>
              <w:ind w:right="873"/>
              <w:spacing w:after="0"/>
              <w:rPr>
                <w:sz w:val="20"/>
                <w:szCs w:val="20"/>
                <w:color w:val="auto"/>
              </w:rPr>
            </w:pPr>
            <w:r>
              <w:rPr>
                <w:rFonts w:ascii="Arial" w:cs="Arial" w:eastAsia="Arial" w:hAnsi="Arial"/>
                <w:sz w:val="14"/>
                <w:szCs w:val="14"/>
                <w:b w:val="1"/>
                <w:bCs w:val="1"/>
                <w:color w:val="auto"/>
              </w:rPr>
              <w:t>Equity in Earnings for the</w:t>
            </w:r>
          </w:p>
        </w:tc>
        <w:tc>
          <w:tcPr>
            <w:tcW w:w="0" w:type="dxa"/>
            <w:vAlign w:val="bottom"/>
          </w:tcPr>
          <w:p>
            <w:pPr>
              <w:spacing w:after="0"/>
              <w:rPr>
                <w:sz w:val="1"/>
                <w:szCs w:val="1"/>
                <w:color w:val="auto"/>
              </w:rPr>
            </w:pPr>
          </w:p>
        </w:tc>
      </w:tr>
      <w:tr>
        <w:trPr>
          <w:trHeight w:val="192"/>
        </w:trPr>
        <w:tc>
          <w:tcPr>
            <w:tcW w:w="4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3"/>
            <w:vMerge w:val="continue"/>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4"/>
          </w:tcPr>
          <w:p>
            <w:pPr>
              <w:jc w:val="right"/>
              <w:ind w:right="673"/>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64"/>
        </w:trPr>
        <w:tc>
          <w:tcPr>
            <w:tcW w:w="424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March 31, 2014</w:t>
            </w:r>
          </w:p>
        </w:tc>
        <w:tc>
          <w:tcPr>
            <w:tcW w:w="120" w:type="dxa"/>
            <w:vAlign w:val="bottom"/>
          </w:tcPr>
          <w:p>
            <w:pPr>
              <w:spacing w:after="0"/>
              <w:rPr>
                <w:sz w:val="22"/>
                <w:szCs w:val="22"/>
                <w:color w:val="auto"/>
              </w:rPr>
            </w:pPr>
          </w:p>
        </w:tc>
        <w:tc>
          <w:tcPr>
            <w:tcW w:w="1700" w:type="dxa"/>
            <w:vAlign w:val="bottom"/>
            <w:tcBorders>
              <w:bottom w:val="single" w:sz="8" w:color="auto"/>
            </w:tcBorders>
            <w:gridSpan w:val="2"/>
          </w:tcPr>
          <w:p>
            <w:pPr>
              <w:jc w:val="right"/>
              <w:ind w:right="170"/>
              <w:spacing w:after="0"/>
              <w:rPr>
                <w:sz w:val="20"/>
                <w:szCs w:val="20"/>
                <w:color w:val="auto"/>
              </w:rPr>
            </w:pPr>
            <w:r>
              <w:rPr>
                <w:rFonts w:ascii="Arial" w:cs="Arial" w:eastAsia="Arial" w:hAnsi="Arial"/>
                <w:sz w:val="14"/>
                <w:szCs w:val="14"/>
                <w:b w:val="1"/>
                <w:bCs w:val="1"/>
                <w:color w:val="auto"/>
              </w:rPr>
              <w:t>December 31, 2013</w:t>
            </w:r>
          </w:p>
        </w:tc>
        <w:tc>
          <w:tcPr>
            <w:tcW w:w="10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6"/>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Real estate equity investments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33"/>
              <w:spacing w:after="0"/>
              <w:rPr>
                <w:sz w:val="20"/>
                <w:szCs w:val="20"/>
                <w:color w:val="auto"/>
              </w:rPr>
            </w:pPr>
            <w:r>
              <w:rPr>
                <w:rFonts w:ascii="Arial" w:cs="Arial" w:eastAsia="Arial" w:hAnsi="Arial"/>
                <w:sz w:val="18"/>
                <w:szCs w:val="18"/>
                <w:color w:val="auto"/>
              </w:rPr>
              <w:t>82,546</w:t>
            </w:r>
          </w:p>
        </w:tc>
        <w:tc>
          <w:tcPr>
            <w:tcW w:w="120" w:type="dxa"/>
            <w:vAlign w:val="bottom"/>
          </w:tcPr>
          <w:p>
            <w:pPr>
              <w:spacing w:after="0"/>
              <w:rPr>
                <w:sz w:val="21"/>
                <w:szCs w:val="21"/>
                <w:color w:val="auto"/>
              </w:rPr>
            </w:pPr>
          </w:p>
        </w:tc>
        <w:tc>
          <w:tcPr>
            <w:tcW w:w="780" w:type="dxa"/>
            <w:vAlign w:val="bottom"/>
          </w:tcPr>
          <w:p>
            <w:pPr>
              <w:jc w:val="right"/>
              <w:ind w:right="574"/>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62,205</w:t>
            </w:r>
          </w:p>
        </w:tc>
        <w:tc>
          <w:tcPr>
            <w:tcW w:w="5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6"/>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1,763</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equity method investments</w:t>
            </w:r>
          </w:p>
        </w:tc>
        <w:tc>
          <w:tcPr>
            <w:tcW w:w="2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46,605</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45,954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1,036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1,753</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Madison Funds</w:t>
            </w:r>
          </w:p>
        </w:tc>
        <w:tc>
          <w:tcPr>
            <w:tcW w:w="260" w:type="dxa"/>
            <w:vAlign w:val="bottom"/>
          </w:tcPr>
          <w:p>
            <w:pPr>
              <w:spacing w:after="0"/>
              <w:rPr>
                <w:sz w:val="21"/>
                <w:szCs w:val="21"/>
                <w:color w:val="auto"/>
              </w:rPr>
            </w:pPr>
          </w:p>
        </w:tc>
        <w:tc>
          <w:tcPr>
            <w:tcW w:w="1480" w:type="dxa"/>
            <w:vAlign w:val="bottom"/>
          </w:tcPr>
          <w:p>
            <w:pPr>
              <w:jc w:val="right"/>
              <w:ind w:right="33"/>
              <w:spacing w:after="0"/>
              <w:rPr>
                <w:sz w:val="20"/>
                <w:szCs w:val="20"/>
                <w:color w:val="auto"/>
              </w:rPr>
            </w:pPr>
            <w:r>
              <w:rPr>
                <w:rFonts w:ascii="Arial" w:cs="Arial" w:eastAsia="Arial" w:hAnsi="Arial"/>
                <w:sz w:val="18"/>
                <w:szCs w:val="18"/>
                <w:color w:val="auto"/>
              </w:rPr>
              <w:t>45,520</w:t>
            </w: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67,782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(402)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2,259</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Oak Hill Funds</w:t>
            </w:r>
          </w:p>
        </w:tc>
        <w:tc>
          <w:tcPr>
            <w:tcW w:w="2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20,810</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21,366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2,298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1,157</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LNR</w:t>
            </w:r>
          </w:p>
        </w:tc>
        <w:tc>
          <w:tcPr>
            <w:tcW w:w="260" w:type="dxa"/>
            <w:vAlign w:val="bottom"/>
          </w:tcPr>
          <w:p>
            <w:pPr>
              <w:spacing w:after="0"/>
              <w:rPr>
                <w:sz w:val="21"/>
                <w:szCs w:val="21"/>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14,746</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equity method investments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195,481</w:t>
            </w: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574"/>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197,307</w:t>
            </w:r>
          </w:p>
        </w:tc>
        <w:tc>
          <w:tcPr>
            <w:tcW w:w="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3,177</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21,678</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Other</w:t>
            </w:r>
          </w:p>
        </w:tc>
        <w:tc>
          <w:tcPr>
            <w:tcW w:w="26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CCEEFF"/>
            </w:tcBorders>
            <w:vMerge w:val="restart"/>
          </w:tcPr>
          <w:p>
            <w:pPr>
              <w:jc w:val="right"/>
              <w:ind w:right="33"/>
              <w:spacing w:after="0"/>
              <w:rPr>
                <w:sz w:val="20"/>
                <w:szCs w:val="20"/>
                <w:color w:val="auto"/>
              </w:rPr>
            </w:pPr>
            <w:r>
              <w:rPr>
                <w:rFonts w:ascii="Arial" w:cs="Arial" w:eastAsia="Arial" w:hAnsi="Arial"/>
                <w:sz w:val="18"/>
                <w:szCs w:val="18"/>
                <w:color w:val="auto"/>
              </w:rPr>
              <w:t>9,616</w:t>
            </w: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CCEEFF"/>
            </w:tcBorders>
            <w:vMerge w:val="restart"/>
          </w:tcPr>
          <w:p>
            <w:pPr>
              <w:jc w:val="right"/>
              <w:ind w:right="10"/>
              <w:spacing w:after="0"/>
              <w:rPr>
                <w:sz w:val="20"/>
                <w:szCs w:val="20"/>
                <w:color w:val="auto"/>
              </w:rPr>
            </w:pPr>
            <w:r>
              <w:rPr>
                <w:rFonts w:ascii="Arial" w:cs="Arial" w:eastAsia="Arial" w:hAnsi="Arial"/>
                <w:sz w:val="18"/>
                <w:szCs w:val="18"/>
                <w:color w:val="auto"/>
              </w:rPr>
              <w:t>9,902</w:t>
            </w: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24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4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other investments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205,097</w:t>
            </w: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574"/>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207,209</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80" w:type="dxa"/>
            <w:vAlign w:val="bottom"/>
          </w:tcPr>
          <w:p>
            <w:pPr>
              <w:jc w:val="right"/>
              <w:ind w:right="93"/>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15" w:name="page16"/>
    <w:bookmarkEnd w:id="15"/>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06"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7"/>
          <w:szCs w:val="17"/>
          <w:b w:val="1"/>
          <w:bCs w:val="1"/>
          <w:color w:val="auto"/>
        </w:rPr>
        <w:t>LNR</w:t>
      </w:r>
      <w:r>
        <w:rPr>
          <w:rFonts w:ascii="Arial" w:cs="Arial" w:eastAsia="Arial" w:hAnsi="Arial"/>
          <w:sz w:val="17"/>
          <w:szCs w:val="17"/>
          <w:color w:val="auto"/>
        </w:rPr>
        <w:t>—In July 2010, the Company acquired an ownership interest of approximately 24% in LNR Property Corporation ("LNR"). LNR is a servicer and</w:t>
      </w:r>
      <w:r>
        <w:rPr>
          <w:rFonts w:ascii="Arial" w:cs="Arial" w:eastAsia="Arial" w:hAnsi="Arial"/>
          <w:sz w:val="17"/>
          <w:szCs w:val="17"/>
          <w:b w:val="1"/>
          <w:bCs w:val="1"/>
          <w:color w:val="auto"/>
        </w:rPr>
        <w:t xml:space="preserve"> </w:t>
      </w:r>
      <w:r>
        <w:rPr>
          <w:rFonts w:ascii="Arial" w:cs="Arial" w:eastAsia="Arial" w:hAnsi="Arial"/>
          <w:sz w:val="17"/>
          <w:szCs w:val="17"/>
          <w:color w:val="auto"/>
        </w:rPr>
        <w:t>special servicer of commercial mortgage loans and CMBS and a diversified real estate investment, finance and management company. In the transaction, the Company and a group of investors, including other creditors of LNR, acquired 100% of the common stock of LNR in exchange for cash and the extinguishment of existing senior notes of LNR's parent holding company (the "Holdco Notes"). The Company contributed $100.0 million aggregate principal amount of Holdco Notes and $100.0 million in cash in exchange for an equity interest of $120.0 million.</w:t>
      </w:r>
    </w:p>
    <w:p>
      <w:pPr>
        <w:spacing w:after="0" w:line="172"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Beginning in September 2012, the Company and other owners of LNR entered into negotiations with potential purchasers of LNR. After an extensive due diligence and negotiation process, the LNR owners entered into a definitive contract to sell LNR in January 2013 at a fixed sale price which, from the Company's perspective, reflected in part the Company's then-current expectations about the future results of LNR and potential volatility in its business. The definitive sale contract provided that LNR would not make cash distributions to its owners during the fourth quarter of 2012 through the closing of the sale. Notwithstanding the fixed terms of the contract, our investment balance in LNR increased due to equity in earnings recorded which resulted in our recognition of other than temporary impairment on our investment during the year ended December 31, 2013. In April 2013, the Company completed the sale of its 24% equity interest in LNR and received $220.3 million in net proceeds. Approximately $25.2 million of net proceeds were placed in escrow for potential indemnification obligations, which was released to the Company in April 2014.</w:t>
      </w:r>
    </w:p>
    <w:p>
      <w:pPr>
        <w:spacing w:after="0" w:line="13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represents investee level summarized financial information for LNR ($ in thousands)(1):</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80" w:type="dxa"/>
            <w:vAlign w:val="bottom"/>
          </w:tcPr>
          <w:p>
            <w:pPr>
              <w:jc w:val="center"/>
              <w:ind w:right="157"/>
              <w:spacing w:after="0"/>
              <w:rPr>
                <w:sz w:val="20"/>
                <w:szCs w:val="20"/>
                <w:color w:val="auto"/>
              </w:rPr>
            </w:pPr>
            <w:r>
              <w:rPr>
                <w:rFonts w:ascii="Arial" w:cs="Arial" w:eastAsia="Arial" w:hAnsi="Arial"/>
                <w:sz w:val="14"/>
                <w:szCs w:val="14"/>
                <w:b w:val="1"/>
                <w:bCs w:val="1"/>
                <w:color w:val="auto"/>
                <w:w w:val="94"/>
              </w:rPr>
              <w:t>For the Three Months</w:t>
            </w:r>
          </w:p>
        </w:tc>
      </w:tr>
      <w:tr>
        <w:trPr>
          <w:trHeight w:val="192"/>
        </w:trPr>
        <w:tc>
          <w:tcPr>
            <w:tcW w:w="92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w w:val="92"/>
              </w:rPr>
              <w:t>Ended December 31,</w:t>
            </w:r>
          </w:p>
        </w:tc>
      </w:tr>
      <w:tr>
        <w:trPr>
          <w:trHeight w:val="250"/>
        </w:trPr>
        <w:tc>
          <w:tcPr>
            <w:tcW w:w="928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tcPr>
          <w:p>
            <w:pPr>
              <w:jc w:val="center"/>
              <w:ind w:right="177"/>
              <w:spacing w:after="0"/>
              <w:rPr>
                <w:sz w:val="20"/>
                <w:szCs w:val="20"/>
                <w:color w:val="auto"/>
              </w:rPr>
            </w:pPr>
            <w:r>
              <w:rPr>
                <w:rFonts w:ascii="Arial" w:cs="Arial" w:eastAsia="Arial" w:hAnsi="Arial"/>
                <w:sz w:val="14"/>
                <w:szCs w:val="14"/>
                <w:b w:val="1"/>
                <w:bCs w:val="1"/>
                <w:color w:val="auto"/>
                <w:w w:val="96"/>
              </w:rPr>
              <w:t>2012</w:t>
            </w:r>
          </w:p>
        </w:tc>
      </w:tr>
      <w:tr>
        <w:trPr>
          <w:trHeight w:val="250"/>
        </w:trPr>
        <w:tc>
          <w:tcPr>
            <w:tcW w:w="9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Statements</w:t>
            </w:r>
          </w:p>
        </w:tc>
        <w:tc>
          <w:tcPr>
            <w:tcW w:w="26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spacing w:after="0"/>
              <w:rPr>
                <w:sz w:val="21"/>
                <w:szCs w:val="21"/>
                <w:color w:val="auto"/>
              </w:rPr>
            </w:pPr>
          </w:p>
        </w:tc>
      </w:tr>
      <w:tr>
        <w:trPr>
          <w:trHeight w:val="243"/>
        </w:trPr>
        <w:tc>
          <w:tcPr>
            <w:tcW w:w="9280" w:type="dxa"/>
            <w:vAlign w:val="bottom"/>
          </w:tcPr>
          <w:p>
            <w:pPr>
              <w:ind w:left="40"/>
              <w:spacing w:after="0"/>
              <w:rPr>
                <w:sz w:val="20"/>
                <w:szCs w:val="20"/>
                <w:color w:val="auto"/>
              </w:rPr>
            </w:pPr>
            <w:r>
              <w:rPr>
                <w:rFonts w:ascii="Arial" w:cs="Arial" w:eastAsia="Arial" w:hAnsi="Arial"/>
                <w:sz w:val="18"/>
                <w:szCs w:val="18"/>
                <w:color w:val="auto"/>
              </w:rPr>
              <w:t>Total revenue(2)</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880" w:type="dxa"/>
            <w:vAlign w:val="bottom"/>
          </w:tcPr>
          <w:p>
            <w:pPr>
              <w:jc w:val="right"/>
              <w:ind w:right="97"/>
              <w:spacing w:after="0"/>
              <w:rPr>
                <w:sz w:val="20"/>
                <w:szCs w:val="20"/>
                <w:color w:val="auto"/>
              </w:rPr>
            </w:pPr>
            <w:r>
              <w:rPr>
                <w:rFonts w:ascii="Arial" w:cs="Arial" w:eastAsia="Arial" w:hAnsi="Arial"/>
                <w:sz w:val="18"/>
                <w:szCs w:val="18"/>
                <w:color w:val="auto"/>
              </w:rPr>
              <w:t>77,780</w:t>
            </w:r>
          </w:p>
        </w:tc>
      </w:tr>
      <w:tr>
        <w:trPr>
          <w:trHeight w:val="27"/>
        </w:trPr>
        <w:tc>
          <w:tcPr>
            <w:tcW w:w="9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9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benefit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(279)</w:t>
            </w:r>
          </w:p>
        </w:tc>
      </w:tr>
      <w:tr>
        <w:trPr>
          <w:trHeight w:val="243"/>
        </w:trPr>
        <w:tc>
          <w:tcPr>
            <w:tcW w:w="9280" w:type="dxa"/>
            <w:vAlign w:val="bottom"/>
          </w:tcPr>
          <w:p>
            <w:pPr>
              <w:ind w:left="40"/>
              <w:spacing w:after="0"/>
              <w:rPr>
                <w:sz w:val="20"/>
                <w:szCs w:val="20"/>
                <w:color w:val="auto"/>
              </w:rPr>
            </w:pPr>
            <w:r>
              <w:rPr>
                <w:rFonts w:ascii="Arial" w:cs="Arial" w:eastAsia="Arial" w:hAnsi="Arial"/>
                <w:sz w:val="18"/>
                <w:szCs w:val="18"/>
                <w:color w:val="auto"/>
              </w:rPr>
              <w:t>Net income attributable to LNR</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880" w:type="dxa"/>
            <w:vAlign w:val="bottom"/>
          </w:tcPr>
          <w:p>
            <w:pPr>
              <w:jc w:val="right"/>
              <w:ind w:right="97"/>
              <w:spacing w:after="0"/>
              <w:rPr>
                <w:sz w:val="20"/>
                <w:szCs w:val="20"/>
                <w:color w:val="auto"/>
              </w:rPr>
            </w:pPr>
            <w:r>
              <w:rPr>
                <w:rFonts w:ascii="Arial" w:cs="Arial" w:eastAsia="Arial" w:hAnsi="Arial"/>
                <w:sz w:val="18"/>
                <w:szCs w:val="18"/>
                <w:color w:val="auto"/>
              </w:rPr>
              <w:t>189,249</w:t>
            </w:r>
          </w:p>
        </w:tc>
      </w:tr>
      <w:tr>
        <w:trPr>
          <w:trHeight w:val="27"/>
        </w:trPr>
        <w:tc>
          <w:tcPr>
            <w:tcW w:w="9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9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iStar's ownership percentage</w:t>
            </w:r>
          </w:p>
        </w:tc>
        <w:tc>
          <w:tcPr>
            <w:tcW w:w="26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43"/>
        </w:trPr>
        <w:tc>
          <w:tcPr>
            <w:tcW w:w="9280" w:type="dxa"/>
            <w:vAlign w:val="bottom"/>
          </w:tcPr>
          <w:p>
            <w:pPr>
              <w:ind w:left="40"/>
              <w:spacing w:after="0"/>
              <w:rPr>
                <w:sz w:val="20"/>
                <w:szCs w:val="20"/>
                <w:color w:val="auto"/>
              </w:rPr>
            </w:pPr>
            <w:r>
              <w:rPr>
                <w:rFonts w:ascii="Arial" w:cs="Arial" w:eastAsia="Arial" w:hAnsi="Arial"/>
                <w:sz w:val="18"/>
                <w:szCs w:val="18"/>
                <w:color w:val="auto"/>
              </w:rPr>
              <w:t>iStar's equity in earnings from LNR(3)</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880" w:type="dxa"/>
            <w:vAlign w:val="bottom"/>
          </w:tcPr>
          <w:p>
            <w:pPr>
              <w:jc w:val="right"/>
              <w:ind w:right="97"/>
              <w:spacing w:after="0"/>
              <w:rPr>
                <w:sz w:val="20"/>
                <w:szCs w:val="20"/>
                <w:color w:val="auto"/>
              </w:rPr>
            </w:pPr>
            <w:r>
              <w:rPr>
                <w:rFonts w:ascii="Arial" w:cs="Arial" w:eastAsia="Arial" w:hAnsi="Arial"/>
                <w:sz w:val="18"/>
                <w:szCs w:val="18"/>
                <w:color w:val="auto"/>
              </w:rPr>
              <w:t>45,375</w:t>
            </w:r>
          </w:p>
        </w:tc>
      </w:tr>
    </w:tbl>
    <w:p>
      <w:pPr>
        <w:spacing w:after="0" w:line="12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Notes:</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51" w:lineRule="exact"/>
        <w:rPr>
          <w:sz w:val="20"/>
          <w:szCs w:val="20"/>
          <w:color w:val="auto"/>
        </w:rPr>
      </w:pPr>
    </w:p>
    <w:p>
      <w:pPr>
        <w:ind w:left="660" w:hanging="652"/>
        <w:spacing w:after="0" w:line="250" w:lineRule="auto"/>
        <w:tabs>
          <w:tab w:leader="none" w:pos="66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Company recorded its investment in LNR, which was sold in April 2013, on a one quarter lag. Therefore, the amounts in the Company's financial statements for the three months ended March 31, 2013 were based on balances and results from LNR for the three months ended December 31, 2012.</w:t>
      </w:r>
    </w:p>
    <w:p>
      <w:pPr>
        <w:jc w:val="both"/>
        <w:ind w:left="660" w:hanging="652"/>
        <w:spacing w:after="0" w:line="241" w:lineRule="auto"/>
        <w:tabs>
          <w:tab w:leader="none" w:pos="660" w:val="left"/>
        </w:tabs>
        <w:numPr>
          <w:ilvl w:val="0"/>
          <w:numId w:val="9"/>
        </w:numPr>
        <w:rPr>
          <w:rFonts w:ascii="Arial" w:cs="Arial" w:eastAsia="Arial" w:hAnsi="Arial"/>
          <w:sz w:val="14"/>
          <w:szCs w:val="14"/>
          <w:color w:val="auto"/>
        </w:rPr>
      </w:pPr>
      <w:r>
        <w:rPr>
          <w:rFonts w:ascii="Arial" w:cs="Arial" w:eastAsia="Arial" w:hAnsi="Arial"/>
          <w:sz w:val="14"/>
          <w:szCs w:val="14"/>
          <w:color w:val="auto"/>
        </w:rPr>
        <w:t>LNR consolidates certain commercial mortgage-backed securities and collateralized debt obligation trusts that are considered VIEs (and for which it is the primary beneficiary), that have been included in the amounts presented above. For the three months ended December 31, 2012, total revenue presented above includes $29.3 million of servicing fee revenue that is eliminated upon consolidation of the VIE's at the LNR level. This income is then added back through consolidation at the LNR level as an adjustment to income allocable to noncontrolling entities and has no net impact on net income attributable to LNR.</w:t>
      </w:r>
    </w:p>
    <w:p>
      <w:pPr>
        <w:spacing w:after="0" w:line="1" w:lineRule="exact"/>
        <w:rPr>
          <w:rFonts w:ascii="Arial" w:cs="Arial" w:eastAsia="Arial" w:hAnsi="Arial"/>
          <w:sz w:val="14"/>
          <w:szCs w:val="14"/>
          <w:color w:val="auto"/>
        </w:rPr>
      </w:pPr>
    </w:p>
    <w:p>
      <w:pPr>
        <w:ind w:left="660" w:hanging="652"/>
        <w:spacing w:after="0"/>
        <w:tabs>
          <w:tab w:leader="none" w:pos="660" w:val="left"/>
        </w:tabs>
        <w:numPr>
          <w:ilvl w:val="0"/>
          <w:numId w:val="9"/>
        </w:numPr>
        <w:rPr>
          <w:rFonts w:ascii="Arial" w:cs="Arial" w:eastAsia="Arial" w:hAnsi="Arial"/>
          <w:sz w:val="14"/>
          <w:szCs w:val="14"/>
          <w:color w:val="auto"/>
        </w:rPr>
      </w:pPr>
      <w:r>
        <w:rPr>
          <w:rFonts w:ascii="Arial" w:cs="Arial" w:eastAsia="Arial" w:hAnsi="Arial"/>
          <w:sz w:val="14"/>
          <w:szCs w:val="14"/>
          <w:color w:val="auto"/>
        </w:rPr>
        <w:t>During the three months ended March 31, 2013, the Company recorded an other than temporary impairment of $30.9 million.</w:t>
      </w:r>
    </w:p>
    <w:p>
      <w:pPr>
        <w:spacing w:after="0" w:line="264"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 reconciles the activity related to the Company's investment in LNR for the three months ended March 31, 2013 ($ in thousands):</w:t>
      </w:r>
    </w:p>
    <w:p>
      <w:pPr>
        <w:spacing w:after="0" w:line="240" w:lineRule="exact"/>
        <w:rPr>
          <w:sz w:val="20"/>
          <w:szCs w:val="20"/>
          <w:color w:val="auto"/>
        </w:rPr>
      </w:pPr>
    </w:p>
    <w:p>
      <w:pPr>
        <w:ind w:left="9080"/>
        <w:spacing w:after="0"/>
        <w:rPr>
          <w:sz w:val="20"/>
          <w:szCs w:val="20"/>
          <w:color w:val="auto"/>
        </w:rPr>
      </w:pPr>
      <w:r>
        <w:rPr>
          <w:rFonts w:ascii="Arial" w:cs="Arial" w:eastAsia="Arial" w:hAnsi="Arial"/>
          <w:sz w:val="14"/>
          <w:szCs w:val="14"/>
          <w:b w:val="1"/>
          <w:bCs w:val="1"/>
          <w:color w:val="auto"/>
        </w:rPr>
        <w:t>For the Three Months</w:t>
      </w:r>
    </w:p>
    <w:p>
      <w:pPr>
        <w:spacing w:after="0" w:line="4" w:lineRule="exact"/>
        <w:rPr>
          <w:sz w:val="20"/>
          <w:szCs w:val="20"/>
          <w:color w:val="auto"/>
        </w:rPr>
      </w:pPr>
    </w:p>
    <w:p>
      <w:pPr>
        <w:ind w:left="9060"/>
        <w:spacing w:after="0"/>
        <w:rPr>
          <w:sz w:val="20"/>
          <w:szCs w:val="20"/>
          <w:color w:val="auto"/>
        </w:rPr>
      </w:pPr>
      <w:r>
        <w:rPr>
          <w:rFonts w:ascii="Arial" w:cs="Arial" w:eastAsia="Arial" w:hAnsi="Arial"/>
          <w:sz w:val="14"/>
          <w:szCs w:val="14"/>
          <w:b w:val="1"/>
          <w:bCs w:val="1"/>
          <w:color w:val="auto"/>
        </w:rPr>
        <w:t>Ended March 31, 2013</w:t>
      </w:r>
    </w:p>
    <w:p>
      <w:pPr>
        <w:spacing w:after="0" w:line="9" w:lineRule="exact"/>
        <w:rPr>
          <w:sz w:val="20"/>
          <w:szCs w:val="20"/>
          <w:color w:val="auto"/>
        </w:rPr>
      </w:pPr>
    </w:p>
    <w:tbl>
      <w:tblPr>
        <w:tblLayout w:type="fixed"/>
        <w:tblInd w:w="260" w:type="dxa"/>
        <w:tblCellMar>
          <w:top w:w="0" w:type="dxa"/>
          <w:left w:w="0" w:type="dxa"/>
          <w:bottom w:w="0" w:type="dxa"/>
          <w:right w:w="0" w:type="dxa"/>
        </w:tblCellMar>
      </w:tblPr>
      <w:tr>
        <w:trPr>
          <w:trHeight w:val="256"/>
        </w:trPr>
        <w:tc>
          <w:tcPr>
            <w:tcW w:w="8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Carrying value of LNR at beginning of period</w:t>
            </w:r>
          </w:p>
        </w:tc>
        <w:tc>
          <w:tcPr>
            <w:tcW w:w="580" w:type="dxa"/>
            <w:vAlign w:val="bottom"/>
            <w:tcBorders>
              <w:top w:val="single" w:sz="8" w:color="auto"/>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205,773</w:t>
            </w:r>
          </w:p>
        </w:tc>
        <w:tc>
          <w:tcPr>
            <w:tcW w:w="540" w:type="dxa"/>
            <w:vAlign w:val="bottom"/>
            <w:tcBorders>
              <w:top w:val="single" w:sz="8" w:color="CCEEFF"/>
              <w:bottom w:val="single" w:sz="8" w:color="CCEEFF"/>
            </w:tcBorders>
            <w:shd w:val="clear" w:color="auto" w:fill="CCEEFF"/>
          </w:tcPr>
          <w:p>
            <w:pPr>
              <w:spacing w:after="0"/>
              <w:rPr>
                <w:sz w:val="22"/>
                <w:szCs w:val="22"/>
                <w:color w:val="auto"/>
              </w:rPr>
            </w:pPr>
          </w:p>
        </w:tc>
      </w:tr>
      <w:tr>
        <w:trPr>
          <w:trHeight w:val="243"/>
        </w:trPr>
        <w:tc>
          <w:tcPr>
            <w:tcW w:w="8620" w:type="dxa"/>
            <w:vAlign w:val="bottom"/>
          </w:tcPr>
          <w:p>
            <w:pPr>
              <w:ind w:left="20"/>
              <w:spacing w:after="0"/>
              <w:rPr>
                <w:sz w:val="20"/>
                <w:szCs w:val="20"/>
                <w:color w:val="auto"/>
              </w:rPr>
            </w:pPr>
            <w:r>
              <w:rPr>
                <w:rFonts w:ascii="Arial" w:cs="Arial" w:eastAsia="Arial" w:hAnsi="Arial"/>
                <w:sz w:val="18"/>
                <w:szCs w:val="18"/>
                <w:color w:val="auto"/>
              </w:rPr>
              <w:t>Equity in earnings of LNR for the period</w:t>
            </w: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45,375</w:t>
            </w:r>
          </w:p>
        </w:tc>
        <w:tc>
          <w:tcPr>
            <w:tcW w:w="540" w:type="dxa"/>
            <w:vAlign w:val="bottom"/>
          </w:tcPr>
          <w:p>
            <w:pPr>
              <w:ind w:left="220"/>
              <w:spacing w:after="0"/>
              <w:rPr>
                <w:sz w:val="20"/>
                <w:szCs w:val="20"/>
                <w:color w:val="auto"/>
              </w:rPr>
            </w:pPr>
            <w:r>
              <w:rPr>
                <w:rFonts w:ascii="Arial" w:cs="Arial" w:eastAsia="Arial" w:hAnsi="Arial"/>
                <w:sz w:val="18"/>
                <w:szCs w:val="18"/>
                <w:color w:val="auto"/>
              </w:rPr>
              <w:t>(a)</w:t>
            </w:r>
          </w:p>
        </w:tc>
      </w:tr>
      <w:tr>
        <w:trPr>
          <w:trHeight w:val="27"/>
        </w:trPr>
        <w:tc>
          <w:tcPr>
            <w:tcW w:w="86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8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before other than temporary impairment</w:t>
            </w: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251,148</w:t>
            </w:r>
          </w:p>
        </w:tc>
        <w:tc>
          <w:tcPr>
            <w:tcW w:w="540" w:type="dxa"/>
            <w:vAlign w:val="bottom"/>
            <w:tcBorders>
              <w:bottom w:val="single" w:sz="8" w:color="CCEEFF"/>
            </w:tcBorders>
            <w:shd w:val="clear" w:color="auto" w:fill="CCEEFF"/>
          </w:tcPr>
          <w:p>
            <w:pPr>
              <w:spacing w:after="0"/>
              <w:rPr>
                <w:sz w:val="21"/>
                <w:szCs w:val="21"/>
                <w:color w:val="auto"/>
              </w:rPr>
            </w:pPr>
          </w:p>
        </w:tc>
      </w:tr>
      <w:tr>
        <w:trPr>
          <w:trHeight w:val="243"/>
        </w:trPr>
        <w:tc>
          <w:tcPr>
            <w:tcW w:w="8620" w:type="dxa"/>
            <w:vAlign w:val="bottom"/>
          </w:tcPr>
          <w:p>
            <w:pPr>
              <w:ind w:left="20"/>
              <w:spacing w:after="0"/>
              <w:rPr>
                <w:sz w:val="20"/>
                <w:szCs w:val="20"/>
                <w:color w:val="auto"/>
              </w:rPr>
            </w:pPr>
            <w:r>
              <w:rPr>
                <w:rFonts w:ascii="Arial" w:cs="Arial" w:eastAsia="Arial" w:hAnsi="Arial"/>
                <w:sz w:val="18"/>
                <w:szCs w:val="18"/>
                <w:color w:val="auto"/>
              </w:rPr>
              <w:t>Other than temporary impairment</w:t>
            </w: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(30,867)</w:t>
            </w:r>
          </w:p>
        </w:tc>
        <w:tc>
          <w:tcPr>
            <w:tcW w:w="540" w:type="dxa"/>
            <w:vAlign w:val="bottom"/>
          </w:tcPr>
          <w:p>
            <w:pPr>
              <w:ind w:left="200"/>
              <w:spacing w:after="0"/>
              <w:rPr>
                <w:sz w:val="20"/>
                <w:szCs w:val="20"/>
                <w:color w:val="auto"/>
              </w:rPr>
            </w:pPr>
            <w:r>
              <w:rPr>
                <w:rFonts w:ascii="Arial" w:cs="Arial" w:eastAsia="Arial" w:hAnsi="Arial"/>
                <w:sz w:val="18"/>
                <w:szCs w:val="18"/>
                <w:color w:val="auto"/>
              </w:rPr>
              <w:t>(b)</w:t>
            </w:r>
          </w:p>
        </w:tc>
      </w:tr>
      <w:tr>
        <w:trPr>
          <w:trHeight w:val="27"/>
        </w:trPr>
        <w:tc>
          <w:tcPr>
            <w:tcW w:w="86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43"/>
        </w:trPr>
        <w:tc>
          <w:tcPr>
            <w:tcW w:w="8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Carrying value of LNR at end of period</w:t>
            </w: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220,281</w:t>
            </w:r>
          </w:p>
        </w:tc>
        <w:tc>
          <w:tcPr>
            <w:tcW w:w="540" w:type="dxa"/>
            <w:vAlign w:val="bottom"/>
            <w:shd w:val="clear" w:color="auto" w:fill="CCEEFF"/>
          </w:tcPr>
          <w:p>
            <w:pPr>
              <w:spacing w:after="0"/>
              <w:rPr>
                <w:sz w:val="21"/>
                <w:szCs w:val="21"/>
                <w:color w:val="auto"/>
              </w:rPr>
            </w:pPr>
          </w:p>
        </w:tc>
      </w:tr>
      <w:tr>
        <w:trPr>
          <w:trHeight w:val="27"/>
        </w:trPr>
        <w:tc>
          <w:tcPr>
            <w:tcW w:w="862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r>
    </w:tbl>
    <w:p>
      <w:pPr>
        <w:spacing w:after="0" w:line="161"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For the three months ended March 31, 2013, the amount that was recognized as income in the Company's Consolidated Statements of Operations is the sum of items (a) and (b), or $14.7 million.</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2" w:right="239" w:bottom="1440" w:gutter="0" w:footer="0" w:header="0"/>
        </w:sectPr>
      </w:pPr>
    </w:p>
    <w:bookmarkStart w:id="16" w:name="page17"/>
    <w:bookmarkEnd w:id="16"/>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06" w:lineRule="exact"/>
        <w:rPr>
          <w:sz w:val="20"/>
          <w:szCs w:val="20"/>
          <w:color w:val="auto"/>
        </w:rPr>
      </w:pPr>
    </w:p>
    <w:p>
      <w:pPr>
        <w:jc w:val="both"/>
        <w:ind w:firstLine="432"/>
        <w:spacing w:after="0" w:line="261" w:lineRule="auto"/>
        <w:rPr>
          <w:sz w:val="20"/>
          <w:szCs w:val="20"/>
          <w:color w:val="auto"/>
        </w:rPr>
      </w:pPr>
      <w:r>
        <w:rPr>
          <w:rFonts w:ascii="Arial" w:cs="Arial" w:eastAsia="Arial" w:hAnsi="Arial"/>
          <w:sz w:val="18"/>
          <w:szCs w:val="18"/>
          <w:b w:val="1"/>
          <w:bCs w:val="1"/>
          <w:color w:val="auto"/>
        </w:rPr>
        <w:t>Madison Funds</w:t>
      </w:r>
      <w:r>
        <w:rPr>
          <w:rFonts w:ascii="Arial" w:cs="Arial" w:eastAsia="Arial" w:hAnsi="Arial"/>
          <w:sz w:val="18"/>
          <w:szCs w:val="18"/>
          <w:color w:val="auto"/>
        </w:rPr>
        <w:t>—As of March 31, 2014, the Company owned a 29.52% interest in Madison International Real Estate Fund II, LP, a 32.92% interest in</w:t>
      </w:r>
      <w:r>
        <w:rPr>
          <w:rFonts w:ascii="Arial" w:cs="Arial" w:eastAsia="Arial" w:hAnsi="Arial"/>
          <w:sz w:val="18"/>
          <w:szCs w:val="18"/>
          <w:b w:val="1"/>
          <w:bCs w:val="1"/>
          <w:color w:val="auto"/>
        </w:rPr>
        <w:t xml:space="preserve"> </w:t>
      </w:r>
      <w:r>
        <w:rPr>
          <w:rFonts w:ascii="Arial" w:cs="Arial" w:eastAsia="Arial" w:hAnsi="Arial"/>
          <w:sz w:val="18"/>
          <w:szCs w:val="18"/>
          <w:color w:val="auto"/>
        </w:rPr>
        <w:t>Madison International Real Estate Fund III, LP and a 29.52% interest in Madison GP1 Investors, LP (collectively, the "Madison Funds"). The Madison Funds invest in ownership positions of entities that own real estate assets. The Company determined that these entities are variable interest entities and that the Company is not the primary beneficiary.</w:t>
      </w:r>
    </w:p>
    <w:p>
      <w:pPr>
        <w:spacing w:after="0" w:line="99"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7"/>
          <w:szCs w:val="17"/>
          <w:b w:val="1"/>
          <w:bCs w:val="1"/>
          <w:color w:val="auto"/>
        </w:rPr>
        <w:t>Oak Hill Funds</w:t>
      </w:r>
      <w:r>
        <w:rPr>
          <w:rFonts w:ascii="Arial" w:cs="Arial" w:eastAsia="Arial" w:hAnsi="Arial"/>
          <w:sz w:val="17"/>
          <w:szCs w:val="17"/>
          <w:color w:val="auto"/>
        </w:rPr>
        <w:t>—As of March 31, 2014, the Company owned a 5.92% interest in OHA Strategic Credit Master Fund, L.P. ("OHASCF"). OHASCF</w:t>
      </w:r>
      <w:r>
        <w:rPr>
          <w:rFonts w:ascii="Arial" w:cs="Arial" w:eastAsia="Arial" w:hAnsi="Arial"/>
          <w:sz w:val="17"/>
          <w:szCs w:val="17"/>
          <w:b w:val="1"/>
          <w:bCs w:val="1"/>
          <w:color w:val="auto"/>
        </w:rPr>
        <w:t xml:space="preserve"> </w:t>
      </w:r>
      <w:r>
        <w:rPr>
          <w:rFonts w:ascii="Arial" w:cs="Arial" w:eastAsia="Arial" w:hAnsi="Arial"/>
          <w:sz w:val="17"/>
          <w:szCs w:val="17"/>
          <w:color w:val="auto"/>
        </w:rPr>
        <w:t>was formed to acquire and manage a diverse portfolio of assets, investing in distressed, stressed and undervalued loans, bonds, equities and other investments. The Company determined that this entity is a variable interest entity and that the Company is not the primary beneficiary.</w:t>
      </w:r>
    </w:p>
    <w:p>
      <w:pPr>
        <w:spacing w:after="0" w:line="77" w:lineRule="exact"/>
        <w:rPr>
          <w:sz w:val="20"/>
          <w:szCs w:val="20"/>
          <w:color w:val="auto"/>
        </w:rPr>
      </w:pPr>
    </w:p>
    <w:p>
      <w:pPr>
        <w:jc w:val="both"/>
        <w:ind w:firstLine="432"/>
        <w:spacing w:after="0" w:line="292" w:lineRule="auto"/>
        <w:rPr>
          <w:sz w:val="20"/>
          <w:szCs w:val="20"/>
          <w:color w:val="auto"/>
        </w:rPr>
      </w:pPr>
      <w:r>
        <w:rPr>
          <w:rFonts w:ascii="Arial" w:cs="Arial" w:eastAsia="Arial" w:hAnsi="Arial"/>
          <w:sz w:val="16"/>
          <w:szCs w:val="16"/>
          <w:b w:val="1"/>
          <w:bCs w:val="1"/>
          <w:color w:val="auto"/>
        </w:rPr>
        <w:t>Real estate equity investments</w:t>
      </w:r>
      <w:r>
        <w:rPr>
          <w:rFonts w:ascii="Arial" w:cs="Arial" w:eastAsia="Arial" w:hAnsi="Arial"/>
          <w:sz w:val="16"/>
          <w:szCs w:val="16"/>
          <w:color w:val="auto"/>
        </w:rPr>
        <w:t>—During the three months ended March 31, 2014, the Company sold a net lease asset for net proceeds of $93.7 million</w:t>
      </w:r>
      <w:r>
        <w:rPr>
          <w:rFonts w:ascii="Arial" w:cs="Arial" w:eastAsia="Arial" w:hAnsi="Arial"/>
          <w:sz w:val="16"/>
          <w:szCs w:val="16"/>
          <w:b w:val="1"/>
          <w:bCs w:val="1"/>
          <w:color w:val="auto"/>
        </w:rPr>
        <w:t xml:space="preserve"> </w:t>
      </w:r>
      <w:r>
        <w:rPr>
          <w:rFonts w:ascii="Arial" w:cs="Arial" w:eastAsia="Arial" w:hAnsi="Arial"/>
          <w:sz w:val="16"/>
          <w:szCs w:val="16"/>
          <w:color w:val="auto"/>
        </w:rPr>
        <w:t>to a newly formed unconsolidated entity in which the Company contributed $17.7 million for a noncontrolling equity interest of approximately 51.9%. The Company partnered with a sovereign wealth fund to form the venture in which the partners plan to contribute up to an aggregate $500 million of equity to acquire and develop net lease assets over time. The Company is responsible for sourcing new opportunities and managing the venture and its assets in exchange for a promote and management fee. Several of the Company's senior executives whose time is substantially devoted to the net lease venture own a total of 0.6% equity ownership in the venture via co-investment. These executives are also entitled to an amount equal to 50% of any promote payment received based on the 47.5% partner's interest. As of March 31, 2014, the Company had a recorded equity interest of $17.1 million.</w:t>
      </w:r>
    </w:p>
    <w:p>
      <w:pPr>
        <w:spacing w:after="0" w:line="166"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In addition, as of March 31, 2014, the Company's other real estate equity investments included equity interests in real estate ventures ranging from 31% to 76%, comprised of investments of $16.4 million in net lease assets, $15.8 million in operating properties and $33.3 million in land assets. As of December 31, 2013, the Company's real estate equity investments included $16.4 million in net lease assets, $16.0 million in operating properties and $29.8 million in land assets. One of the Company's equity investments in operating properties represents a 33% interest in residential property units. For the three months ended March 31, 2013, the Company's earnings from its interest in this property includes income from sales of residential units of $2.5 million.</w:t>
      </w:r>
    </w:p>
    <w:p>
      <w:pPr>
        <w:spacing w:after="0" w:line="154" w:lineRule="exact"/>
        <w:rPr>
          <w:sz w:val="20"/>
          <w:szCs w:val="20"/>
          <w:color w:val="auto"/>
        </w:rPr>
      </w:pPr>
    </w:p>
    <w:p>
      <w:pPr>
        <w:jc w:val="both"/>
        <w:ind w:right="20" w:firstLine="432"/>
        <w:spacing w:after="0" w:line="282" w:lineRule="auto"/>
        <w:rPr>
          <w:sz w:val="20"/>
          <w:szCs w:val="20"/>
          <w:color w:val="auto"/>
        </w:rPr>
      </w:pPr>
      <w:r>
        <w:rPr>
          <w:rFonts w:ascii="Arial" w:cs="Arial" w:eastAsia="Arial" w:hAnsi="Arial"/>
          <w:sz w:val="18"/>
          <w:szCs w:val="18"/>
          <w:b w:val="1"/>
          <w:bCs w:val="1"/>
          <w:color w:val="auto"/>
        </w:rPr>
        <w:t>Other investments</w:t>
      </w:r>
      <w:r>
        <w:rPr>
          <w:rFonts w:ascii="Arial" w:cs="Arial" w:eastAsia="Arial" w:hAnsi="Arial"/>
          <w:sz w:val="18"/>
          <w:szCs w:val="18"/>
          <w:color w:val="auto"/>
        </w:rPr>
        <w:t>—The Company also had smaller investments in real estate related funds and other strategic investments in several other entities</w:t>
      </w:r>
      <w:r>
        <w:rPr>
          <w:rFonts w:ascii="Arial" w:cs="Arial" w:eastAsia="Arial" w:hAnsi="Arial"/>
          <w:sz w:val="18"/>
          <w:szCs w:val="18"/>
          <w:b w:val="1"/>
          <w:bCs w:val="1"/>
          <w:color w:val="auto"/>
        </w:rPr>
        <w:t xml:space="preserve"> </w:t>
      </w:r>
      <w:r>
        <w:rPr>
          <w:rFonts w:ascii="Arial" w:cs="Arial" w:eastAsia="Arial" w:hAnsi="Arial"/>
          <w:sz w:val="18"/>
          <w:szCs w:val="18"/>
          <w:color w:val="auto"/>
        </w:rPr>
        <w:t>that were accounted for under the equity method or cost method.</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2" w:right="239" w:bottom="1440" w:gutter="0" w:footer="0" w:header="0"/>
        </w:sectPr>
      </w:pPr>
    </w:p>
    <w:bookmarkStart w:id="17" w:name="page18"/>
    <w:bookmarkEnd w:id="17"/>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7—Other Assets and Other Liabilities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Deferred expenses and other assets, net, consist of the following items ($ in thousands):</w: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8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w w:val="85"/>
              </w:rPr>
              <w:t>As of</w:t>
            </w:r>
          </w:p>
        </w:tc>
        <w:tc>
          <w:tcPr>
            <w:tcW w:w="1500" w:type="dxa"/>
            <w:vAlign w:val="bottom"/>
            <w:tcBorders>
              <w:bottom w:val="single" w:sz="8" w:color="auto"/>
            </w:tcBorders>
          </w:tcPr>
          <w:p>
            <w:pPr>
              <w:spacing w:after="0"/>
              <w:rPr>
                <w:sz w:val="16"/>
                <w:szCs w:val="16"/>
                <w:color w:val="auto"/>
              </w:rPr>
            </w:pPr>
          </w:p>
        </w:tc>
      </w:tr>
      <w:tr>
        <w:trPr>
          <w:trHeight w:val="264"/>
        </w:trPr>
        <w:tc>
          <w:tcPr>
            <w:tcW w:w="786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March 31, 2014</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w w:val="96"/>
              </w:rPr>
              <w:t>December 31, 2013</w:t>
            </w: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Intangible assets, net(1)</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60,014</w:t>
            </w:r>
          </w:p>
        </w:tc>
        <w:tc>
          <w:tcPr>
            <w:tcW w:w="4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100,652</w:t>
            </w:r>
          </w:p>
        </w:tc>
      </w:tr>
      <w:tr>
        <w:trPr>
          <w:trHeight w:val="243"/>
        </w:trPr>
        <w:tc>
          <w:tcPr>
            <w:tcW w:w="7860" w:type="dxa"/>
            <w:vAlign w:val="bottom"/>
          </w:tcPr>
          <w:p>
            <w:pPr>
              <w:ind w:left="20"/>
              <w:spacing w:after="0"/>
              <w:rPr>
                <w:sz w:val="20"/>
                <w:szCs w:val="20"/>
                <w:color w:val="auto"/>
              </w:rPr>
            </w:pPr>
            <w:r>
              <w:rPr>
                <w:rFonts w:ascii="Arial" w:cs="Arial" w:eastAsia="Arial" w:hAnsi="Arial"/>
                <w:sz w:val="18"/>
                <w:szCs w:val="18"/>
                <w:color w:val="auto"/>
              </w:rPr>
              <w:t>Other receivables</w:t>
            </w:r>
          </w:p>
        </w:tc>
        <w:tc>
          <w:tcPr>
            <w:tcW w:w="2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25,939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34,655</w:t>
            </w:r>
          </w:p>
        </w:tc>
      </w:tr>
      <w:tr>
        <w:trPr>
          <w:trHeight w:val="27"/>
        </w:trPr>
        <w:tc>
          <w:tcPr>
            <w:tcW w:w="7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financing fees, net(2)</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31,048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33,591</w:t>
            </w:r>
          </w:p>
        </w:tc>
      </w:tr>
      <w:tr>
        <w:trPr>
          <w:trHeight w:val="243"/>
        </w:trPr>
        <w:tc>
          <w:tcPr>
            <w:tcW w:w="7860" w:type="dxa"/>
            <w:vAlign w:val="bottom"/>
          </w:tcPr>
          <w:p>
            <w:pPr>
              <w:ind w:left="20"/>
              <w:spacing w:after="0"/>
              <w:rPr>
                <w:sz w:val="20"/>
                <w:szCs w:val="20"/>
                <w:color w:val="auto"/>
              </w:rPr>
            </w:pPr>
            <w:r>
              <w:rPr>
                <w:rFonts w:ascii="Arial" w:cs="Arial" w:eastAsia="Arial" w:hAnsi="Arial"/>
                <w:sz w:val="18"/>
                <w:szCs w:val="18"/>
                <w:color w:val="auto"/>
              </w:rPr>
              <w:t>Leasing costs, net(3)</w:t>
            </w:r>
          </w:p>
        </w:tc>
        <w:tc>
          <w:tcPr>
            <w:tcW w:w="2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22,240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21,799</w:t>
            </w:r>
          </w:p>
        </w:tc>
      </w:tr>
      <w:tr>
        <w:trPr>
          <w:trHeight w:val="27"/>
        </w:trPr>
        <w:tc>
          <w:tcPr>
            <w:tcW w:w="7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 furniture, fixtures and equipment, net(4)</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6,190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6,557</w:t>
            </w:r>
          </w:p>
        </w:tc>
      </w:tr>
      <w:tr>
        <w:trPr>
          <w:trHeight w:val="243"/>
        </w:trPr>
        <w:tc>
          <w:tcPr>
            <w:tcW w:w="786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2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41,189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40,726</w:t>
            </w:r>
          </w:p>
        </w:tc>
      </w:tr>
      <w:tr>
        <w:trPr>
          <w:trHeight w:val="27"/>
        </w:trPr>
        <w:tc>
          <w:tcPr>
            <w:tcW w:w="78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57"/>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expenses and other assets, net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186,620</w:t>
            </w:r>
          </w:p>
        </w:tc>
        <w:tc>
          <w:tcPr>
            <w:tcW w:w="4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237,980</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Notes:</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51" w:lineRule="exact"/>
        <w:rPr>
          <w:sz w:val="20"/>
          <w:szCs w:val="20"/>
          <w:color w:val="auto"/>
        </w:rPr>
      </w:pPr>
    </w:p>
    <w:p>
      <w:pPr>
        <w:jc w:val="both"/>
        <w:ind w:left="660" w:hanging="652"/>
        <w:spacing w:after="0" w:line="264" w:lineRule="auto"/>
        <w:tabs>
          <w:tab w:leader="none" w:pos="660" w:val="left"/>
        </w:tabs>
        <w:numPr>
          <w:ilvl w:val="0"/>
          <w:numId w:val="10"/>
        </w:numPr>
        <w:rPr>
          <w:rFonts w:ascii="Arial" w:cs="Arial" w:eastAsia="Arial" w:hAnsi="Arial"/>
          <w:sz w:val="13"/>
          <w:szCs w:val="13"/>
          <w:color w:val="auto"/>
        </w:rPr>
      </w:pPr>
      <w:r>
        <w:rPr>
          <w:rFonts w:ascii="Arial" w:cs="Arial" w:eastAsia="Arial" w:hAnsi="Arial"/>
          <w:sz w:val="13"/>
          <w:szCs w:val="13"/>
          <w:color w:val="auto"/>
        </w:rPr>
        <w:t>Intangible assets, net are primarily related to the acquisition of real estate assets. Accumulated amortization on intangible assets was $34.6 million and $38.1 million as of March 31, 2014 and December 31, 2013, respectively. The amortization of above market leases decreased operating lease income on the Company's Consolidated Statements of Operations by $2.3 million and $1.6 million for the three months ended March 31, 2014 and 2013, respectively. The amortization expense for other intangible assets was $2.5 million and $2.5 million for the three months ended March 31, 2014 and 2013, respectively. These amounts are included in “Depreciation and amortization” on the Company's Consolidated Statements of Operations.</w:t>
      </w:r>
    </w:p>
    <w:p>
      <w:pPr>
        <w:spacing w:after="0" w:line="2" w:lineRule="exact"/>
        <w:rPr>
          <w:rFonts w:ascii="Arial" w:cs="Arial" w:eastAsia="Arial" w:hAnsi="Arial"/>
          <w:sz w:val="13"/>
          <w:szCs w:val="13"/>
          <w:color w:val="auto"/>
        </w:rPr>
      </w:pPr>
    </w:p>
    <w:p>
      <w:pPr>
        <w:ind w:left="660" w:hanging="652"/>
        <w:spacing w:after="0"/>
        <w:tabs>
          <w:tab w:leader="none" w:pos="6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Accumulated amortization on deferred financing fees was $11.5 million and $9.9 million as of March 31, 2014 and December 31, 2013, respectively.</w:t>
      </w:r>
    </w:p>
    <w:p>
      <w:pPr>
        <w:spacing w:after="0" w:line="1" w:lineRule="exact"/>
        <w:rPr>
          <w:rFonts w:ascii="Arial" w:cs="Arial" w:eastAsia="Arial" w:hAnsi="Arial"/>
          <w:sz w:val="14"/>
          <w:szCs w:val="14"/>
          <w:color w:val="auto"/>
        </w:rPr>
      </w:pPr>
    </w:p>
    <w:p>
      <w:pPr>
        <w:ind w:left="660" w:hanging="652"/>
        <w:spacing w:after="0"/>
        <w:tabs>
          <w:tab w:leader="none" w:pos="6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Accumulated amortization on leasing costs was $7.0 million and $7.1 million as of March 31, 2014 and December 31, 2013, respectively.</w:t>
      </w:r>
    </w:p>
    <w:p>
      <w:pPr>
        <w:spacing w:after="0" w:line="1" w:lineRule="exact"/>
        <w:rPr>
          <w:rFonts w:ascii="Arial" w:cs="Arial" w:eastAsia="Arial" w:hAnsi="Arial"/>
          <w:sz w:val="14"/>
          <w:szCs w:val="14"/>
          <w:color w:val="auto"/>
        </w:rPr>
      </w:pPr>
    </w:p>
    <w:p>
      <w:pPr>
        <w:ind w:left="660" w:hanging="652"/>
        <w:spacing w:after="0"/>
        <w:tabs>
          <w:tab w:leader="none" w:pos="6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Accumulated depreciation on corporate furniture, fixtures and equipment was $6.4 million and $6.2 million as of March 31, 2014 and December 31, 2013, respectively.</w:t>
      </w:r>
    </w:p>
    <w:p>
      <w:pPr>
        <w:spacing w:after="0" w:line="15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Accounts payable, accrued expenses and other liabilities consist of the following items ($ in thousands):</w: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8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w w:val="85"/>
              </w:rPr>
              <w:t>As of</w:t>
            </w:r>
          </w:p>
        </w:tc>
        <w:tc>
          <w:tcPr>
            <w:tcW w:w="1500" w:type="dxa"/>
            <w:vAlign w:val="bottom"/>
            <w:tcBorders>
              <w:bottom w:val="single" w:sz="8" w:color="auto"/>
            </w:tcBorders>
          </w:tcPr>
          <w:p>
            <w:pPr>
              <w:spacing w:after="0"/>
              <w:rPr>
                <w:sz w:val="16"/>
                <w:szCs w:val="16"/>
                <w:color w:val="auto"/>
              </w:rPr>
            </w:pPr>
          </w:p>
        </w:tc>
      </w:tr>
      <w:tr>
        <w:trPr>
          <w:trHeight w:val="264"/>
        </w:trPr>
        <w:tc>
          <w:tcPr>
            <w:tcW w:w="786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March 31, 2014</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w w:val="96"/>
              </w:rPr>
              <w:t>December 31, 2013</w:t>
            </w: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expenses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31,230</w:t>
            </w:r>
          </w:p>
        </w:tc>
        <w:tc>
          <w:tcPr>
            <w:tcW w:w="4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58,840</w:t>
            </w:r>
          </w:p>
        </w:tc>
      </w:tr>
      <w:tr>
        <w:trPr>
          <w:trHeight w:val="243"/>
        </w:trPr>
        <w:tc>
          <w:tcPr>
            <w:tcW w:w="7860" w:type="dxa"/>
            <w:vAlign w:val="bottom"/>
          </w:tcPr>
          <w:p>
            <w:pPr>
              <w:ind w:left="20"/>
              <w:spacing w:after="0"/>
              <w:rPr>
                <w:sz w:val="20"/>
                <w:szCs w:val="20"/>
                <w:color w:val="auto"/>
              </w:rPr>
            </w:pPr>
            <w:r>
              <w:rPr>
                <w:rFonts w:ascii="Arial" w:cs="Arial" w:eastAsia="Arial" w:hAnsi="Arial"/>
                <w:sz w:val="18"/>
                <w:szCs w:val="18"/>
                <w:color w:val="auto"/>
              </w:rPr>
              <w:t>Accrued interest payable</w:t>
            </w:r>
          </w:p>
        </w:tc>
        <w:tc>
          <w:tcPr>
            <w:tcW w:w="2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29,378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40,015</w:t>
            </w:r>
          </w:p>
        </w:tc>
      </w:tr>
      <w:tr>
        <w:trPr>
          <w:trHeight w:val="27"/>
        </w:trPr>
        <w:tc>
          <w:tcPr>
            <w:tcW w:w="7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Intangible liabilities, net(1)</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13,619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26,223</w:t>
            </w:r>
          </w:p>
        </w:tc>
      </w:tr>
      <w:tr>
        <w:trPr>
          <w:trHeight w:val="243"/>
        </w:trPr>
        <w:tc>
          <w:tcPr>
            <w:tcW w:w="7860" w:type="dxa"/>
            <w:vAlign w:val="bottom"/>
          </w:tcPr>
          <w:p>
            <w:pPr>
              <w:ind w:left="20"/>
              <w:spacing w:after="0"/>
              <w:rPr>
                <w:sz w:val="20"/>
                <w:szCs w:val="20"/>
                <w:color w:val="auto"/>
              </w:rPr>
            </w:pPr>
            <w:r>
              <w:rPr>
                <w:rFonts w:ascii="Arial" w:cs="Arial" w:eastAsia="Arial" w:hAnsi="Arial"/>
                <w:sz w:val="18"/>
                <w:szCs w:val="18"/>
                <w:color w:val="auto"/>
              </w:rPr>
              <w:t>Other liabilities</w:t>
            </w:r>
          </w:p>
        </w:tc>
        <w:tc>
          <w:tcPr>
            <w:tcW w:w="2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37,968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45,753</w:t>
            </w:r>
          </w:p>
        </w:tc>
      </w:tr>
      <w:tr>
        <w:trPr>
          <w:trHeight w:val="27"/>
        </w:trPr>
        <w:tc>
          <w:tcPr>
            <w:tcW w:w="78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57"/>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 accrued expenses and other liabilities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112,195</w:t>
            </w:r>
          </w:p>
        </w:tc>
        <w:tc>
          <w:tcPr>
            <w:tcW w:w="4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170,831</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51" w:lineRule="exact"/>
        <w:rPr>
          <w:sz w:val="20"/>
          <w:szCs w:val="20"/>
          <w:color w:val="auto"/>
        </w:rPr>
      </w:pPr>
    </w:p>
    <w:p>
      <w:pPr>
        <w:jc w:val="both"/>
        <w:ind w:left="660" w:hanging="652"/>
        <w:spacing w:after="0" w:line="257" w:lineRule="auto"/>
        <w:tabs>
          <w:tab w:leader="none" w:pos="6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Intangible liabilities, net are primarily related to the acquisition of real estate assets. Accumulated amortization on intangible liabilities was $4.5 million and $4.6 million as of March 31, 2014 and December 31, 2013, respectively. The amortization of intangible liabilities increased operating lease income on the Company's Consolidated Statements of Operations by $0.7 million and $1.1 million for the three months ended March 31, 2014 and 2013, respectively.</w:t>
      </w:r>
    </w:p>
    <w:p>
      <w:pPr>
        <w:spacing w:after="0" w:line="13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Deferred tax assets and liabilities of the Company's TRS entities were as follows ($ in thousands):</w: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8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w:t>
            </w:r>
          </w:p>
        </w:tc>
        <w:tc>
          <w:tcPr>
            <w:tcW w:w="1500" w:type="dxa"/>
            <w:vAlign w:val="bottom"/>
            <w:tcBorders>
              <w:bottom w:val="single" w:sz="8" w:color="auto"/>
            </w:tcBorders>
          </w:tcPr>
          <w:p>
            <w:pPr>
              <w:spacing w:after="0"/>
              <w:rPr>
                <w:sz w:val="16"/>
                <w:szCs w:val="16"/>
                <w:color w:val="auto"/>
              </w:rPr>
            </w:pPr>
          </w:p>
        </w:tc>
      </w:tr>
      <w:tr>
        <w:trPr>
          <w:trHeight w:val="250"/>
        </w:trPr>
        <w:tc>
          <w:tcPr>
            <w:tcW w:w="78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 2014</w:t>
            </w:r>
          </w:p>
        </w:tc>
        <w:tc>
          <w:tcPr>
            <w:tcW w:w="200" w:type="dxa"/>
            <w:vAlign w:val="bottom"/>
          </w:tcPr>
          <w:p>
            <w:pPr>
              <w:spacing w:after="0"/>
              <w:rPr>
                <w:sz w:val="21"/>
                <w:szCs w:val="21"/>
                <w:color w:val="auto"/>
              </w:rPr>
            </w:pPr>
          </w:p>
        </w:tc>
        <w:tc>
          <w:tcPr>
            <w:tcW w:w="1500" w:type="dxa"/>
            <w:vAlign w:val="bottom"/>
          </w:tcPr>
          <w:p>
            <w:pPr>
              <w:jc w:val="right"/>
              <w:ind w:right="174"/>
              <w:spacing w:after="0"/>
              <w:rPr>
                <w:sz w:val="20"/>
                <w:szCs w:val="20"/>
                <w:color w:val="auto"/>
              </w:rPr>
            </w:pPr>
            <w:r>
              <w:rPr>
                <w:rFonts w:ascii="Arial" w:cs="Arial" w:eastAsia="Arial" w:hAnsi="Arial"/>
                <w:sz w:val="14"/>
                <w:szCs w:val="14"/>
                <w:b w:val="1"/>
                <w:bCs w:val="1"/>
                <w:color w:val="auto"/>
                <w:w w:val="96"/>
              </w:rPr>
              <w:t>December 31, 2013</w:t>
            </w:r>
          </w:p>
        </w:tc>
      </w:tr>
      <w:tr>
        <w:trPr>
          <w:trHeight w:val="250"/>
        </w:trPr>
        <w:tc>
          <w:tcPr>
            <w:tcW w:w="7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assets(1)</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56,801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55,962</w:t>
            </w:r>
          </w:p>
        </w:tc>
      </w:tr>
      <w:tr>
        <w:trPr>
          <w:trHeight w:val="243"/>
        </w:trPr>
        <w:tc>
          <w:tcPr>
            <w:tcW w:w="7860" w:type="dxa"/>
            <w:vAlign w:val="bottom"/>
          </w:tcPr>
          <w:p>
            <w:pPr>
              <w:ind w:left="20"/>
              <w:spacing w:after="0"/>
              <w:rPr>
                <w:sz w:val="20"/>
                <w:szCs w:val="20"/>
                <w:color w:val="auto"/>
              </w:rPr>
            </w:pPr>
            <w:r>
              <w:rPr>
                <w:rFonts w:ascii="Arial" w:cs="Arial" w:eastAsia="Arial" w:hAnsi="Arial"/>
                <w:sz w:val="18"/>
                <w:szCs w:val="18"/>
                <w:color w:val="auto"/>
              </w:rPr>
              <w:t>Valuation allowance</w:t>
            </w:r>
          </w:p>
        </w:tc>
        <w:tc>
          <w:tcPr>
            <w:tcW w:w="2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(56,801)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(55,962)</w:t>
            </w:r>
          </w:p>
        </w:tc>
      </w:tr>
      <w:tr>
        <w:trPr>
          <w:trHeight w:val="27"/>
        </w:trPr>
        <w:tc>
          <w:tcPr>
            <w:tcW w:w="78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57"/>
        </w:trPr>
        <w:tc>
          <w:tcPr>
            <w:tcW w:w="7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deferred tax assets (liabilities)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24" w:lineRule="exact"/>
        <w:rPr>
          <w:sz w:val="20"/>
          <w:szCs w:val="20"/>
          <w:color w:val="auto"/>
        </w:rPr>
      </w:pPr>
    </w:p>
    <w:p>
      <w:pPr>
        <w:jc w:val="both"/>
        <w:ind w:left="660" w:hanging="652"/>
        <w:spacing w:after="0" w:line="257" w:lineRule="auto"/>
        <w:tabs>
          <w:tab w:leader="none" w:pos="6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Deferred tax assets as of March 31, 2014 include real estate basis differences of $33.3 million, net operating loss carryforwards of $16.0 million and investment basis differences of $7.5 million. Deferred tax assets as of December 31, 2013 include real estate basis differences of $33.0 million, net operating loss carryforwards of $14.9 million and investment basis differences of $8.1 million.</w:t>
      </w:r>
    </w:p>
    <w:p>
      <w:pPr>
        <w:sectPr>
          <w:pgSz w:w="11900" w:h="16838" w:orient="portrait"/>
          <w:cols w:equalWidth="0" w:num="1">
            <w:col w:w="11420"/>
          </w:cols>
          <w:pgMar w:left="240" w:top="122" w:right="239" w:bottom="1440" w:gutter="0" w:footer="0" w:header="0"/>
        </w:sect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122" w:right="2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8—Debt Obligations, net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March 31, 2014 and December 31, 2013, the Company's debt obligations were as follows ($ in thousands):</w: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43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right"/>
              <w:ind w:right="772"/>
              <w:spacing w:after="0"/>
              <w:rPr>
                <w:sz w:val="20"/>
                <w:szCs w:val="20"/>
                <w:color w:val="auto"/>
              </w:rPr>
            </w:pPr>
            <w:r>
              <w:rPr>
                <w:rFonts w:ascii="Arial" w:cs="Arial" w:eastAsia="Arial" w:hAnsi="Arial"/>
                <w:sz w:val="14"/>
                <w:szCs w:val="14"/>
                <w:b w:val="1"/>
                <w:bCs w:val="1"/>
                <w:color w:val="auto"/>
              </w:rPr>
              <w:t>Carrying Value as of</w:t>
            </w:r>
          </w:p>
        </w:tc>
        <w:tc>
          <w:tcPr>
            <w:tcW w:w="1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700" w:type="dxa"/>
            <w:vAlign w:val="bottom"/>
          </w:tcPr>
          <w:p>
            <w:pPr>
              <w:spacing w:after="0"/>
              <w:rPr>
                <w:sz w:val="16"/>
                <w:szCs w:val="16"/>
                <w:color w:val="auto"/>
              </w:rPr>
            </w:pPr>
          </w:p>
        </w:tc>
      </w:tr>
      <w:tr>
        <w:trPr>
          <w:trHeight w:val="153"/>
        </w:trPr>
        <w:tc>
          <w:tcPr>
            <w:tcW w:w="4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3"/>
                <w:szCs w:val="13"/>
                <w:color w:val="auto"/>
              </w:rPr>
            </w:pPr>
          </w:p>
        </w:tc>
        <w:tc>
          <w:tcPr>
            <w:tcW w:w="1260" w:type="dxa"/>
            <w:vAlign w:val="bottom"/>
          </w:tcPr>
          <w:p>
            <w:pPr>
              <w:jc w:val="right"/>
              <w:ind w:right="232"/>
              <w:spacing w:after="0" w:line="153" w:lineRule="exact"/>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3"/>
                <w:szCs w:val="13"/>
                <w:color w:val="auto"/>
              </w:rPr>
            </w:pPr>
          </w:p>
        </w:tc>
        <w:tc>
          <w:tcPr>
            <w:tcW w:w="1780" w:type="dxa"/>
            <w:vAlign w:val="bottom"/>
          </w:tcPr>
          <w:p>
            <w:pPr>
              <w:jc w:val="right"/>
              <w:ind w:right="617"/>
              <w:spacing w:after="0" w:line="153" w:lineRule="exact"/>
              <w:rPr>
                <w:sz w:val="20"/>
                <w:szCs w:val="20"/>
                <w:color w:val="auto"/>
              </w:rPr>
            </w:pPr>
            <w:r>
              <w:rPr>
                <w:rFonts w:ascii="Arial" w:cs="Arial" w:eastAsia="Arial" w:hAnsi="Arial"/>
                <w:sz w:val="14"/>
                <w:szCs w:val="14"/>
                <w:b w:val="1"/>
                <w:bCs w:val="1"/>
                <w:color w:val="auto"/>
              </w:rPr>
              <w:t>Stated</w:t>
            </w:r>
          </w:p>
        </w:tc>
        <w:tc>
          <w:tcPr>
            <w:tcW w:w="440" w:type="dxa"/>
            <w:vAlign w:val="bottom"/>
          </w:tcPr>
          <w:p>
            <w:pPr>
              <w:spacing w:after="0"/>
              <w:rPr>
                <w:sz w:val="13"/>
                <w:szCs w:val="13"/>
                <w:color w:val="auto"/>
              </w:rPr>
            </w:pPr>
          </w:p>
        </w:tc>
        <w:tc>
          <w:tcPr>
            <w:tcW w:w="17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0"/>
              </w:rPr>
              <w:t>Scheduled</w:t>
            </w:r>
          </w:p>
        </w:tc>
      </w:tr>
      <w:tr>
        <w:trPr>
          <w:trHeight w:val="192"/>
        </w:trPr>
        <w:tc>
          <w:tcPr>
            <w:tcW w:w="43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6"/>
                <w:szCs w:val="16"/>
                <w:color w:val="auto"/>
              </w:rPr>
            </w:pPr>
          </w:p>
        </w:tc>
        <w:tc>
          <w:tcPr>
            <w:tcW w:w="178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Interest Rates</w:t>
            </w:r>
          </w:p>
        </w:tc>
        <w:tc>
          <w:tcPr>
            <w:tcW w:w="44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Maturity Date</w:t>
            </w:r>
          </w:p>
        </w:tc>
      </w:tr>
      <w:tr>
        <w:trPr>
          <w:trHeight w:val="250"/>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Secured credit facilities and term loans:</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r>
      <w:tr>
        <w:trPr>
          <w:trHeight w:val="243"/>
        </w:trPr>
        <w:tc>
          <w:tcPr>
            <w:tcW w:w="4300" w:type="dxa"/>
            <w:vAlign w:val="bottom"/>
          </w:tcPr>
          <w:p>
            <w:pPr>
              <w:ind w:left="160"/>
              <w:spacing w:after="0"/>
              <w:rPr>
                <w:sz w:val="20"/>
                <w:szCs w:val="20"/>
                <w:color w:val="auto"/>
              </w:rPr>
            </w:pPr>
            <w:r>
              <w:rPr>
                <w:rFonts w:ascii="Arial" w:cs="Arial" w:eastAsia="Arial" w:hAnsi="Arial"/>
                <w:sz w:val="18"/>
                <w:szCs w:val="18"/>
                <w:color w:val="auto"/>
              </w:rPr>
              <w:t>2012 Tranche A-2 Facility</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418,145</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431,475</w:t>
            </w:r>
          </w:p>
        </w:tc>
        <w:tc>
          <w:tcPr>
            <w:tcW w:w="120" w:type="dxa"/>
            <w:vAlign w:val="bottom"/>
          </w:tcPr>
          <w:p>
            <w:pPr>
              <w:spacing w:after="0"/>
              <w:rPr>
                <w:sz w:val="21"/>
                <w:szCs w:val="21"/>
                <w:color w:val="auto"/>
              </w:rPr>
            </w:pPr>
          </w:p>
        </w:tc>
        <w:tc>
          <w:tcPr>
            <w:tcW w:w="1780" w:type="dxa"/>
            <w:vAlign w:val="bottom"/>
          </w:tcPr>
          <w:p>
            <w:pPr>
              <w:jc w:val="right"/>
              <w:ind w:right="97"/>
              <w:spacing w:after="0"/>
              <w:rPr>
                <w:sz w:val="20"/>
                <w:szCs w:val="20"/>
                <w:color w:val="auto"/>
              </w:rPr>
            </w:pPr>
            <w:r>
              <w:rPr>
                <w:rFonts w:ascii="Arial" w:cs="Arial" w:eastAsia="Arial" w:hAnsi="Arial"/>
                <w:sz w:val="18"/>
                <w:szCs w:val="18"/>
                <w:color w:val="auto"/>
              </w:rPr>
              <w:t>LIBOR + 5.75%</w:t>
            </w:r>
          </w:p>
        </w:tc>
        <w:tc>
          <w:tcPr>
            <w:tcW w:w="440" w:type="dxa"/>
            <w:vAlign w:val="bottom"/>
          </w:tcPr>
          <w:p>
            <w:pPr>
              <w:jc w:val="right"/>
              <w:ind w:right="110"/>
              <w:spacing w:after="0"/>
              <w:rPr>
                <w:sz w:val="20"/>
                <w:szCs w:val="20"/>
                <w:color w:val="auto"/>
              </w:rPr>
            </w:pPr>
            <w:r>
              <w:rPr>
                <w:rFonts w:ascii="Arial" w:cs="Arial" w:eastAsia="Arial" w:hAnsi="Arial"/>
                <w:sz w:val="18"/>
                <w:szCs w:val="18"/>
                <w:color w:val="auto"/>
                <w:w w:val="99"/>
              </w:rPr>
              <w:t>(1)</w:t>
            </w:r>
          </w:p>
        </w:tc>
        <w:tc>
          <w:tcPr>
            <w:tcW w:w="1700" w:type="dxa"/>
            <w:vAlign w:val="bottom"/>
          </w:tcPr>
          <w:p>
            <w:pPr>
              <w:jc w:val="center"/>
              <w:spacing w:after="0"/>
              <w:rPr>
                <w:sz w:val="20"/>
                <w:szCs w:val="20"/>
                <w:color w:val="auto"/>
              </w:rPr>
            </w:pPr>
            <w:r>
              <w:rPr>
                <w:rFonts w:ascii="Arial" w:cs="Arial" w:eastAsia="Arial" w:hAnsi="Arial"/>
                <w:sz w:val="18"/>
                <w:szCs w:val="18"/>
                <w:color w:val="auto"/>
                <w:w w:val="92"/>
              </w:rPr>
              <w:t>March 2017</w:t>
            </w:r>
          </w:p>
        </w:tc>
      </w:tr>
      <w:tr>
        <w:trPr>
          <w:trHeight w:val="27"/>
        </w:trPr>
        <w:tc>
          <w:tcPr>
            <w:tcW w:w="4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4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February 2013 Secured Credit Facility</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1,333,372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1,379,407</w:t>
            </w: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LIBOR + 3.50%</w:t>
            </w:r>
          </w:p>
        </w:tc>
        <w:tc>
          <w:tcPr>
            <w:tcW w:w="4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(2)</w:t>
            </w: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October 2017</w:t>
            </w:r>
          </w:p>
        </w:tc>
      </w:tr>
      <w:tr>
        <w:trPr>
          <w:trHeight w:val="243"/>
        </w:trPr>
        <w:tc>
          <w:tcPr>
            <w:tcW w:w="4300" w:type="dxa"/>
            <w:vAlign w:val="bottom"/>
          </w:tcPr>
          <w:p>
            <w:pPr>
              <w:ind w:left="160"/>
              <w:spacing w:after="0"/>
              <w:rPr>
                <w:sz w:val="20"/>
                <w:szCs w:val="20"/>
                <w:color w:val="auto"/>
              </w:rPr>
            </w:pPr>
            <w:r>
              <w:rPr>
                <w:rFonts w:ascii="Arial" w:cs="Arial" w:eastAsia="Arial" w:hAnsi="Arial"/>
                <w:sz w:val="18"/>
                <w:szCs w:val="18"/>
                <w:color w:val="auto"/>
              </w:rPr>
              <w:t>Term loans collateralized by net lease assets</w:t>
            </w:r>
          </w:p>
        </w:tc>
        <w:tc>
          <w:tcPr>
            <w:tcW w:w="2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278,726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278,817</w:t>
            </w:r>
          </w:p>
        </w:tc>
        <w:tc>
          <w:tcPr>
            <w:tcW w:w="1900" w:type="dxa"/>
            <w:vAlign w:val="bottom"/>
            <w:gridSpan w:val="2"/>
          </w:tcPr>
          <w:p>
            <w:pPr>
              <w:jc w:val="right"/>
              <w:ind w:right="97"/>
              <w:spacing w:after="0"/>
              <w:rPr>
                <w:sz w:val="20"/>
                <w:szCs w:val="20"/>
                <w:color w:val="auto"/>
              </w:rPr>
            </w:pPr>
            <w:r>
              <w:rPr>
                <w:rFonts w:ascii="Arial" w:cs="Arial" w:eastAsia="Arial" w:hAnsi="Arial"/>
                <w:sz w:val="18"/>
                <w:szCs w:val="18"/>
                <w:color w:val="auto"/>
              </w:rPr>
              <w:t>4.851% - 7.26%</w:t>
            </w:r>
          </w:p>
        </w:tc>
        <w:tc>
          <w:tcPr>
            <w:tcW w:w="440" w:type="dxa"/>
            <w:vAlign w:val="bottom"/>
          </w:tcPr>
          <w:p>
            <w:pPr>
              <w:jc w:val="right"/>
              <w:ind w:right="110"/>
              <w:spacing w:after="0"/>
              <w:rPr>
                <w:sz w:val="20"/>
                <w:szCs w:val="20"/>
                <w:color w:val="auto"/>
              </w:rPr>
            </w:pPr>
            <w:r>
              <w:rPr>
                <w:rFonts w:ascii="Arial" w:cs="Arial" w:eastAsia="Arial" w:hAnsi="Arial"/>
                <w:sz w:val="18"/>
                <w:szCs w:val="18"/>
                <w:color w:val="auto"/>
                <w:w w:val="99"/>
              </w:rPr>
              <w:t>(3)</w:t>
            </w: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Various through 2026</w:t>
            </w:r>
          </w:p>
        </w:tc>
      </w:tr>
      <w:tr>
        <w:trPr>
          <w:trHeight w:val="27"/>
        </w:trPr>
        <w:tc>
          <w:tcPr>
            <w:tcW w:w="43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r>
      <w:tr>
        <w:trPr>
          <w:trHeight w:val="244"/>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secured credit facilities and term loans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2,030,243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2,089,699</w:t>
            </w: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r>
      <w:tr>
        <w:trPr>
          <w:trHeight w:val="243"/>
        </w:trPr>
        <w:tc>
          <w:tcPr>
            <w:tcW w:w="4300" w:type="dxa"/>
            <w:vAlign w:val="bottom"/>
          </w:tcPr>
          <w:p>
            <w:pPr>
              <w:ind w:left="20"/>
              <w:spacing w:after="0"/>
              <w:rPr>
                <w:sz w:val="20"/>
                <w:szCs w:val="20"/>
                <w:color w:val="auto"/>
              </w:rPr>
            </w:pPr>
            <w:r>
              <w:rPr>
                <w:rFonts w:ascii="Arial" w:cs="Arial" w:eastAsia="Arial" w:hAnsi="Arial"/>
                <w:sz w:val="18"/>
                <w:szCs w:val="18"/>
                <w:b w:val="1"/>
                <w:bCs w:val="1"/>
                <w:color w:val="auto"/>
              </w:rPr>
              <w:t>Unsecured notes:</w:t>
            </w: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700" w:type="dxa"/>
            <w:vAlign w:val="bottom"/>
          </w:tcPr>
          <w:p>
            <w:pPr>
              <w:spacing w:after="0"/>
              <w:rPr>
                <w:sz w:val="21"/>
                <w:szCs w:val="21"/>
                <w:color w:val="auto"/>
              </w:rPr>
            </w:pPr>
          </w:p>
        </w:tc>
      </w:tr>
      <w:tr>
        <w:trPr>
          <w:trHeight w:val="27"/>
        </w:trPr>
        <w:tc>
          <w:tcPr>
            <w:tcW w:w="4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4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6.05% senior notes</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105,765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105,765</w:t>
            </w:r>
          </w:p>
        </w:tc>
        <w:tc>
          <w:tcPr>
            <w:tcW w:w="1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4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6"/>
              </w:rPr>
              <w:t>April 2015</w:t>
            </w:r>
          </w:p>
        </w:tc>
      </w:tr>
      <w:tr>
        <w:trPr>
          <w:trHeight w:val="243"/>
        </w:trPr>
        <w:tc>
          <w:tcPr>
            <w:tcW w:w="4300" w:type="dxa"/>
            <w:vAlign w:val="bottom"/>
          </w:tcPr>
          <w:p>
            <w:pPr>
              <w:ind w:left="160"/>
              <w:spacing w:after="0"/>
              <w:rPr>
                <w:sz w:val="20"/>
                <w:szCs w:val="20"/>
                <w:color w:val="auto"/>
              </w:rPr>
            </w:pPr>
            <w:r>
              <w:rPr>
                <w:rFonts w:ascii="Arial" w:cs="Arial" w:eastAsia="Arial" w:hAnsi="Arial"/>
                <w:sz w:val="18"/>
                <w:szCs w:val="18"/>
                <w:color w:val="auto"/>
              </w:rPr>
              <w:t>5.875% senior notes</w:t>
            </w:r>
          </w:p>
        </w:tc>
        <w:tc>
          <w:tcPr>
            <w:tcW w:w="2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261,403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261,403</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5.875%</w:t>
            </w:r>
          </w:p>
        </w:tc>
        <w:tc>
          <w:tcPr>
            <w:tcW w:w="44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2"/>
              </w:rPr>
              <w:t>March 2016</w:t>
            </w:r>
          </w:p>
        </w:tc>
      </w:tr>
      <w:tr>
        <w:trPr>
          <w:trHeight w:val="27"/>
        </w:trPr>
        <w:tc>
          <w:tcPr>
            <w:tcW w:w="4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4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3.875% senior notes</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265,000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265,000</w:t>
            </w:r>
          </w:p>
        </w:tc>
        <w:tc>
          <w:tcPr>
            <w:tcW w:w="1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3.875%</w:t>
            </w:r>
          </w:p>
        </w:tc>
        <w:tc>
          <w:tcPr>
            <w:tcW w:w="4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July 2016</w:t>
            </w:r>
          </w:p>
        </w:tc>
      </w:tr>
      <w:tr>
        <w:trPr>
          <w:trHeight w:val="243"/>
        </w:trPr>
        <w:tc>
          <w:tcPr>
            <w:tcW w:w="4300" w:type="dxa"/>
            <w:vAlign w:val="bottom"/>
          </w:tcPr>
          <w:p>
            <w:pPr>
              <w:ind w:left="160"/>
              <w:spacing w:after="0"/>
              <w:rPr>
                <w:sz w:val="20"/>
                <w:szCs w:val="20"/>
                <w:color w:val="auto"/>
              </w:rPr>
            </w:pPr>
            <w:r>
              <w:rPr>
                <w:rFonts w:ascii="Arial" w:cs="Arial" w:eastAsia="Arial" w:hAnsi="Arial"/>
                <w:sz w:val="18"/>
                <w:szCs w:val="18"/>
                <w:color w:val="auto"/>
              </w:rPr>
              <w:t>3.0% senior convertible notes(4)</w:t>
            </w:r>
          </w:p>
        </w:tc>
        <w:tc>
          <w:tcPr>
            <w:tcW w:w="2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200,000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200,000</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44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November 2016</w:t>
            </w:r>
          </w:p>
        </w:tc>
      </w:tr>
      <w:tr>
        <w:trPr>
          <w:trHeight w:val="27"/>
        </w:trPr>
        <w:tc>
          <w:tcPr>
            <w:tcW w:w="4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4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1.50% senior convertible notes(5)</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200,000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200,000</w:t>
            </w:r>
          </w:p>
        </w:tc>
        <w:tc>
          <w:tcPr>
            <w:tcW w:w="1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4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November 2016</w:t>
            </w:r>
          </w:p>
        </w:tc>
      </w:tr>
      <w:tr>
        <w:trPr>
          <w:trHeight w:val="243"/>
        </w:trPr>
        <w:tc>
          <w:tcPr>
            <w:tcW w:w="4300" w:type="dxa"/>
            <w:vAlign w:val="bottom"/>
          </w:tcPr>
          <w:p>
            <w:pPr>
              <w:ind w:left="160"/>
              <w:spacing w:after="0"/>
              <w:rPr>
                <w:sz w:val="20"/>
                <w:szCs w:val="20"/>
                <w:color w:val="auto"/>
              </w:rPr>
            </w:pPr>
            <w:r>
              <w:rPr>
                <w:rFonts w:ascii="Arial" w:cs="Arial" w:eastAsia="Arial" w:hAnsi="Arial"/>
                <w:sz w:val="18"/>
                <w:szCs w:val="18"/>
                <w:color w:val="auto"/>
              </w:rPr>
              <w:t>5.85% senior notes</w:t>
            </w:r>
          </w:p>
        </w:tc>
        <w:tc>
          <w:tcPr>
            <w:tcW w:w="2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99,722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99,722</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5.85%</w:t>
            </w:r>
          </w:p>
        </w:tc>
        <w:tc>
          <w:tcPr>
            <w:tcW w:w="44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2"/>
              </w:rPr>
              <w:t>March 2017</w:t>
            </w:r>
          </w:p>
        </w:tc>
      </w:tr>
      <w:tr>
        <w:trPr>
          <w:trHeight w:val="27"/>
        </w:trPr>
        <w:tc>
          <w:tcPr>
            <w:tcW w:w="4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4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9.0% senior notes</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275,000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275,000</w:t>
            </w:r>
          </w:p>
        </w:tc>
        <w:tc>
          <w:tcPr>
            <w:tcW w:w="1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4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June 2017</w:t>
            </w:r>
          </w:p>
        </w:tc>
      </w:tr>
      <w:tr>
        <w:trPr>
          <w:trHeight w:val="243"/>
        </w:trPr>
        <w:tc>
          <w:tcPr>
            <w:tcW w:w="4300" w:type="dxa"/>
            <w:vAlign w:val="bottom"/>
          </w:tcPr>
          <w:p>
            <w:pPr>
              <w:ind w:left="160"/>
              <w:spacing w:after="0"/>
              <w:rPr>
                <w:sz w:val="20"/>
                <w:szCs w:val="20"/>
                <w:color w:val="auto"/>
              </w:rPr>
            </w:pPr>
            <w:r>
              <w:rPr>
                <w:rFonts w:ascii="Arial" w:cs="Arial" w:eastAsia="Arial" w:hAnsi="Arial"/>
                <w:sz w:val="18"/>
                <w:szCs w:val="18"/>
                <w:color w:val="auto"/>
              </w:rPr>
              <w:t>7.125% senior notes</w:t>
            </w:r>
          </w:p>
        </w:tc>
        <w:tc>
          <w:tcPr>
            <w:tcW w:w="2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300,000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300,000</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7.125%</w:t>
            </w:r>
          </w:p>
        </w:tc>
        <w:tc>
          <w:tcPr>
            <w:tcW w:w="44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February 2018</w:t>
            </w:r>
          </w:p>
        </w:tc>
      </w:tr>
      <w:tr>
        <w:trPr>
          <w:trHeight w:val="27"/>
        </w:trPr>
        <w:tc>
          <w:tcPr>
            <w:tcW w:w="4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70"/>
        </w:trPr>
        <w:tc>
          <w:tcPr>
            <w:tcW w:w="4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4.875% senior notes</w:t>
            </w: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300,000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300,000</w:t>
            </w:r>
          </w:p>
        </w:tc>
        <w:tc>
          <w:tcPr>
            <w:tcW w:w="1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4.875%</w:t>
            </w:r>
          </w:p>
        </w:tc>
        <w:tc>
          <w:tcPr>
            <w:tcW w:w="44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July 2018</w:t>
            </w:r>
          </w:p>
        </w:tc>
      </w:tr>
      <w:tr>
        <w:trPr>
          <w:trHeight w:val="237"/>
        </w:trPr>
        <w:tc>
          <w:tcPr>
            <w:tcW w:w="4300" w:type="dxa"/>
            <w:vAlign w:val="bottom"/>
          </w:tcPr>
          <w:p>
            <w:pPr>
              <w:ind w:left="20"/>
              <w:spacing w:after="0"/>
              <w:rPr>
                <w:sz w:val="20"/>
                <w:szCs w:val="20"/>
                <w:color w:val="auto"/>
              </w:rPr>
            </w:pPr>
            <w:r>
              <w:rPr>
                <w:rFonts w:ascii="Arial" w:cs="Arial" w:eastAsia="Arial" w:hAnsi="Arial"/>
                <w:sz w:val="18"/>
                <w:szCs w:val="18"/>
                <w:color w:val="auto"/>
              </w:rPr>
              <w:t>Total unsecured notes</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2,006,890</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2,006,890</w:t>
            </w:r>
          </w:p>
        </w:tc>
        <w:tc>
          <w:tcPr>
            <w:tcW w:w="1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27"/>
        </w:trPr>
        <w:tc>
          <w:tcPr>
            <w:tcW w:w="4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Other debt obligations:</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r>
      <w:tr>
        <w:trPr>
          <w:trHeight w:val="243"/>
        </w:trPr>
        <w:tc>
          <w:tcPr>
            <w:tcW w:w="4300" w:type="dxa"/>
            <w:vAlign w:val="bottom"/>
          </w:tcPr>
          <w:p>
            <w:pPr>
              <w:ind w:left="160"/>
              <w:spacing w:after="0"/>
              <w:rPr>
                <w:sz w:val="20"/>
                <w:szCs w:val="20"/>
                <w:color w:val="auto"/>
              </w:rPr>
            </w:pPr>
            <w:r>
              <w:rPr>
                <w:rFonts w:ascii="Arial" w:cs="Arial" w:eastAsia="Arial" w:hAnsi="Arial"/>
                <w:sz w:val="18"/>
                <w:szCs w:val="18"/>
                <w:color w:val="auto"/>
              </w:rPr>
              <w:t>Other debt obligations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100,000</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100,000</w:t>
            </w:r>
          </w:p>
        </w:tc>
        <w:tc>
          <w:tcPr>
            <w:tcW w:w="120" w:type="dxa"/>
            <w:vAlign w:val="bottom"/>
          </w:tcPr>
          <w:p>
            <w:pPr>
              <w:spacing w:after="0"/>
              <w:rPr>
                <w:sz w:val="21"/>
                <w:szCs w:val="21"/>
                <w:color w:val="auto"/>
              </w:rPr>
            </w:pPr>
          </w:p>
        </w:tc>
        <w:tc>
          <w:tcPr>
            <w:tcW w:w="1780" w:type="dxa"/>
            <w:vAlign w:val="bottom"/>
          </w:tcPr>
          <w:p>
            <w:pPr>
              <w:jc w:val="right"/>
              <w:ind w:right="97"/>
              <w:spacing w:after="0"/>
              <w:rPr>
                <w:sz w:val="20"/>
                <w:szCs w:val="20"/>
                <w:color w:val="auto"/>
              </w:rPr>
            </w:pPr>
            <w:r>
              <w:rPr>
                <w:rFonts w:ascii="Arial" w:cs="Arial" w:eastAsia="Arial" w:hAnsi="Arial"/>
                <w:sz w:val="18"/>
                <w:szCs w:val="18"/>
                <w:color w:val="auto"/>
              </w:rPr>
              <w:t>LIBOR + 1.50%</w:t>
            </w:r>
          </w:p>
        </w:tc>
        <w:tc>
          <w:tcPr>
            <w:tcW w:w="44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October 2035</w:t>
            </w:r>
          </w:p>
        </w:tc>
      </w:tr>
      <w:tr>
        <w:trPr>
          <w:trHeight w:val="27"/>
        </w:trPr>
        <w:tc>
          <w:tcPr>
            <w:tcW w:w="43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r>
      <w:tr>
        <w:trPr>
          <w:trHeight w:val="244"/>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debt obligations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4,137,133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4,196,589</w:t>
            </w: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r>
      <w:tr>
        <w:trPr>
          <w:trHeight w:val="243"/>
        </w:trPr>
        <w:tc>
          <w:tcPr>
            <w:tcW w:w="4300" w:type="dxa"/>
            <w:vAlign w:val="bottom"/>
          </w:tcPr>
          <w:p>
            <w:pPr>
              <w:ind w:left="20"/>
              <w:spacing w:after="0"/>
              <w:rPr>
                <w:sz w:val="20"/>
                <w:szCs w:val="20"/>
                <w:color w:val="auto"/>
              </w:rPr>
            </w:pPr>
            <w:r>
              <w:rPr>
                <w:rFonts w:ascii="Arial" w:cs="Arial" w:eastAsia="Arial" w:hAnsi="Arial"/>
                <w:sz w:val="18"/>
                <w:szCs w:val="18"/>
                <w:color w:val="auto"/>
              </w:rPr>
              <w:t>Debt discounts, net</w:t>
            </w: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(35,083)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(38,464)</w:t>
            </w:r>
          </w:p>
        </w:tc>
        <w:tc>
          <w:tcPr>
            <w:tcW w:w="12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700" w:type="dxa"/>
            <w:vAlign w:val="bottom"/>
          </w:tcPr>
          <w:p>
            <w:pPr>
              <w:spacing w:after="0"/>
              <w:rPr>
                <w:sz w:val="21"/>
                <w:szCs w:val="21"/>
                <w:color w:val="auto"/>
              </w:rPr>
            </w:pPr>
          </w:p>
        </w:tc>
      </w:tr>
      <w:tr>
        <w:trPr>
          <w:trHeight w:val="27"/>
        </w:trPr>
        <w:tc>
          <w:tcPr>
            <w:tcW w:w="43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r>
      <w:tr>
        <w:trPr>
          <w:trHeight w:val="257"/>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debt obligations, net</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4,102,050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4,158,125</w:t>
            </w:r>
          </w:p>
        </w:tc>
        <w:tc>
          <w:tcPr>
            <w:tcW w:w="120" w:type="dxa"/>
            <w:vAlign w:val="bottom"/>
            <w:tcBorders>
              <w:bottom w:val="single" w:sz="8" w:color="CCEEFF"/>
            </w:tcBorders>
            <w:shd w:val="clear" w:color="auto" w:fill="CCEEFF"/>
          </w:tcPr>
          <w:p>
            <w:pPr>
              <w:spacing w:after="0"/>
              <w:rPr>
                <w:sz w:val="22"/>
                <w:szCs w:val="22"/>
                <w:color w:val="auto"/>
              </w:rPr>
            </w:pPr>
          </w:p>
        </w:tc>
        <w:tc>
          <w:tcPr>
            <w:tcW w:w="178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spacing w:after="0"/>
              <w:rPr>
                <w:sz w:val="22"/>
                <w:szCs w:val="22"/>
                <w:color w:val="auto"/>
              </w:rPr>
            </w:pPr>
          </w:p>
        </w:tc>
      </w:tr>
      <w:tr>
        <w:trPr>
          <w:trHeight w:val="20"/>
        </w:trPr>
        <w:tc>
          <w:tcPr>
            <w:tcW w:w="4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Notes:</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51"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These loans each have a LIBOR floor of 1.25%. As of March 31, 2014, inclusive of the floor, the 2012 Tranche A-2 Facility loan incurred interest at a rate of 7.00%.</w:t>
      </w:r>
    </w:p>
    <w:p>
      <w:pPr>
        <w:spacing w:after="0" w:line="13" w:lineRule="exact"/>
        <w:rPr>
          <w:rFonts w:ascii="Arial" w:cs="Arial" w:eastAsia="Arial" w:hAnsi="Arial"/>
          <w:sz w:val="14"/>
          <w:szCs w:val="14"/>
          <w:color w:val="auto"/>
        </w:rPr>
      </w:pPr>
    </w:p>
    <w:p>
      <w:pPr>
        <w:ind w:left="660" w:hanging="652"/>
        <w:spacing w:after="0"/>
        <w:tabs>
          <w:tab w:leader="none" w:pos="6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This loan has a LIBOR floor of 1.00%. As of March 31, 2014, inclusive of the floor, the February 2013 Secured Credit Facility incurred interest at a rate of 4.50%.</w:t>
      </w:r>
    </w:p>
    <w:p>
      <w:pPr>
        <w:spacing w:after="0" w:line="1" w:lineRule="exact"/>
        <w:rPr>
          <w:rFonts w:ascii="Arial" w:cs="Arial" w:eastAsia="Arial" w:hAnsi="Arial"/>
          <w:sz w:val="14"/>
          <w:szCs w:val="14"/>
          <w:color w:val="auto"/>
        </w:rPr>
      </w:pPr>
    </w:p>
    <w:p>
      <w:pPr>
        <w:ind w:left="660" w:hanging="652"/>
        <w:spacing w:after="0"/>
        <w:tabs>
          <w:tab w:leader="none" w:pos="6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Includes a loan with a floating rate of LIBOR plus 2.00% and a loan with a floating rate of LIBOR plus 2.75%.</w:t>
      </w:r>
    </w:p>
    <w:p>
      <w:pPr>
        <w:spacing w:after="0" w:line="1" w:lineRule="exact"/>
        <w:rPr>
          <w:rFonts w:ascii="Arial" w:cs="Arial" w:eastAsia="Arial" w:hAnsi="Arial"/>
          <w:sz w:val="14"/>
          <w:szCs w:val="14"/>
          <w:color w:val="auto"/>
        </w:rPr>
      </w:pPr>
    </w:p>
    <w:p>
      <w:pPr>
        <w:ind w:left="660" w:hanging="652"/>
        <w:spacing w:after="0" w:line="241" w:lineRule="auto"/>
        <w:tabs>
          <w:tab w:leader="none" w:pos="6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Company's 3.0% senior convertible fixed rate notes due November 2016 ("3.0% Convertible Notes") are convertible at the option of the holders, into 85.0 shares per $1,000 principal amount of 3.0% Convertible Notes, at any time prior to the close of business on November 14, 2016.</w:t>
      </w:r>
    </w:p>
    <w:p>
      <w:pPr>
        <w:ind w:left="660" w:hanging="652"/>
        <w:spacing w:after="0" w:line="255" w:lineRule="auto"/>
        <w:tabs>
          <w:tab w:leader="none" w:pos="6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Company's 1.50% senior convertible fixed rate notes due November 2016 ("1.50% Convertible Notes") are convertible at the option of the holders, into 57.8 shares per $1,000 principal amount of 1.50% Convertible Notes, at any time prior to the close of business on November 14, 2016.</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2" w:right="239" w:bottom="1440" w:gutter="0" w:footer="0" w:header="0"/>
        </w:sectPr>
      </w:pPr>
    </w:p>
    <w:bookmarkStart w:id="19" w:name="page20"/>
    <w:bookmarkEnd w:id="19"/>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06" w:lineRule="exact"/>
        <w:rPr>
          <w:sz w:val="20"/>
          <w:szCs w:val="20"/>
          <w:color w:val="auto"/>
        </w:rPr>
      </w:pPr>
    </w:p>
    <w:p>
      <w:pPr>
        <w:jc w:val="both"/>
        <w:ind w:firstLine="405"/>
        <w:spacing w:after="0" w:line="282" w:lineRule="auto"/>
        <w:rPr>
          <w:sz w:val="20"/>
          <w:szCs w:val="20"/>
          <w:color w:val="auto"/>
        </w:rPr>
      </w:pPr>
      <w:r>
        <w:rPr>
          <w:rFonts w:ascii="Arial" w:cs="Arial" w:eastAsia="Arial" w:hAnsi="Arial"/>
          <w:sz w:val="18"/>
          <w:szCs w:val="18"/>
          <w:b w:val="1"/>
          <w:bCs w:val="1"/>
          <w:color w:val="auto"/>
        </w:rPr>
        <w:t>Future Scheduled Maturities</w:t>
      </w:r>
      <w:r>
        <w:rPr>
          <w:rFonts w:ascii="Arial" w:cs="Arial" w:eastAsia="Arial" w:hAnsi="Arial"/>
          <w:sz w:val="18"/>
          <w:szCs w:val="18"/>
          <w:color w:val="auto"/>
        </w:rPr>
        <w:t>—As of March 31, 2014, future scheduled maturities of outstanding long-term debt obligations are as follows ($ in</w:t>
      </w:r>
      <w:r>
        <w:rPr>
          <w:rFonts w:ascii="Arial" w:cs="Arial" w:eastAsia="Arial" w:hAnsi="Arial"/>
          <w:sz w:val="18"/>
          <w:szCs w:val="18"/>
          <w:b w:val="1"/>
          <w:bCs w:val="1"/>
          <w:color w:val="auto"/>
        </w:rPr>
        <w:t xml:space="preserve"> </w:t>
      </w:r>
      <w:r>
        <w:rPr>
          <w:rFonts w:ascii="Arial" w:cs="Arial" w:eastAsia="Arial" w:hAnsi="Arial"/>
          <w:sz w:val="18"/>
          <w:szCs w:val="18"/>
          <w:color w:val="auto"/>
        </w:rPr>
        <w:t>thousands):</w:t>
      </w:r>
    </w:p>
    <w:p>
      <w:pPr>
        <w:spacing w:after="0" w:line="171"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0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Unsecured Debt</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Secured Debt</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Total</w:t>
            </w:r>
          </w:p>
        </w:tc>
      </w:tr>
      <w:tr>
        <w:trPr>
          <w:trHeight w:val="250"/>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2014 (remaining nine months)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23,603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23,603</w:t>
            </w:r>
          </w:p>
        </w:tc>
      </w:tr>
      <w:tr>
        <w:trPr>
          <w:trHeight w:val="243"/>
        </w:trPr>
        <w:tc>
          <w:tcPr>
            <w:tcW w:w="6040" w:type="dxa"/>
            <w:vAlign w:val="bottom"/>
          </w:tcPr>
          <w:p>
            <w:pPr>
              <w:ind w:left="20"/>
              <w:spacing w:after="0"/>
              <w:rPr>
                <w:sz w:val="20"/>
                <w:szCs w:val="20"/>
                <w:color w:val="auto"/>
              </w:rPr>
            </w:pPr>
            <w:r>
              <w:rPr>
                <w:rFonts w:ascii="Arial" w:cs="Arial" w:eastAsia="Arial" w:hAnsi="Arial"/>
                <w:sz w:val="18"/>
                <w:szCs w:val="18"/>
                <w:color w:val="auto"/>
              </w:rPr>
              <w:t>2015</w:t>
            </w:r>
          </w:p>
        </w:tc>
        <w:tc>
          <w:tcPr>
            <w:tcW w:w="24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105,765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105,765</w:t>
            </w:r>
          </w:p>
        </w:tc>
      </w:tr>
      <w:tr>
        <w:trPr>
          <w:trHeight w:val="27"/>
        </w:trPr>
        <w:tc>
          <w:tcPr>
            <w:tcW w:w="6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2016</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926,403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926,403</w:t>
            </w:r>
          </w:p>
        </w:tc>
      </w:tr>
      <w:tr>
        <w:trPr>
          <w:trHeight w:val="243"/>
        </w:trPr>
        <w:tc>
          <w:tcPr>
            <w:tcW w:w="6040" w:type="dxa"/>
            <w:vAlign w:val="bottom"/>
          </w:tcPr>
          <w:p>
            <w:pPr>
              <w:ind w:left="20"/>
              <w:spacing w:after="0"/>
              <w:rPr>
                <w:sz w:val="20"/>
                <w:szCs w:val="20"/>
                <w:color w:val="auto"/>
              </w:rPr>
            </w:pPr>
            <w:r>
              <w:rPr>
                <w:rFonts w:ascii="Arial" w:cs="Arial" w:eastAsia="Arial" w:hAnsi="Arial"/>
                <w:sz w:val="18"/>
                <w:szCs w:val="18"/>
                <w:color w:val="auto"/>
              </w:rPr>
              <w:t>2017</w:t>
            </w:r>
          </w:p>
        </w:tc>
        <w:tc>
          <w:tcPr>
            <w:tcW w:w="24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374,722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32"/>
              <w:spacing w:after="0"/>
              <w:rPr>
                <w:sz w:val="20"/>
                <w:szCs w:val="20"/>
                <w:color w:val="auto"/>
              </w:rPr>
            </w:pPr>
            <w:r>
              <w:rPr>
                <w:rFonts w:ascii="Arial" w:cs="Arial" w:eastAsia="Arial" w:hAnsi="Arial"/>
                <w:sz w:val="18"/>
                <w:szCs w:val="18"/>
                <w:color w:val="auto"/>
              </w:rPr>
              <w:t>1,751,517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2,126,239</w:t>
            </w:r>
          </w:p>
        </w:tc>
      </w:tr>
      <w:tr>
        <w:trPr>
          <w:trHeight w:val="27"/>
        </w:trPr>
        <w:tc>
          <w:tcPr>
            <w:tcW w:w="6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2018</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600,000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16,611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616,611</w:t>
            </w:r>
          </w:p>
        </w:tc>
      </w:tr>
      <w:tr>
        <w:trPr>
          <w:trHeight w:val="243"/>
        </w:trPr>
        <w:tc>
          <w:tcPr>
            <w:tcW w:w="604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24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100,000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32"/>
              <w:spacing w:after="0"/>
              <w:rPr>
                <w:sz w:val="20"/>
                <w:szCs w:val="20"/>
                <w:color w:val="auto"/>
              </w:rPr>
            </w:pPr>
            <w:r>
              <w:rPr>
                <w:rFonts w:ascii="Arial" w:cs="Arial" w:eastAsia="Arial" w:hAnsi="Arial"/>
                <w:sz w:val="18"/>
                <w:szCs w:val="18"/>
                <w:color w:val="auto"/>
              </w:rPr>
              <w:t>238,512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338,512</w:t>
            </w:r>
          </w:p>
        </w:tc>
      </w:tr>
      <w:tr>
        <w:trPr>
          <w:trHeight w:val="27"/>
        </w:trPr>
        <w:tc>
          <w:tcPr>
            <w:tcW w:w="60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principal maturities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2,106,890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2,030,243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4,137,133</w:t>
            </w:r>
          </w:p>
        </w:tc>
      </w:tr>
      <w:tr>
        <w:trPr>
          <w:trHeight w:val="243"/>
        </w:trPr>
        <w:tc>
          <w:tcPr>
            <w:tcW w:w="6040" w:type="dxa"/>
            <w:vAlign w:val="bottom"/>
          </w:tcPr>
          <w:p>
            <w:pPr>
              <w:ind w:left="20"/>
              <w:spacing w:after="0"/>
              <w:rPr>
                <w:sz w:val="20"/>
                <w:szCs w:val="20"/>
                <w:color w:val="auto"/>
              </w:rPr>
            </w:pPr>
            <w:r>
              <w:rPr>
                <w:rFonts w:ascii="Arial" w:cs="Arial" w:eastAsia="Arial" w:hAnsi="Arial"/>
                <w:sz w:val="18"/>
                <w:szCs w:val="18"/>
                <w:color w:val="auto"/>
              </w:rPr>
              <w:t>Unamortized debt discounts, net</w:t>
            </w:r>
          </w:p>
        </w:tc>
        <w:tc>
          <w:tcPr>
            <w:tcW w:w="2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(10,430)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(24,653)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(35,083)</w:t>
            </w:r>
          </w:p>
        </w:tc>
      </w:tr>
      <w:tr>
        <w:trPr>
          <w:trHeight w:val="27"/>
        </w:trPr>
        <w:tc>
          <w:tcPr>
            <w:tcW w:w="60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7"/>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long-term debt obligations, net</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2,096,460</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2,005,590</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4,102,050</w:t>
            </w:r>
          </w:p>
        </w:tc>
      </w:tr>
      <w:tr>
        <w:trPr>
          <w:trHeight w:val="20"/>
        </w:trPr>
        <w:tc>
          <w:tcPr>
            <w:tcW w:w="60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ind w:firstLine="405"/>
        <w:spacing w:after="0" w:line="258" w:lineRule="auto"/>
        <w:rPr>
          <w:sz w:val="20"/>
          <w:szCs w:val="20"/>
          <w:color w:val="auto"/>
        </w:rPr>
      </w:pPr>
      <w:r>
        <w:rPr>
          <w:rFonts w:ascii="Arial" w:cs="Arial" w:eastAsia="Arial" w:hAnsi="Arial"/>
          <w:sz w:val="18"/>
          <w:szCs w:val="18"/>
          <w:b w:val="1"/>
          <w:bCs w:val="1"/>
          <w:color w:val="auto"/>
        </w:rPr>
        <w:t>February 2013 Secured Credit Facility</w:t>
      </w:r>
      <w:r>
        <w:rPr>
          <w:rFonts w:ascii="Arial" w:cs="Arial" w:eastAsia="Arial" w:hAnsi="Arial"/>
          <w:sz w:val="18"/>
          <w:szCs w:val="18"/>
          <w:color w:val="auto"/>
        </w:rPr>
        <w:t>—On February 11, 2013, the Company entered into a $1.71 billion senior secured credit facility due October</w:t>
      </w:r>
      <w:r>
        <w:rPr>
          <w:rFonts w:ascii="Arial" w:cs="Arial" w:eastAsia="Arial" w:hAnsi="Arial"/>
          <w:sz w:val="18"/>
          <w:szCs w:val="18"/>
          <w:b w:val="1"/>
          <w:bCs w:val="1"/>
          <w:color w:val="auto"/>
        </w:rPr>
        <w:t xml:space="preserve"> </w:t>
      </w:r>
      <w:r>
        <w:rPr>
          <w:rFonts w:ascii="Arial" w:cs="Arial" w:eastAsia="Arial" w:hAnsi="Arial"/>
          <w:sz w:val="18"/>
          <w:szCs w:val="18"/>
          <w:color w:val="auto"/>
        </w:rPr>
        <w:t>15, 2017 (the “February 2013 Secured Credit Facility”) that amended and restated its $1.82 billion senior secured credit facility, dated October 15, 2012 (the “October 2012 Secured Credit Facility”). The February 2013 Credit Facility amended the October 2012 Secured Credit Facility by: (i) reducing the interest rate from LIBOR plus 4.50%, with a 1.25% LIBOR floor, to LIBOR plus 3.50%, with a 1.00% LIBOR floor; and (ii) extending the call protection period for the lenders from October 15, 2013 to December 31, 2013.</w:t>
      </w:r>
    </w:p>
    <w:p>
      <w:pPr>
        <w:spacing w:after="0" w:line="147"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Borrowings under the February 2013 Secured Credit Facility are collateralized by a first lien on a fixed pool of assets, with required minimum collateral coverage of not less than 125% of outstanding borrowings. If collateral coverage is less than 137.5% of outstanding borrowings, 100% of the proceeds from principal repayments and sales of collateral will be applied to repay outstanding borrowings under the February 2013 Secured Credit Facility. For so long as collateral coverage is between 137.5% and 150% of outstanding borrowings, 50% of proceeds from principal repayments and sales of collateral will be applied to repay outstanding borrowings under the February 2013 Secured Credit Facility and for so long as collateral coverage is greater than 150% of outstanding borrowings, the Company may retain all proceeds from principal repayments and sales of collateral. The Company retains proceeds from interest, rent, lease payments and fee income in all cases. At March 31, 2014, the Company's collateral coverage on the February 2013 Secured Credit Facility exceeded 137.5%.</w:t>
      </w:r>
    </w:p>
    <w:p>
      <w:pPr>
        <w:spacing w:after="0" w:line="152"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In connection with the February 2013 Secured Credit Facility transaction, the Company incurred $17.1 million of lender fees, of which $14.4 million was capitalized in "Debt Obligations, net" on the Company's Consolidated Balance Sheets and $2.7 million was recorded as a loss in "Gain (loss) on early extinguishment of debt, net" on the Company's Consolidated Statements of Operations as it related to the lenders who did not participate in the new facility. The Company also incurred $3.8 million in third party fees, of which $3.6 million was recognized in “Other expense” on the Company's Consolidated Statements of Operations, as it related primarily to those lenders from the original facility that modified their debt under the new facility, and $0.2 million was recorded in “Deferred expenses and other assets, net” on the Company's Consolidated Balance Sheets, as it related to the new lenders.</w:t>
      </w:r>
    </w:p>
    <w:p>
      <w:pPr>
        <w:spacing w:after="0" w:line="124"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Through March 31, 2014, the Company has made cumulative amortization repayments of $373.6 million on the February 2013 Secured Credit Facility bringing the outstanding balance to $1.33 billion. Repayments of the February 2013 Secured Credit Facility prior to the scheduled maturity date have resulted in losses on early extinguishment of debt of $0.9 million for the three months ended March 31, 2014 related to the accelerated amortization of discounts and unamortized deferred financing fees on the portion of the facility that was repaid. The remaining $25.6 million of unamortized fees and discounts from the October 2012 Secured Credit Facility outstanding at the time of refinancing will continue to be amortized into interest expense over the remaining term of the February 2013 Secured Credit Facility.</w:t>
      </w:r>
    </w:p>
    <w:p>
      <w:pPr>
        <w:spacing w:after="0" w:line="149"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8"/>
          <w:szCs w:val="18"/>
          <w:b w:val="1"/>
          <w:bCs w:val="1"/>
          <w:color w:val="auto"/>
        </w:rPr>
        <w:t>March 2012 Secured Credit Facilities</w:t>
      </w:r>
      <w:r>
        <w:rPr>
          <w:rFonts w:ascii="Arial" w:cs="Arial" w:eastAsia="Arial" w:hAnsi="Arial"/>
          <w:sz w:val="18"/>
          <w:szCs w:val="18"/>
          <w:color w:val="auto"/>
        </w:rPr>
        <w:t>—In March 2012, the Company entered into an $880.0 million senior secured credit agreement providing for</w:t>
      </w:r>
      <w:r>
        <w:rPr>
          <w:rFonts w:ascii="Arial" w:cs="Arial" w:eastAsia="Arial" w:hAnsi="Arial"/>
          <w:sz w:val="18"/>
          <w:szCs w:val="18"/>
          <w:b w:val="1"/>
          <w:bCs w:val="1"/>
          <w:color w:val="auto"/>
        </w:rPr>
        <w:t xml:space="preserve"> </w:t>
      </w:r>
      <w:r>
        <w:rPr>
          <w:rFonts w:ascii="Arial" w:cs="Arial" w:eastAsia="Arial" w:hAnsi="Arial"/>
          <w:sz w:val="18"/>
          <w:szCs w:val="18"/>
          <w:color w:val="auto"/>
        </w:rPr>
        <w:t>two tranches of term loans: a $410.0 million 2012 A-1 tranche due March 2016, which bears interest at a rate of LIBOR + 4.00% (the "2012 Tranche A-1 Facility"), and a $470.0 million 2012 A-2 tranche due March 2017, which bears interest at a rate of LIBOR + 5.75% (the "2012 Tranche A-2 Facility," together the "March 2012 Secured Credit Facilities"). The 2012 A-1 and A-2 tranches were issued at 98.0% of par and 98.5% of par, respectively, and both tranches include a LIBOR floor of 1.25%. Proceeds from the March 2012 Secured Credit Facilities, together with cash on hand, were used to repurchase and repay</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1" w:right="239" w:bottom="1440" w:gutter="0" w:footer="0" w:header="0"/>
        </w:sectPr>
      </w:pPr>
    </w:p>
    <w:bookmarkStart w:id="20" w:name="page21"/>
    <w:bookmarkEnd w:id="20"/>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1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maturity $606.7 million aggregate principal amount of the Company's convertible notes due October 2012, to fully repay the $244.0 million balance on the Company's unsecured credit facility due June 2012, and to repay, upon maturity, $90.3 million outstanding principal balance of its 5.50% senior unsecured notes.</w:t>
      </w:r>
    </w:p>
    <w:p>
      <w:pPr>
        <w:spacing w:after="0" w:line="181"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The March 2012 Secured Credit Facilities are collateralized by a first lien on a fixed pool of assets. Proceeds from principal repayments and sales of collateral are applied to amortize the March 2012 Secured Credit Facilities. Proceeds received for interest, rent, lease payments and fee income are retained by the Company. The 2012 Tranche A-1 Facility required amortization payments of $41.0 million to be made every six months beginning December 31, 2012. The 2012 Tranche A-1 Facility was fully repaid in August 2013. Proceeds from principal repayments and sales of collateral will be used to amortize the 2012 Tranche A-2 Facility. The Company may make optional prepayments on each tranche of term loans, subject to prepayment fees. Repayments of the 2012 Tranche A-1 Facility prior to scheduled amortization dates resulted in losses on early extinguishment of debt of $3.0 million during the three months ended March 31, 2013 related to the accelerated amortization of discounts and unamortized deferred financing fees on the portion of the facility that was repaid.</w:t>
      </w:r>
    </w:p>
    <w:p>
      <w:pPr>
        <w:spacing w:after="0" w:line="192" w:lineRule="exact"/>
        <w:rPr>
          <w:sz w:val="20"/>
          <w:szCs w:val="20"/>
          <w:color w:val="auto"/>
        </w:rPr>
      </w:pPr>
    </w:p>
    <w:p>
      <w:pPr>
        <w:jc w:val="both"/>
        <w:ind w:right="20" w:firstLine="432"/>
        <w:spacing w:after="0" w:line="312" w:lineRule="auto"/>
        <w:rPr>
          <w:sz w:val="20"/>
          <w:szCs w:val="20"/>
          <w:color w:val="auto"/>
        </w:rPr>
      </w:pPr>
      <w:r>
        <w:rPr>
          <w:rFonts w:ascii="Arial" w:cs="Arial" w:eastAsia="Arial" w:hAnsi="Arial"/>
          <w:sz w:val="16"/>
          <w:szCs w:val="16"/>
          <w:color w:val="auto"/>
        </w:rPr>
        <w:t>Additionally, through March 31, 2014, the Company made cumulative amortization repayments of $51.9 million on the 2012 Tranche A-2 Facility. For the three months ended March 31, 2014, repayments of the 2012 Tranche A-2 Facility prior to maturity resulted in losses on early extinguishment of debt of $0.3 million related to the accelerated amortization of discounts and unamortized deferred financing fees on the portion of the facility that was repaid.</w:t>
      </w:r>
    </w:p>
    <w:p>
      <w:pPr>
        <w:spacing w:after="0" w:line="143" w:lineRule="exact"/>
        <w:rPr>
          <w:sz w:val="20"/>
          <w:szCs w:val="20"/>
          <w:color w:val="auto"/>
        </w:rPr>
      </w:pPr>
    </w:p>
    <w:p>
      <w:pPr>
        <w:jc w:val="both"/>
        <w:ind w:firstLine="432"/>
        <w:spacing w:after="0" w:line="282" w:lineRule="auto"/>
        <w:rPr>
          <w:sz w:val="20"/>
          <w:szCs w:val="20"/>
          <w:color w:val="auto"/>
        </w:rPr>
      </w:pPr>
      <w:r>
        <w:rPr>
          <w:rFonts w:ascii="Arial" w:cs="Arial" w:eastAsia="Arial" w:hAnsi="Arial"/>
          <w:sz w:val="18"/>
          <w:szCs w:val="18"/>
          <w:b w:val="1"/>
          <w:bCs w:val="1"/>
          <w:color w:val="auto"/>
        </w:rPr>
        <w:t>Encumbered/Unencumbered Assets</w:t>
      </w:r>
      <w:r>
        <w:rPr>
          <w:rFonts w:ascii="Arial" w:cs="Arial" w:eastAsia="Arial" w:hAnsi="Arial"/>
          <w:sz w:val="18"/>
          <w:szCs w:val="18"/>
          <w:color w:val="auto"/>
        </w:rPr>
        <w:t>—As of March 31, 2014 and December 31, 2013, the carrying value of the Company's encumbered and</w:t>
      </w:r>
      <w:r>
        <w:rPr>
          <w:rFonts w:ascii="Arial" w:cs="Arial" w:eastAsia="Arial" w:hAnsi="Arial"/>
          <w:sz w:val="18"/>
          <w:szCs w:val="18"/>
          <w:b w:val="1"/>
          <w:bCs w:val="1"/>
          <w:color w:val="auto"/>
        </w:rPr>
        <w:t xml:space="preserve"> </w:t>
      </w:r>
      <w:r>
        <w:rPr>
          <w:rFonts w:ascii="Arial" w:cs="Arial" w:eastAsia="Arial" w:hAnsi="Arial"/>
          <w:sz w:val="18"/>
          <w:szCs w:val="18"/>
          <w:color w:val="auto"/>
        </w:rPr>
        <w:t>unencumbered assets by asset type are as follows ($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gridSpan w:val="3"/>
          </w:tcPr>
          <w:p>
            <w:pPr>
              <w:jc w:val="right"/>
              <w:ind w:right="159"/>
              <w:spacing w:after="0"/>
              <w:rPr>
                <w:sz w:val="20"/>
                <w:szCs w:val="20"/>
                <w:color w:val="auto"/>
              </w:rPr>
            </w:pPr>
            <w:r>
              <w:rPr>
                <w:rFonts w:ascii="Arial" w:cs="Arial" w:eastAsia="Arial" w:hAnsi="Arial"/>
                <w:sz w:val="14"/>
                <w:szCs w:val="14"/>
                <w:b w:val="1"/>
                <w:bCs w:val="1"/>
                <w:color w:val="auto"/>
                <w:w w:val="85"/>
              </w:rPr>
              <w:t>As of</w:t>
            </w: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6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2400" w:type="dxa"/>
            <w:vAlign w:val="bottom"/>
            <w:tcBorders>
              <w:bottom w:val="single" w:sz="8" w:color="auto"/>
            </w:tcBorders>
            <w:gridSpan w:val="4"/>
          </w:tcPr>
          <w:p>
            <w:pPr>
              <w:jc w:val="right"/>
              <w:ind w:right="734"/>
              <w:spacing w:after="0"/>
              <w:rPr>
                <w:sz w:val="20"/>
                <w:szCs w:val="20"/>
                <w:color w:val="auto"/>
              </w:rPr>
            </w:pPr>
            <w:r>
              <w:rPr>
                <w:rFonts w:ascii="Arial" w:cs="Arial" w:eastAsia="Arial" w:hAnsi="Arial"/>
                <w:sz w:val="14"/>
                <w:szCs w:val="14"/>
                <w:b w:val="1"/>
                <w:bCs w:val="1"/>
                <w:color w:val="auto"/>
              </w:rPr>
              <w:t>March 31, 2014</w:t>
            </w:r>
          </w:p>
        </w:tc>
        <w:tc>
          <w:tcPr>
            <w:tcW w:w="1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2500" w:type="dxa"/>
            <w:vAlign w:val="bottom"/>
            <w:tcBorders>
              <w:bottom w:val="single" w:sz="8" w:color="auto"/>
            </w:tcBorders>
            <w:gridSpan w:val="4"/>
          </w:tcPr>
          <w:p>
            <w:pPr>
              <w:jc w:val="right"/>
              <w:ind w:right="734"/>
              <w:spacing w:after="0"/>
              <w:rPr>
                <w:sz w:val="20"/>
                <w:szCs w:val="20"/>
                <w:color w:val="auto"/>
              </w:rPr>
            </w:pPr>
            <w:r>
              <w:rPr>
                <w:rFonts w:ascii="Arial" w:cs="Arial" w:eastAsia="Arial" w:hAnsi="Arial"/>
                <w:sz w:val="14"/>
                <w:szCs w:val="14"/>
                <w:b w:val="1"/>
                <w:bCs w:val="1"/>
                <w:color w:val="auto"/>
              </w:rPr>
              <w:t>December 31, 2013</w:t>
            </w:r>
          </w:p>
        </w:tc>
        <w:tc>
          <w:tcPr>
            <w:tcW w:w="0" w:type="dxa"/>
            <w:vAlign w:val="bottom"/>
          </w:tcPr>
          <w:p>
            <w:pPr>
              <w:spacing w:after="0"/>
              <w:rPr>
                <w:sz w:val="1"/>
                <w:szCs w:val="1"/>
                <w:color w:val="auto"/>
              </w:rPr>
            </w:pPr>
          </w:p>
        </w:tc>
      </w:tr>
      <w:tr>
        <w:trPr>
          <w:trHeight w:val="152"/>
        </w:trPr>
        <w:tc>
          <w:tcPr>
            <w:tcW w:w="5620" w:type="dxa"/>
            <w:vAlign w:val="bottom"/>
          </w:tcPr>
          <w:p>
            <w:pPr>
              <w:spacing w:after="0"/>
              <w:rPr>
                <w:sz w:val="13"/>
                <w:szCs w:val="13"/>
                <w:color w:val="auto"/>
              </w:rPr>
            </w:pPr>
          </w:p>
        </w:tc>
        <w:tc>
          <w:tcPr>
            <w:tcW w:w="13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5"/>
              </w:rPr>
              <w:t>Encumbered Assets</w:t>
            </w:r>
          </w:p>
        </w:tc>
        <w:tc>
          <w:tcPr>
            <w:tcW w:w="12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jc w:val="right"/>
              <w:ind w:right="14"/>
              <w:spacing w:after="0" w:line="153" w:lineRule="exact"/>
              <w:rPr>
                <w:sz w:val="20"/>
                <w:szCs w:val="20"/>
                <w:color w:val="auto"/>
              </w:rPr>
            </w:pPr>
            <w:r>
              <w:rPr>
                <w:rFonts w:ascii="Arial" w:cs="Arial" w:eastAsia="Arial" w:hAnsi="Arial"/>
                <w:sz w:val="14"/>
                <w:szCs w:val="14"/>
                <w:b w:val="1"/>
                <w:bCs w:val="1"/>
                <w:color w:val="auto"/>
                <w:w w:val="94"/>
              </w:rPr>
              <w:t>Unencumbered</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5"/>
              </w:rPr>
              <w:t>Encumbered Assets</w:t>
            </w:r>
          </w:p>
        </w:tc>
        <w:tc>
          <w:tcPr>
            <w:tcW w:w="12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jc w:val="right"/>
              <w:ind w:right="134"/>
              <w:spacing w:after="0" w:line="153" w:lineRule="exact"/>
              <w:rPr>
                <w:sz w:val="20"/>
                <w:szCs w:val="20"/>
                <w:color w:val="auto"/>
              </w:rPr>
            </w:pPr>
            <w:r>
              <w:rPr>
                <w:rFonts w:ascii="Arial" w:cs="Arial" w:eastAsia="Arial" w:hAnsi="Arial"/>
                <w:sz w:val="14"/>
                <w:szCs w:val="14"/>
                <w:b w:val="1"/>
                <w:bCs w:val="1"/>
                <w:color w:val="auto"/>
                <w:w w:val="94"/>
              </w:rPr>
              <w:t>Unencumbered</w:t>
            </w:r>
          </w:p>
        </w:tc>
        <w:tc>
          <w:tcPr>
            <w:tcW w:w="0" w:type="dxa"/>
            <w:vAlign w:val="bottom"/>
          </w:tcPr>
          <w:p>
            <w:pPr>
              <w:spacing w:after="0"/>
              <w:rPr>
                <w:sz w:val="1"/>
                <w:szCs w:val="1"/>
                <w:color w:val="auto"/>
              </w:rPr>
            </w:pPr>
          </w:p>
        </w:tc>
      </w:tr>
      <w:tr>
        <w:trPr>
          <w:trHeight w:val="192"/>
        </w:trPr>
        <w:tc>
          <w:tcPr>
            <w:tcW w:w="562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Assets</w:t>
            </w: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 estate, net</w:t>
            </w:r>
          </w:p>
        </w:tc>
        <w:tc>
          <w:tcPr>
            <w:tcW w:w="34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1,589,847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1,124,123</w:t>
            </w:r>
          </w:p>
        </w:tc>
        <w:tc>
          <w:tcPr>
            <w:tcW w:w="560" w:type="dxa"/>
            <w:vAlign w:val="bottom"/>
            <w:tcBorders>
              <w:bottom w:val="single" w:sz="8" w:color="CCEEFF"/>
            </w:tcBorders>
            <w:gridSpan w:val="3"/>
            <w:shd w:val="clear" w:color="auto" w:fill="CCEEFF"/>
          </w:tcPr>
          <w:p>
            <w:pPr>
              <w:jc w:val="right"/>
              <w:ind w:right="139"/>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1,644,463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1,151,718</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Real estate available and held for sale</w:t>
            </w:r>
          </w:p>
        </w:tc>
        <w:tc>
          <w:tcPr>
            <w:tcW w:w="34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129,005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205,686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152,604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207,913</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Loans receivable and other lending investments, net(1)</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836,572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670,918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860,557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538,752</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Other investments</w:t>
            </w:r>
          </w:p>
        </w:tc>
        <w:tc>
          <w:tcPr>
            <w:tcW w:w="34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21,034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184,063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24,093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183,116</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other assets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757,467</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907,995</w:t>
            </w:r>
          </w:p>
        </w:tc>
        <w:tc>
          <w:tcPr>
            <w:tcW w:w="0" w:type="dxa"/>
            <w:vAlign w:val="bottom"/>
          </w:tcPr>
          <w:p>
            <w:pPr>
              <w:spacing w:after="0"/>
              <w:rPr>
                <w:sz w:val="1"/>
                <w:szCs w:val="1"/>
                <w:color w:val="auto"/>
              </w:rPr>
            </w:pPr>
          </w:p>
        </w:tc>
      </w:tr>
      <w:tr>
        <w:trPr>
          <w:trHeight w:val="257"/>
        </w:trPr>
        <w:tc>
          <w:tcPr>
            <w:tcW w:w="5620" w:type="dxa"/>
            <w:vAlign w:val="bottom"/>
          </w:tcPr>
          <w:p>
            <w:pPr>
              <w:ind w:left="18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bottom w:val="single" w:sz="8" w:color="auto"/>
            </w:tcBorders>
          </w:tcPr>
          <w:p>
            <w:pPr>
              <w:jc w:val="right"/>
              <w:ind w:right="156"/>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2,576,458</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2,942,257</w:t>
            </w:r>
          </w:p>
        </w:tc>
        <w:tc>
          <w:tcPr>
            <w:tcW w:w="1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2,681,717</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2,989,494</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51" w:lineRule="exact"/>
        <w:rPr>
          <w:sz w:val="20"/>
          <w:szCs w:val="20"/>
          <w:color w:val="auto"/>
        </w:rPr>
      </w:pPr>
    </w:p>
    <w:p>
      <w:pPr>
        <w:ind w:left="660" w:hanging="652"/>
        <w:spacing w:after="0"/>
        <w:tabs>
          <w:tab w:leader="none" w:pos="6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As of March 31, 2014 and December 31, 2013, the amounts presented exclude general reserves for loan losses of $31.0 million and $29.2 million, respectively.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Covenants</w:t>
      </w:r>
    </w:p>
    <w:p>
      <w:pPr>
        <w:spacing w:after="0" w:line="229"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Company's outstanding unsecured debt securities contain corporate level covenants that include a covenant to maintain a ratio of unencumbered assets to unsecured indebtedness of at least 1.2x and a restriction on debt incurrence based upon the effect of the debt incurrence on the Company's fixed charge coverage ratio. If any of the Company's covenants are breached and not cured within applicable cure periods, the breach could result in acceleration of its debt securities unless a waiver or modification is agreed upon with the requisite percentage of the bondholders. While the Company expects that its ability to incur new indebtedness under the fixed charge coverage ratio will be limited for the foreseeable future, which may put limitations on its ability to make new investments, it will continue to be permitted to incur indebtedness for the purpose of refinancing existing indebtedness and for other permitted purposes under the indentures.</w:t>
      </w:r>
    </w:p>
    <w:p>
      <w:pPr>
        <w:spacing w:after="0" w:line="189"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Company's March 2012 Secured Credit Facilities and February 2013 Secured Credit Facility are collectively defined as the "Secured Credit Facilities." The Company's Secured Credit Facilities contain certain covenants, including covenants relating to collateral coverage, dividend payments, restrictions on fundamental changes, transactions with affiliates, matters relating to the liens granted to the lenders and the delivery of information to the lenders. In particular, the Company is required to maintain collateral coverage of 1.25x outstanding borrowings. In addition, for so long as the Company maintains its qualification as a REIT, the Secured Credit Facilities permit the Company to distribute 100% of its REIT taxable income on an annual basis and the February</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1" w:right="239" w:bottom="1440" w:gutter="0" w:footer="0" w:header="0"/>
        </w:sectPr>
      </w:pPr>
    </w:p>
    <w:bookmarkStart w:id="21" w:name="page22"/>
    <w:bookmarkEnd w:id="21"/>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2013 Secured Credit Facility permits the Company to distribute to its shareholders real estate assets, or interests therein, having an aggregate equity value not to exceed $200 million, so long as such assets are not collateral for the February 2013 Secured Credit Facility. The Company may not pay common dividends if it ceases to qualify as a REIT (except that the February 2013 Secured Credit Facility permits the Company to distribute certain real estate assets as described in the preceding sentence).</w:t>
      </w:r>
    </w:p>
    <w:p>
      <w:pPr>
        <w:spacing w:after="0" w:line="187"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The Company's Secured Credit Facilities contain cross default provisions that would allow the lenders to declare an event of default and accelerate the Company's indebtedness to them if the Company fails to pay amounts due in respect of its other recourse indebtedness in excess of specified thresholds or if the lenders under such other indebtedness are otherwise permitted to accelerate such indebtedness for any reason. The indentures governing the Company's unsecured public debt securities permit the bondholders to declare an event of default and accelerate the Company's indebtedness to them if the Company's other recourse indebtedness in excess of specified thresholds is not paid at final maturity or if such indebtedness is accelerated.</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9—Commitments and Contingencies</w:t>
      </w:r>
    </w:p>
    <w:p>
      <w:pPr>
        <w:spacing w:after="0" w:line="225"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8"/>
          <w:szCs w:val="18"/>
          <w:b w:val="1"/>
          <w:bCs w:val="1"/>
          <w:color w:val="auto"/>
        </w:rPr>
        <w:t>Unfunded Commitments</w:t>
      </w:r>
      <w:r>
        <w:rPr>
          <w:rFonts w:ascii="Arial" w:cs="Arial" w:eastAsia="Arial" w:hAnsi="Arial"/>
          <w:sz w:val="18"/>
          <w:szCs w:val="18"/>
          <w:color w:val="auto"/>
        </w:rPr>
        <w:t>—The Company generally funds construction and development loans and build-outs of space in net lease assets over a period</w:t>
      </w:r>
      <w:r>
        <w:rPr>
          <w:rFonts w:ascii="Arial" w:cs="Arial" w:eastAsia="Arial" w:hAnsi="Arial"/>
          <w:sz w:val="18"/>
          <w:szCs w:val="18"/>
          <w:b w:val="1"/>
          <w:bCs w:val="1"/>
          <w:color w:val="auto"/>
        </w:rPr>
        <w:t xml:space="preserve"> </w:t>
      </w:r>
      <w:r>
        <w:rPr>
          <w:rFonts w:ascii="Arial" w:cs="Arial" w:eastAsia="Arial" w:hAnsi="Arial"/>
          <w:sz w:val="18"/>
          <w:szCs w:val="18"/>
          <w:color w:val="auto"/>
        </w:rPr>
        <w:t>of time if and when the borrowers and tenants meet established milestones and other performance criteria. The Company refers to these arrangements as Performance-Based Commitments. In addition, the Company sometimes establishes a maximum amount of additional funding which it will make available to a borrower or tenant for an expansion or addition to a project if it approves of the expansion or addition in its sole discretion. The Company refers to these arrangements as Discretionary Fundings. Finally, the Company has committed to invest capital in several real estate funds and other ventures. These arrangements are referred to as Strategic Investments.</w:t>
      </w:r>
    </w:p>
    <w:p>
      <w:pPr>
        <w:spacing w:after="0" w:line="192"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As of March 31, 2014, the maximum amount of fundings the Company may be required to make under each category, assuming all performance hurdles and milestones are met under the Performance-Based Commitments, that it approves all Discretionary Fundings and that 100% of its capital committed to Strategic Investments is drawn down, are as follows ($ in thousands):</w:t>
      </w:r>
    </w:p>
    <w:p>
      <w:pPr>
        <w:spacing w:after="0" w:line="106" w:lineRule="exact"/>
        <w:rPr>
          <w:sz w:val="20"/>
          <w:szCs w:val="20"/>
          <w:color w:val="auto"/>
        </w:rPr>
      </w:pPr>
    </w:p>
    <w:tbl>
      <w:tblPr>
        <w:tblLayout w:type="fixed"/>
        <w:tblInd w:w="280" w:type="dxa"/>
        <w:tblCellMar>
          <w:top w:w="0" w:type="dxa"/>
          <w:left w:w="0" w:type="dxa"/>
          <w:bottom w:w="0" w:type="dxa"/>
          <w:right w:w="0" w:type="dxa"/>
        </w:tblCellMar>
      </w:tblPr>
      <w:tr>
        <w:trPr>
          <w:trHeight w:val="161"/>
        </w:trPr>
        <w:tc>
          <w:tcPr>
            <w:tcW w:w="3580" w:type="dxa"/>
            <w:vAlign w:val="bottom"/>
          </w:tcPr>
          <w:p>
            <w:pPr>
              <w:spacing w:after="0"/>
              <w:rPr>
                <w:sz w:val="14"/>
                <w:szCs w:val="14"/>
                <w:color w:val="auto"/>
              </w:rPr>
            </w:pPr>
          </w:p>
        </w:tc>
        <w:tc>
          <w:tcPr>
            <w:tcW w:w="1840" w:type="dxa"/>
            <w:vAlign w:val="bottom"/>
            <w:gridSpan w:val="3"/>
          </w:tcPr>
          <w:p>
            <w:pPr>
              <w:ind w:left="80"/>
              <w:spacing w:after="0"/>
              <w:rPr>
                <w:sz w:val="20"/>
                <w:szCs w:val="20"/>
                <w:color w:val="auto"/>
              </w:rPr>
            </w:pPr>
            <w:r>
              <w:rPr>
                <w:rFonts w:ascii="Arial" w:cs="Arial" w:eastAsia="Arial" w:hAnsi="Arial"/>
                <w:sz w:val="14"/>
                <w:szCs w:val="14"/>
                <w:b w:val="1"/>
                <w:bCs w:val="1"/>
                <w:color w:val="auto"/>
              </w:rPr>
              <w:t>Loans and Other Lending</w:t>
            </w:r>
          </w:p>
        </w:tc>
        <w:tc>
          <w:tcPr>
            <w:tcW w:w="320" w:type="dxa"/>
            <w:vAlign w:val="bottom"/>
          </w:tcPr>
          <w:p>
            <w:pPr>
              <w:spacing w:after="0"/>
              <w:rPr>
                <w:sz w:val="14"/>
                <w:szCs w:val="14"/>
                <w:color w:val="auto"/>
              </w:rPr>
            </w:pPr>
          </w:p>
        </w:tc>
        <w:tc>
          <w:tcPr>
            <w:tcW w:w="1420" w:type="dxa"/>
            <w:vAlign w:val="bottom"/>
            <w:vMerge w:val="restart"/>
          </w:tcPr>
          <w:p>
            <w:pPr>
              <w:jc w:val="right"/>
              <w:ind w:right="434"/>
              <w:spacing w:after="0"/>
              <w:rPr>
                <w:sz w:val="20"/>
                <w:szCs w:val="20"/>
                <w:color w:val="auto"/>
              </w:rPr>
            </w:pPr>
            <w:r>
              <w:rPr>
                <w:rFonts w:ascii="Arial" w:cs="Arial" w:eastAsia="Arial" w:hAnsi="Arial"/>
                <w:sz w:val="14"/>
                <w:szCs w:val="14"/>
                <w:b w:val="1"/>
                <w:bCs w:val="1"/>
                <w:color w:val="auto"/>
              </w:rPr>
              <w:t>Real Estate</w:t>
            </w:r>
          </w:p>
        </w:tc>
        <w:tc>
          <w:tcPr>
            <w:tcW w:w="120" w:type="dxa"/>
            <w:vAlign w:val="bottom"/>
            <w:vMerge w:val="restart"/>
          </w:tcPr>
          <w:p>
            <w:pPr>
              <w:spacing w:after="0"/>
              <w:rPr>
                <w:sz w:val="14"/>
                <w:szCs w:val="14"/>
                <w:color w:val="auto"/>
              </w:rPr>
            </w:pPr>
          </w:p>
        </w:tc>
        <w:tc>
          <w:tcPr>
            <w:tcW w:w="300" w:type="dxa"/>
            <w:vAlign w:val="bottom"/>
          </w:tcPr>
          <w:p>
            <w:pPr>
              <w:spacing w:after="0"/>
              <w:rPr>
                <w:sz w:val="14"/>
                <w:szCs w:val="14"/>
                <w:color w:val="auto"/>
              </w:rPr>
            </w:pPr>
          </w:p>
        </w:tc>
        <w:tc>
          <w:tcPr>
            <w:tcW w:w="1540" w:type="dxa"/>
            <w:vAlign w:val="bottom"/>
            <w:gridSpan w:val="2"/>
          </w:tcPr>
          <w:p>
            <w:pPr>
              <w:ind w:left="300"/>
              <w:spacing w:after="0"/>
              <w:rPr>
                <w:sz w:val="20"/>
                <w:szCs w:val="20"/>
                <w:color w:val="auto"/>
              </w:rPr>
            </w:pPr>
            <w:r>
              <w:rPr>
                <w:rFonts w:ascii="Arial" w:cs="Arial" w:eastAsia="Arial" w:hAnsi="Arial"/>
                <w:sz w:val="14"/>
                <w:szCs w:val="14"/>
                <w:b w:val="1"/>
                <w:bCs w:val="1"/>
                <w:color w:val="auto"/>
              </w:rPr>
              <w:t>Strategic</w:t>
            </w:r>
          </w:p>
        </w:tc>
        <w:tc>
          <w:tcPr>
            <w:tcW w:w="420" w:type="dxa"/>
            <w:vAlign w:val="bottom"/>
          </w:tcPr>
          <w:p>
            <w:pPr>
              <w:spacing w:after="0"/>
              <w:rPr>
                <w:sz w:val="14"/>
                <w:szCs w:val="14"/>
                <w:color w:val="auto"/>
              </w:rPr>
            </w:pPr>
          </w:p>
        </w:tc>
        <w:tc>
          <w:tcPr>
            <w:tcW w:w="1320" w:type="dxa"/>
            <w:vAlign w:val="bottom"/>
            <w:vMerge w:val="restart"/>
          </w:tcPr>
          <w:p>
            <w:pPr>
              <w:jc w:val="right"/>
              <w:ind w:right="61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5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Investments</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Investments</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Performance-Based Commitments</w:t>
            </w:r>
          </w:p>
        </w:tc>
        <w:tc>
          <w:tcPr>
            <w:tcW w:w="30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233,015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51,759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284,774</w:t>
            </w:r>
          </w:p>
        </w:tc>
        <w:tc>
          <w:tcPr>
            <w:tcW w:w="0" w:type="dxa"/>
            <w:vAlign w:val="bottom"/>
          </w:tcPr>
          <w:p>
            <w:pPr>
              <w:spacing w:after="0"/>
              <w:rPr>
                <w:sz w:val="1"/>
                <w:szCs w:val="1"/>
                <w:color w:val="auto"/>
              </w:rPr>
            </w:pPr>
          </w:p>
        </w:tc>
      </w:tr>
      <w:tr>
        <w:trPr>
          <w:trHeight w:val="243"/>
        </w:trPr>
        <w:tc>
          <w:tcPr>
            <w:tcW w:w="3580" w:type="dxa"/>
            <w:vAlign w:val="bottom"/>
          </w:tcPr>
          <w:p>
            <w:pPr>
              <w:ind w:left="20"/>
              <w:spacing w:after="0"/>
              <w:rPr>
                <w:sz w:val="20"/>
                <w:szCs w:val="20"/>
                <w:color w:val="auto"/>
              </w:rPr>
            </w:pPr>
            <w:r>
              <w:rPr>
                <w:rFonts w:ascii="Arial" w:cs="Arial" w:eastAsia="Arial" w:hAnsi="Arial"/>
                <w:sz w:val="18"/>
                <w:szCs w:val="18"/>
                <w:color w:val="auto"/>
              </w:rPr>
              <w:t>Discretionary Fundings</w:t>
            </w:r>
          </w:p>
        </w:tc>
        <w:tc>
          <w:tcPr>
            <w:tcW w:w="300" w:type="dxa"/>
            <w:vAlign w:val="bottom"/>
          </w:tcPr>
          <w:p>
            <w:pPr>
              <w:spacing w:after="0"/>
              <w:rPr>
                <w:sz w:val="21"/>
                <w:szCs w:val="21"/>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Strategic Investments</w:t>
            </w:r>
          </w:p>
        </w:tc>
        <w:tc>
          <w:tcPr>
            <w:tcW w:w="3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46,382</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46,382</w:t>
            </w:r>
          </w:p>
        </w:tc>
        <w:tc>
          <w:tcPr>
            <w:tcW w:w="0" w:type="dxa"/>
            <w:vAlign w:val="bottom"/>
          </w:tcPr>
          <w:p>
            <w:pPr>
              <w:spacing w:after="0"/>
              <w:rPr>
                <w:sz w:val="1"/>
                <w:szCs w:val="1"/>
                <w:color w:val="auto"/>
              </w:rPr>
            </w:pPr>
          </w:p>
        </w:tc>
      </w:tr>
      <w:tr>
        <w:trPr>
          <w:trHeight w:val="257"/>
        </w:trPr>
        <w:tc>
          <w:tcPr>
            <w:tcW w:w="3580" w:type="dxa"/>
            <w:vAlign w:val="bottom"/>
          </w:tcPr>
          <w:p>
            <w:pPr>
              <w:ind w:left="16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bottom w:val="single" w:sz="8" w:color="auto"/>
            </w:tcBorders>
          </w:tcPr>
          <w:p>
            <w:pPr>
              <w:jc w:val="right"/>
              <w:ind w:right="96"/>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233,015</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51,759</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46,382</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331,156</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7"/>
          <w:szCs w:val="17"/>
          <w:b w:val="1"/>
          <w:bCs w:val="1"/>
          <w:color w:val="auto"/>
        </w:rPr>
        <w:t>Legal Proceedings</w:t>
      </w:r>
      <w:r>
        <w:rPr>
          <w:rFonts w:ascii="Arial" w:cs="Arial" w:eastAsia="Arial" w:hAnsi="Arial"/>
          <w:sz w:val="17"/>
          <w:szCs w:val="17"/>
          <w:color w:val="auto"/>
        </w:rPr>
        <w:t>—The Company and/or one or more of its subsidiaries is party to various pending litigation matters that are considered ordinary</w:t>
      </w:r>
      <w:r>
        <w:rPr>
          <w:rFonts w:ascii="Arial" w:cs="Arial" w:eastAsia="Arial" w:hAnsi="Arial"/>
          <w:sz w:val="17"/>
          <w:szCs w:val="17"/>
          <w:b w:val="1"/>
          <w:bCs w:val="1"/>
          <w:color w:val="auto"/>
        </w:rPr>
        <w:t xml:space="preserve"> </w:t>
      </w:r>
      <w:r>
        <w:rPr>
          <w:rFonts w:ascii="Arial" w:cs="Arial" w:eastAsia="Arial" w:hAnsi="Arial"/>
          <w:sz w:val="17"/>
          <w:szCs w:val="17"/>
          <w:color w:val="auto"/>
        </w:rPr>
        <w:t>routine litigation incidental to the Company's business as a finance and investment company focused on the commercial real estate industry, including loan foreclosure and foreclosure-related proceedings. In addition to such matters, the Company is a party to the following legal proceeding:</w:t>
      </w:r>
    </w:p>
    <w:p>
      <w:pPr>
        <w:spacing w:after="0" w:line="162"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On March 7, 2014, a shareholder action purporting to assert derivative, class and individual claims was filed in the Circuit Court for Baltimore City, Maryland naming the Company, a number of our current and former senior executives (including our chief executive officer) and current and former directors as defendants. The complaint seeks unspecified damages and other relief and alleges breach of fiduciary duty, breach of contract and other causes of action arising out of shares of our common stock issued by the Company to our senior executives pursuant to restricted stock unit awards granted in December 2008 and modified in July 2011. We believe the claims have no merit and we intend to defend the action vigorously.</w:t>
      </w:r>
    </w:p>
    <w:p>
      <w:pPr>
        <w:spacing w:after="0" w:line="173"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The Company evaluates, on a quarterly basis, developments in legal proceedings that could require a liability to be accrued and/or disclosed. Based on its current knowledge, and after consultation with legal counsel, the Company believes it is not a party to, nor are any of its properties the subject of, any pending legal proceeding that would have a material adverse effect on the Company's Consolidated Financial Statements.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1" w:right="239" w:bottom="1440" w:gutter="0" w:footer="0" w:header="0"/>
        </w:sectPr>
      </w:pPr>
    </w:p>
    <w:bookmarkStart w:id="22" w:name="page23"/>
    <w:bookmarkEnd w:id="22"/>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10—Derivatives</w:t>
      </w:r>
    </w:p>
    <w:p>
      <w:pPr>
        <w:spacing w:after="0" w:line="229"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Company's use of derivative financial instruments is primarily limited to the utilization of interest rate swaps, interest rate caps and foreign exchange contracts. The principal objective of such financial instruments is to minimize the risks and/or costs associated with the Company's operating and financial structure and to manage its exposure to interest rates and foreign exchange rates. Derivatives not designated as hedges are not speculative and are used to manage the Company's exposure to interest rate movements, foreign exchange rate movements, and other identified risks, but may not meet the strict hedge accounting requirements.</w:t>
      </w:r>
    </w:p>
    <w:p>
      <w:pPr>
        <w:spacing w:after="0" w:line="148"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 table below presents the fair value of the Company's derivative financial instruments as well as their classification on the Consolidated Balance Sheets as of March 31, 2014 and December 31, 2013 ($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500" w:type="dxa"/>
            <w:vAlign w:val="bottom"/>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Derivative Assets as of</w:t>
            </w: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5"/>
          </w:tcPr>
          <w:p>
            <w:pPr>
              <w:ind w:left="140"/>
              <w:spacing w:after="0"/>
              <w:rPr>
                <w:sz w:val="20"/>
                <w:szCs w:val="20"/>
                <w:color w:val="auto"/>
              </w:rPr>
            </w:pPr>
            <w:r>
              <w:rPr>
                <w:rFonts w:ascii="Arial" w:cs="Arial" w:eastAsia="Arial" w:hAnsi="Arial"/>
                <w:sz w:val="14"/>
                <w:szCs w:val="14"/>
                <w:b w:val="1"/>
                <w:bCs w:val="1"/>
                <w:color w:val="auto"/>
              </w:rPr>
              <w:t>Derivative Liabilities as of</w:t>
            </w: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1500" w:type="dxa"/>
            <w:vAlign w:val="bottom"/>
          </w:tcPr>
          <w:p>
            <w:pPr>
              <w:spacing w:after="0"/>
              <w:rPr>
                <w:sz w:val="22"/>
                <w:szCs w:val="22"/>
                <w:color w:val="auto"/>
              </w:rPr>
            </w:pPr>
          </w:p>
        </w:tc>
        <w:tc>
          <w:tcPr>
            <w:tcW w:w="1740" w:type="dxa"/>
            <w:vAlign w:val="bottom"/>
            <w:tcBorders>
              <w:bottom w:val="single" w:sz="8" w:color="auto"/>
            </w:tcBorders>
            <w:gridSpan w:val="3"/>
          </w:tcPr>
          <w:p>
            <w:pPr>
              <w:ind w:left="740"/>
              <w:spacing w:after="0"/>
              <w:rPr>
                <w:sz w:val="20"/>
                <w:szCs w:val="20"/>
                <w:color w:val="auto"/>
              </w:rPr>
            </w:pPr>
            <w:r>
              <w:rPr>
                <w:rFonts w:ascii="Arial" w:cs="Arial" w:eastAsia="Arial" w:hAnsi="Arial"/>
                <w:sz w:val="14"/>
                <w:szCs w:val="14"/>
                <w:b w:val="1"/>
                <w:bCs w:val="1"/>
                <w:color w:val="auto"/>
                <w:w w:val="98"/>
              </w:rPr>
              <w:t>March 31, 2014</w:t>
            </w:r>
          </w:p>
        </w:tc>
        <w:tc>
          <w:tcPr>
            <w:tcW w:w="7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400" w:type="dxa"/>
            <w:vAlign w:val="bottom"/>
            <w:tcBorders>
              <w:bottom w:val="single" w:sz="8" w:color="auto"/>
            </w:tcBorders>
            <w:gridSpan w:val="4"/>
          </w:tcPr>
          <w:p>
            <w:pPr>
              <w:jc w:val="right"/>
              <w:ind w:right="536"/>
              <w:spacing w:after="0"/>
              <w:rPr>
                <w:sz w:val="20"/>
                <w:szCs w:val="20"/>
                <w:color w:val="auto"/>
              </w:rPr>
            </w:pPr>
            <w:r>
              <w:rPr>
                <w:rFonts w:ascii="Arial" w:cs="Arial" w:eastAsia="Arial" w:hAnsi="Arial"/>
                <w:sz w:val="14"/>
                <w:szCs w:val="14"/>
                <w:b w:val="1"/>
                <w:bCs w:val="1"/>
                <w:color w:val="auto"/>
              </w:rPr>
              <w:t>December 31, 2013</w:t>
            </w:r>
          </w:p>
        </w:tc>
        <w:tc>
          <w:tcPr>
            <w:tcW w:w="100" w:type="dxa"/>
            <w:vAlign w:val="bottom"/>
          </w:tcPr>
          <w:p>
            <w:pPr>
              <w:spacing w:after="0"/>
              <w:rPr>
                <w:sz w:val="22"/>
                <w:szCs w:val="22"/>
                <w:color w:val="auto"/>
              </w:rPr>
            </w:pPr>
          </w:p>
        </w:tc>
        <w:tc>
          <w:tcPr>
            <w:tcW w:w="1700" w:type="dxa"/>
            <w:vAlign w:val="bottom"/>
            <w:tcBorders>
              <w:bottom w:val="single" w:sz="8" w:color="auto"/>
            </w:tcBorders>
            <w:gridSpan w:val="3"/>
          </w:tcPr>
          <w:p>
            <w:pPr>
              <w:ind w:left="720"/>
              <w:spacing w:after="0"/>
              <w:rPr>
                <w:sz w:val="20"/>
                <w:szCs w:val="20"/>
                <w:color w:val="auto"/>
              </w:rPr>
            </w:pPr>
            <w:r>
              <w:rPr>
                <w:rFonts w:ascii="Arial" w:cs="Arial" w:eastAsia="Arial" w:hAnsi="Arial"/>
                <w:sz w:val="14"/>
                <w:szCs w:val="14"/>
                <w:b w:val="1"/>
                <w:bCs w:val="1"/>
                <w:color w:val="auto"/>
                <w:w w:val="96"/>
              </w:rPr>
              <w:t>March 31, 2014</w:t>
            </w:r>
          </w:p>
        </w:tc>
        <w:tc>
          <w:tcPr>
            <w:tcW w:w="6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380" w:type="dxa"/>
            <w:vAlign w:val="bottom"/>
            <w:tcBorders>
              <w:bottom w:val="single" w:sz="8" w:color="auto"/>
            </w:tcBorders>
            <w:gridSpan w:val="4"/>
          </w:tcPr>
          <w:p>
            <w:pPr>
              <w:jc w:val="right"/>
              <w:ind w:right="516"/>
              <w:spacing w:after="0"/>
              <w:rPr>
                <w:sz w:val="20"/>
                <w:szCs w:val="20"/>
                <w:color w:val="auto"/>
              </w:rPr>
            </w:pPr>
            <w:r>
              <w:rPr>
                <w:rFonts w:ascii="Arial" w:cs="Arial" w:eastAsia="Arial" w:hAnsi="Arial"/>
                <w:sz w:val="14"/>
                <w:szCs w:val="14"/>
                <w:b w:val="1"/>
                <w:bCs w:val="1"/>
                <w:color w:val="auto"/>
              </w:rPr>
              <w:t>December 31, 2013</w:t>
            </w:r>
          </w:p>
        </w:tc>
        <w:tc>
          <w:tcPr>
            <w:tcW w:w="0" w:type="dxa"/>
            <w:vAlign w:val="bottom"/>
          </w:tcPr>
          <w:p>
            <w:pPr>
              <w:spacing w:after="0"/>
              <w:rPr>
                <w:sz w:val="1"/>
                <w:szCs w:val="1"/>
                <w:color w:val="auto"/>
              </w:rPr>
            </w:pPr>
          </w:p>
        </w:tc>
      </w:tr>
      <w:tr>
        <w:trPr>
          <w:trHeight w:val="152"/>
        </w:trPr>
        <w:tc>
          <w:tcPr>
            <w:tcW w:w="15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Derivative</w:t>
            </w:r>
          </w:p>
        </w:tc>
        <w:tc>
          <w:tcPr>
            <w:tcW w:w="150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89"/>
              </w:rPr>
              <w:t>Balance Sheet</w:t>
            </w:r>
          </w:p>
        </w:tc>
        <w:tc>
          <w:tcPr>
            <w:tcW w:w="240" w:type="dxa"/>
            <w:vAlign w:val="bottom"/>
          </w:tcPr>
          <w:p>
            <w:pPr>
              <w:spacing w:after="0"/>
              <w:rPr>
                <w:sz w:val="13"/>
                <w:szCs w:val="13"/>
                <w:color w:val="auto"/>
              </w:rPr>
            </w:pPr>
          </w:p>
        </w:tc>
        <w:tc>
          <w:tcPr>
            <w:tcW w:w="700" w:type="dxa"/>
            <w:vAlign w:val="bottom"/>
          </w:tcPr>
          <w:p>
            <w:pPr>
              <w:jc w:val="right"/>
              <w:ind w:right="258"/>
              <w:spacing w:after="0" w:line="153" w:lineRule="exact"/>
              <w:rPr>
                <w:sz w:val="20"/>
                <w:szCs w:val="20"/>
                <w:color w:val="auto"/>
              </w:rPr>
            </w:pPr>
            <w:r>
              <w:rPr>
                <w:rFonts w:ascii="Arial" w:cs="Arial" w:eastAsia="Arial" w:hAnsi="Arial"/>
                <w:sz w:val="14"/>
                <w:szCs w:val="14"/>
                <w:b w:val="1"/>
                <w:bCs w:val="1"/>
                <w:color w:val="auto"/>
              </w:rPr>
              <w:t>Fair</w:t>
            </w:r>
          </w:p>
        </w:tc>
        <w:tc>
          <w:tcPr>
            <w:tcW w:w="120" w:type="dxa"/>
            <w:vAlign w:val="bottom"/>
          </w:tcPr>
          <w:p>
            <w:pPr>
              <w:spacing w:after="0"/>
              <w:rPr>
                <w:sz w:val="13"/>
                <w:szCs w:val="13"/>
                <w:color w:val="auto"/>
              </w:rPr>
            </w:pPr>
          </w:p>
        </w:tc>
        <w:tc>
          <w:tcPr>
            <w:tcW w:w="148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89"/>
              </w:rPr>
              <w:t>Balance Sheet</w:t>
            </w:r>
          </w:p>
        </w:tc>
        <w:tc>
          <w:tcPr>
            <w:tcW w:w="200" w:type="dxa"/>
            <w:vAlign w:val="bottom"/>
          </w:tcPr>
          <w:p>
            <w:pPr>
              <w:spacing w:after="0"/>
              <w:rPr>
                <w:sz w:val="13"/>
                <w:szCs w:val="13"/>
                <w:color w:val="auto"/>
              </w:rPr>
            </w:pPr>
          </w:p>
        </w:tc>
        <w:tc>
          <w:tcPr>
            <w:tcW w:w="720" w:type="dxa"/>
            <w:vAlign w:val="bottom"/>
          </w:tcPr>
          <w:p>
            <w:pPr>
              <w:jc w:val="right"/>
              <w:ind w:right="256"/>
              <w:spacing w:after="0" w:line="153" w:lineRule="exact"/>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3"/>
                <w:szCs w:val="13"/>
                <w:color w:val="auto"/>
              </w:rPr>
            </w:pPr>
          </w:p>
        </w:tc>
        <w:tc>
          <w:tcPr>
            <w:tcW w:w="148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87"/>
              </w:rPr>
              <w:t>Balance Sheet</w:t>
            </w:r>
          </w:p>
        </w:tc>
        <w:tc>
          <w:tcPr>
            <w:tcW w:w="220" w:type="dxa"/>
            <w:vAlign w:val="bottom"/>
          </w:tcPr>
          <w:p>
            <w:pPr>
              <w:spacing w:after="0"/>
              <w:rPr>
                <w:sz w:val="13"/>
                <w:szCs w:val="13"/>
                <w:color w:val="auto"/>
              </w:rPr>
            </w:pPr>
          </w:p>
        </w:tc>
        <w:tc>
          <w:tcPr>
            <w:tcW w:w="680" w:type="dxa"/>
            <w:vAlign w:val="bottom"/>
          </w:tcPr>
          <w:p>
            <w:pPr>
              <w:jc w:val="right"/>
              <w:ind w:right="236"/>
              <w:spacing w:after="0" w:line="153" w:lineRule="exact"/>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3"/>
                <w:szCs w:val="13"/>
                <w:color w:val="auto"/>
              </w:rPr>
            </w:pPr>
          </w:p>
        </w:tc>
        <w:tc>
          <w:tcPr>
            <w:tcW w:w="148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89"/>
              </w:rPr>
              <w:t>Balance Sheet</w:t>
            </w:r>
          </w:p>
        </w:tc>
        <w:tc>
          <w:tcPr>
            <w:tcW w:w="200" w:type="dxa"/>
            <w:vAlign w:val="bottom"/>
          </w:tcPr>
          <w:p>
            <w:pPr>
              <w:spacing w:after="0"/>
              <w:rPr>
                <w:sz w:val="13"/>
                <w:szCs w:val="13"/>
                <w:color w:val="auto"/>
              </w:rPr>
            </w:pPr>
          </w:p>
        </w:tc>
        <w:tc>
          <w:tcPr>
            <w:tcW w:w="700" w:type="dxa"/>
            <w:vAlign w:val="bottom"/>
          </w:tcPr>
          <w:p>
            <w:pPr>
              <w:jc w:val="right"/>
              <w:ind w:right="236"/>
              <w:spacing w:after="0" w:line="153"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92"/>
        </w:trPr>
        <w:tc>
          <w:tcPr>
            <w:tcW w:w="1500" w:type="dxa"/>
            <w:vAlign w:val="bottom"/>
            <w:vMerge w:val="continue"/>
          </w:tcPr>
          <w:p>
            <w:pPr>
              <w:spacing w:after="0"/>
              <w:rPr>
                <w:sz w:val="16"/>
                <w:szCs w:val="16"/>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Location</w:t>
            </w:r>
          </w:p>
        </w:tc>
        <w:tc>
          <w:tcPr>
            <w:tcW w:w="240" w:type="dxa"/>
            <w:vAlign w:val="bottom"/>
          </w:tcPr>
          <w:p>
            <w:pPr>
              <w:spacing w:after="0"/>
              <w:rPr>
                <w:sz w:val="16"/>
                <w:szCs w:val="16"/>
                <w:color w:val="auto"/>
              </w:rPr>
            </w:pPr>
          </w:p>
        </w:tc>
        <w:tc>
          <w:tcPr>
            <w:tcW w:w="700" w:type="dxa"/>
            <w:vAlign w:val="bottom"/>
          </w:tcPr>
          <w:p>
            <w:pPr>
              <w:jc w:val="right"/>
              <w:ind w:right="218"/>
              <w:spacing w:after="0"/>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6"/>
                <w:szCs w:val="16"/>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Location</w:t>
            </w:r>
          </w:p>
        </w:tc>
        <w:tc>
          <w:tcPr>
            <w:tcW w:w="200" w:type="dxa"/>
            <w:vAlign w:val="bottom"/>
          </w:tcPr>
          <w:p>
            <w:pPr>
              <w:spacing w:after="0"/>
              <w:rPr>
                <w:sz w:val="16"/>
                <w:szCs w:val="16"/>
                <w:color w:val="auto"/>
              </w:rPr>
            </w:pPr>
          </w:p>
        </w:tc>
        <w:tc>
          <w:tcPr>
            <w:tcW w:w="720" w:type="dxa"/>
            <w:vAlign w:val="bottom"/>
          </w:tcPr>
          <w:p>
            <w:pPr>
              <w:jc w:val="right"/>
              <w:ind w:right="196"/>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6"/>
                <w:szCs w:val="16"/>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Location</w:t>
            </w:r>
          </w:p>
        </w:tc>
        <w:tc>
          <w:tcPr>
            <w:tcW w:w="220" w:type="dxa"/>
            <w:vAlign w:val="bottom"/>
          </w:tcPr>
          <w:p>
            <w:pPr>
              <w:spacing w:after="0"/>
              <w:rPr>
                <w:sz w:val="16"/>
                <w:szCs w:val="16"/>
                <w:color w:val="auto"/>
              </w:rPr>
            </w:pPr>
          </w:p>
        </w:tc>
        <w:tc>
          <w:tcPr>
            <w:tcW w:w="680" w:type="dxa"/>
            <w:vAlign w:val="bottom"/>
          </w:tcPr>
          <w:p>
            <w:pPr>
              <w:jc w:val="right"/>
              <w:ind w:right="196"/>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6"/>
                <w:szCs w:val="16"/>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Location</w:t>
            </w:r>
          </w:p>
        </w:tc>
        <w:tc>
          <w:tcPr>
            <w:tcW w:w="200" w:type="dxa"/>
            <w:vAlign w:val="bottom"/>
          </w:tcPr>
          <w:p>
            <w:pPr>
              <w:spacing w:after="0"/>
              <w:rPr>
                <w:sz w:val="16"/>
                <w:szCs w:val="16"/>
                <w:color w:val="auto"/>
              </w:rPr>
            </w:pPr>
          </w:p>
        </w:tc>
        <w:tc>
          <w:tcPr>
            <w:tcW w:w="700" w:type="dxa"/>
            <w:vAlign w:val="bottom"/>
          </w:tcPr>
          <w:p>
            <w:pPr>
              <w:jc w:val="right"/>
              <w:ind w:right="196"/>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15"/>
        </w:trPr>
        <w:tc>
          <w:tcPr>
            <w:tcW w:w="15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Foreign exchange</w:t>
            </w:r>
          </w:p>
        </w:tc>
        <w:tc>
          <w:tcPr>
            <w:tcW w:w="13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contracts</w:t>
            </w:r>
          </w:p>
        </w:tc>
        <w:tc>
          <w:tcPr>
            <w:tcW w:w="1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1,467</w:t>
            </w:r>
          </w:p>
        </w:tc>
        <w:tc>
          <w:tcPr>
            <w:tcW w:w="1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1,418</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1,623</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1,653</w:t>
            </w:r>
          </w:p>
        </w:tc>
        <w:tc>
          <w:tcPr>
            <w:tcW w:w="0" w:type="dxa"/>
            <w:vAlign w:val="bottom"/>
          </w:tcPr>
          <w:p>
            <w:pPr>
              <w:spacing w:after="0"/>
              <w:rPr>
                <w:sz w:val="1"/>
                <w:szCs w:val="1"/>
                <w:color w:val="auto"/>
              </w:rPr>
            </w:pPr>
          </w:p>
        </w:tc>
      </w:tr>
      <w:tr>
        <w:trPr>
          <w:trHeight w:val="243"/>
        </w:trPr>
        <w:tc>
          <w:tcPr>
            <w:tcW w:w="1500" w:type="dxa"/>
            <w:vAlign w:val="bottom"/>
          </w:tcPr>
          <w:p>
            <w:pPr>
              <w:ind w:left="40"/>
              <w:spacing w:after="0"/>
              <w:rPr>
                <w:sz w:val="20"/>
                <w:szCs w:val="20"/>
                <w:color w:val="auto"/>
              </w:rPr>
            </w:pPr>
            <w:r>
              <w:rPr>
                <w:rFonts w:ascii="Arial" w:cs="Arial" w:eastAsia="Arial" w:hAnsi="Arial"/>
                <w:sz w:val="18"/>
                <w:szCs w:val="18"/>
                <w:color w:val="auto"/>
              </w:rPr>
              <w:t>Interest rate swap</w:t>
            </w:r>
          </w:p>
        </w:tc>
        <w:tc>
          <w:tcPr>
            <w:tcW w:w="1500" w:type="dxa"/>
            <w:vAlign w:val="bottom"/>
            <w:gridSpan w:val="2"/>
          </w:tcPr>
          <w:p>
            <w:pPr>
              <w:ind w:left="20"/>
              <w:spacing w:after="0"/>
              <w:rPr>
                <w:sz w:val="20"/>
                <w:szCs w:val="20"/>
                <w:color w:val="auto"/>
              </w:rPr>
            </w:pPr>
            <w:r>
              <w:rPr>
                <w:rFonts w:ascii="Arial" w:cs="Arial" w:eastAsia="Arial" w:hAnsi="Arial"/>
                <w:sz w:val="18"/>
                <w:szCs w:val="18"/>
                <w:color w:val="auto"/>
              </w:rPr>
              <w:t>Other Assets</w:t>
            </w:r>
          </w:p>
        </w:tc>
        <w:tc>
          <w:tcPr>
            <w:tcW w:w="240" w:type="dxa"/>
            <w:vAlign w:val="bottom"/>
          </w:tcPr>
          <w:p>
            <w:pPr>
              <w:spacing w:after="0"/>
              <w:rPr>
                <w:sz w:val="21"/>
                <w:szCs w:val="21"/>
                <w:color w:val="auto"/>
              </w:rPr>
            </w:pPr>
          </w:p>
        </w:tc>
        <w:tc>
          <w:tcPr>
            <w:tcW w:w="700" w:type="dxa"/>
            <w:vAlign w:val="bottom"/>
          </w:tcPr>
          <w:p>
            <w:pPr>
              <w:jc w:val="right"/>
              <w:ind w:right="38"/>
              <w:spacing w:after="0"/>
              <w:rPr>
                <w:sz w:val="20"/>
                <w:szCs w:val="20"/>
                <w:color w:val="auto"/>
              </w:rPr>
            </w:pPr>
            <w:r>
              <w:rPr>
                <w:rFonts w:ascii="Arial" w:cs="Arial" w:eastAsia="Arial" w:hAnsi="Arial"/>
                <w:sz w:val="18"/>
                <w:szCs w:val="18"/>
                <w:color w:val="auto"/>
              </w:rPr>
              <w:t>488</w:t>
            </w:r>
          </w:p>
        </w:tc>
        <w:tc>
          <w:tcPr>
            <w:tcW w:w="120" w:type="dxa"/>
            <w:vAlign w:val="bottom"/>
          </w:tcPr>
          <w:p>
            <w:pPr>
              <w:spacing w:after="0"/>
              <w:rPr>
                <w:sz w:val="21"/>
                <w:szCs w:val="21"/>
                <w:color w:val="auto"/>
              </w:rPr>
            </w:pPr>
          </w:p>
        </w:tc>
        <w:tc>
          <w:tcPr>
            <w:tcW w:w="1480" w:type="dxa"/>
            <w:vAlign w:val="bottom"/>
            <w:gridSpan w:val="2"/>
          </w:tcPr>
          <w:p>
            <w:pPr>
              <w:ind w:left="20"/>
              <w:spacing w:after="0"/>
              <w:rPr>
                <w:sz w:val="20"/>
                <w:szCs w:val="20"/>
                <w:color w:val="auto"/>
              </w:rPr>
            </w:pPr>
            <w:r>
              <w:rPr>
                <w:rFonts w:ascii="Arial" w:cs="Arial" w:eastAsia="Arial" w:hAnsi="Arial"/>
                <w:sz w:val="18"/>
                <w:szCs w:val="18"/>
                <w:color w:val="auto"/>
              </w:rPr>
              <w:t>Other Assets</w:t>
            </w:r>
          </w:p>
        </w:tc>
        <w:tc>
          <w:tcPr>
            <w:tcW w:w="200" w:type="dxa"/>
            <w:vAlign w:val="bottom"/>
          </w:tcPr>
          <w:p>
            <w:pPr>
              <w:spacing w:after="0"/>
              <w:rPr>
                <w:sz w:val="21"/>
                <w:szCs w:val="21"/>
                <w:color w:val="auto"/>
              </w:rPr>
            </w:pPr>
          </w:p>
        </w:tc>
        <w:tc>
          <w:tcPr>
            <w:tcW w:w="720" w:type="dxa"/>
            <w:vAlign w:val="bottom"/>
          </w:tcPr>
          <w:p>
            <w:pPr>
              <w:jc w:val="right"/>
              <w:ind w:right="36"/>
              <w:spacing w:after="0"/>
              <w:rPr>
                <w:sz w:val="20"/>
                <w:szCs w:val="20"/>
                <w:color w:val="auto"/>
              </w:rPr>
            </w:pPr>
            <w:r>
              <w:rPr>
                <w:rFonts w:ascii="Arial" w:cs="Arial" w:eastAsia="Arial" w:hAnsi="Arial"/>
                <w:sz w:val="18"/>
                <w:szCs w:val="18"/>
                <w:color w:val="auto"/>
              </w:rPr>
              <w:t>650</w:t>
            </w:r>
          </w:p>
        </w:tc>
        <w:tc>
          <w:tcPr>
            <w:tcW w:w="100" w:type="dxa"/>
            <w:vAlign w:val="bottom"/>
          </w:tcPr>
          <w:p>
            <w:pPr>
              <w:spacing w:after="0"/>
              <w:rPr>
                <w:sz w:val="21"/>
                <w:szCs w:val="21"/>
                <w:color w:val="auto"/>
              </w:rPr>
            </w:pPr>
          </w:p>
        </w:tc>
        <w:tc>
          <w:tcPr>
            <w:tcW w:w="1480" w:type="dxa"/>
            <w:vAlign w:val="bottom"/>
            <w:gridSpan w:val="2"/>
          </w:tcPr>
          <w:p>
            <w:pPr>
              <w:ind w:left="20"/>
              <w:spacing w:after="0"/>
              <w:rPr>
                <w:sz w:val="20"/>
                <w:szCs w:val="20"/>
                <w:color w:val="auto"/>
              </w:rPr>
            </w:pPr>
            <w:r>
              <w:rPr>
                <w:rFonts w:ascii="Arial" w:cs="Arial" w:eastAsia="Arial" w:hAnsi="Arial"/>
                <w:sz w:val="18"/>
                <w:szCs w:val="18"/>
                <w:color w:val="auto"/>
              </w:rPr>
              <w:t>N/A</w:t>
            </w:r>
          </w:p>
        </w:tc>
        <w:tc>
          <w:tcPr>
            <w:tcW w:w="220" w:type="dxa"/>
            <w:vAlign w:val="bottom"/>
          </w:tcPr>
          <w:p>
            <w:pPr>
              <w:spacing w:after="0"/>
              <w:rPr>
                <w:sz w:val="21"/>
                <w:szCs w:val="21"/>
                <w:color w:val="auto"/>
              </w:rPr>
            </w:pPr>
          </w:p>
        </w:tc>
        <w:tc>
          <w:tcPr>
            <w:tcW w:w="68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80" w:type="dxa"/>
            <w:vAlign w:val="bottom"/>
            <w:gridSpan w:val="2"/>
          </w:tcPr>
          <w:p>
            <w:pPr>
              <w:ind w:left="40"/>
              <w:spacing w:after="0"/>
              <w:rPr>
                <w:sz w:val="20"/>
                <w:szCs w:val="20"/>
                <w:color w:val="auto"/>
              </w:rPr>
            </w:pPr>
            <w:r>
              <w:rPr>
                <w:rFonts w:ascii="Arial" w:cs="Arial" w:eastAsia="Arial" w:hAnsi="Arial"/>
                <w:sz w:val="18"/>
                <w:szCs w:val="18"/>
                <w:color w:val="auto"/>
              </w:rPr>
              <w:t>N/A</w:t>
            </w:r>
          </w:p>
        </w:tc>
        <w:tc>
          <w:tcPr>
            <w:tcW w:w="200" w:type="dxa"/>
            <w:vAlign w:val="bottom"/>
          </w:tcPr>
          <w:p>
            <w:pPr>
              <w:spacing w:after="0"/>
              <w:rPr>
                <w:sz w:val="21"/>
                <w:szCs w:val="21"/>
                <w:color w:val="auto"/>
              </w:rPr>
            </w:pPr>
          </w:p>
        </w:tc>
        <w:tc>
          <w:tcPr>
            <w:tcW w:w="70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5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cap</w:t>
            </w:r>
          </w:p>
        </w:tc>
        <w:tc>
          <w:tcPr>
            <w:tcW w:w="1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2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8,144</w:t>
            </w: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9,107</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N/A</w:t>
            </w: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N/A</w:t>
            </w: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1500" w:type="dxa"/>
            <w:vAlign w:val="bottom"/>
          </w:tcPr>
          <w:p>
            <w:pPr>
              <w:ind w:left="40"/>
              <w:spacing w:after="0"/>
              <w:rPr>
                <w:sz w:val="20"/>
                <w:szCs w:val="20"/>
                <w:color w:val="auto"/>
              </w:rPr>
            </w:pPr>
            <w:r>
              <w:rPr>
                <w:rFonts w:ascii="Arial" w:cs="Arial" w:eastAsia="Arial" w:hAnsi="Arial"/>
                <w:sz w:val="18"/>
                <w:szCs w:val="18"/>
                <w:color w:val="auto"/>
              </w:rPr>
              <w:t>Total</w:t>
            </w:r>
          </w:p>
        </w:tc>
        <w:tc>
          <w:tcPr>
            <w:tcW w:w="1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10,099</w:t>
            </w:r>
          </w:p>
        </w:tc>
        <w:tc>
          <w:tcPr>
            <w:tcW w:w="1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11,175</w:t>
            </w: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1,623</w:t>
            </w: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1,653</w:t>
            </w: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tables below present the effect of the Company's derivative financial instruments on the Consolidated Statements of Operations and the</w:t>
      </w:r>
    </w:p>
    <w:p>
      <w:pPr>
        <w:spacing w:after="0" w:line="35" w:lineRule="exact"/>
        <w:rPr>
          <w:sz w:val="20"/>
          <w:szCs w:val="20"/>
          <w:color w:val="auto"/>
        </w:rPr>
      </w:pPr>
    </w:p>
    <w:p>
      <w:pPr>
        <w:ind w:left="80"/>
        <w:spacing w:after="0"/>
        <w:rPr>
          <w:sz w:val="20"/>
          <w:szCs w:val="20"/>
          <w:color w:val="auto"/>
        </w:rPr>
      </w:pPr>
      <w:r>
        <w:rPr>
          <w:rFonts w:ascii="Arial" w:cs="Arial" w:eastAsia="Arial" w:hAnsi="Arial"/>
          <w:sz w:val="18"/>
          <w:szCs w:val="18"/>
          <w:color w:val="auto"/>
        </w:rPr>
        <w:t>Consolidated Statements of Comprehensive Income (Loss) for the three months ended March 31, 2014 and 2013 ($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Amount of Gain (Loss)</w:t>
            </w:r>
          </w:p>
        </w:tc>
        <w:tc>
          <w:tcPr>
            <w:tcW w:w="160" w:type="dxa"/>
            <w:vAlign w:val="bottom"/>
          </w:tcPr>
          <w:p>
            <w:pPr>
              <w:spacing w:after="0"/>
              <w:rPr>
                <w:sz w:val="14"/>
                <w:szCs w:val="14"/>
                <w:color w:val="auto"/>
              </w:rPr>
            </w:pPr>
          </w:p>
        </w:tc>
        <w:tc>
          <w:tcPr>
            <w:tcW w:w="17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Amount of Gain (Loss)</w:t>
            </w:r>
          </w:p>
        </w:tc>
        <w:tc>
          <w:tcPr>
            <w:tcW w:w="14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Amount of Gain (Loss)</w:t>
            </w: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Recognized in</w:t>
            </w:r>
          </w:p>
        </w:tc>
        <w:tc>
          <w:tcPr>
            <w:tcW w:w="160" w:type="dxa"/>
            <w:vAlign w:val="bottom"/>
          </w:tcPr>
          <w:p>
            <w:pPr>
              <w:spacing w:after="0"/>
              <w:rPr>
                <w:sz w:val="12"/>
                <w:szCs w:val="12"/>
                <w:color w:val="auto"/>
              </w:rPr>
            </w:pPr>
          </w:p>
        </w:tc>
        <w:tc>
          <w:tcPr>
            <w:tcW w:w="17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Reclassified from</w:t>
            </w:r>
          </w:p>
        </w:tc>
        <w:tc>
          <w:tcPr>
            <w:tcW w:w="14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Location of Gain (Loss)</w:t>
            </w:r>
          </w:p>
        </w:tc>
        <w:tc>
          <w:tcPr>
            <w:tcW w:w="120" w:type="dxa"/>
            <w:vAlign w:val="bottom"/>
          </w:tcPr>
          <w:p>
            <w:pPr>
              <w:spacing w:after="0"/>
              <w:rPr>
                <w:sz w:val="12"/>
                <w:szCs w:val="12"/>
                <w:color w:val="auto"/>
              </w:rPr>
            </w:pPr>
          </w:p>
        </w:tc>
        <w:tc>
          <w:tcPr>
            <w:tcW w:w="17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Accumulated Other</w:t>
            </w:r>
          </w:p>
        </w:tc>
        <w:tc>
          <w:tcPr>
            <w:tcW w:w="160" w:type="dxa"/>
            <w:vAlign w:val="bottom"/>
          </w:tcPr>
          <w:p>
            <w:pPr>
              <w:spacing w:after="0"/>
              <w:rPr>
                <w:sz w:val="12"/>
                <w:szCs w:val="12"/>
                <w:color w:val="auto"/>
              </w:rPr>
            </w:pPr>
          </w:p>
        </w:tc>
        <w:tc>
          <w:tcPr>
            <w:tcW w:w="17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Accumulated Other</w:t>
            </w: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Recognized in</w:t>
            </w:r>
          </w:p>
        </w:tc>
        <w:tc>
          <w:tcPr>
            <w:tcW w:w="0" w:type="dxa"/>
            <w:vAlign w:val="bottom"/>
          </w:tcPr>
          <w:p>
            <w:pPr>
              <w:spacing w:after="0"/>
              <w:rPr>
                <w:sz w:val="1"/>
                <w:szCs w:val="1"/>
                <w:color w:val="auto"/>
              </w:rPr>
            </w:pPr>
          </w:p>
        </w:tc>
      </w:tr>
      <w:tr>
        <w:trPr>
          <w:trHeight w:val="149"/>
        </w:trPr>
        <w:tc>
          <w:tcPr>
            <w:tcW w:w="43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Derivatives Designated in Hedging Relationships</w:t>
            </w:r>
          </w:p>
        </w:tc>
        <w:tc>
          <w:tcPr>
            <w:tcW w:w="120" w:type="dxa"/>
            <w:vAlign w:val="bottom"/>
            <w:vMerge w:val="restart"/>
          </w:tcPr>
          <w:p>
            <w:pPr>
              <w:spacing w:after="0"/>
              <w:rPr>
                <w:sz w:val="12"/>
                <w:szCs w:val="12"/>
                <w:color w:val="auto"/>
              </w:rPr>
            </w:pPr>
          </w:p>
        </w:tc>
        <w:tc>
          <w:tcPr>
            <w:tcW w:w="17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Comprehensive Income</w:t>
            </w:r>
          </w:p>
        </w:tc>
        <w:tc>
          <w:tcPr>
            <w:tcW w:w="192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w w:val="99"/>
              </w:rPr>
              <w:t>Comprehensive Income into</w:t>
            </w: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Earnings (Ineffective</w:t>
            </w:r>
          </w:p>
        </w:tc>
        <w:tc>
          <w:tcPr>
            <w:tcW w:w="0" w:type="dxa"/>
            <w:vAlign w:val="bottom"/>
          </w:tcPr>
          <w:p>
            <w:pPr>
              <w:spacing w:after="0"/>
              <w:rPr>
                <w:sz w:val="1"/>
                <w:szCs w:val="1"/>
                <w:color w:val="auto"/>
              </w:rPr>
            </w:pPr>
          </w:p>
        </w:tc>
      </w:tr>
      <w:tr>
        <w:trPr>
          <w:trHeight w:val="192"/>
        </w:trPr>
        <w:tc>
          <w:tcPr>
            <w:tcW w:w="43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w w:val="98"/>
              </w:rPr>
              <w:t>Recognized in Income</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94"/>
              </w:rPr>
              <w:t>(Effective Portion)</w:t>
            </w:r>
          </w:p>
        </w:tc>
        <w:tc>
          <w:tcPr>
            <w:tcW w:w="12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5"/>
              </w:rPr>
              <w:t>Earnings (Effective Portion)</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Portion)</w:t>
            </w:r>
          </w:p>
        </w:tc>
        <w:tc>
          <w:tcPr>
            <w:tcW w:w="0" w:type="dxa"/>
            <w:vAlign w:val="bottom"/>
          </w:tcPr>
          <w:p>
            <w:pPr>
              <w:spacing w:after="0"/>
              <w:rPr>
                <w:sz w:val="1"/>
                <w:szCs w:val="1"/>
                <w:color w:val="auto"/>
              </w:rPr>
            </w:pPr>
          </w:p>
        </w:tc>
      </w:tr>
      <w:tr>
        <w:trPr>
          <w:trHeight w:val="250"/>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For the three months ended March 31, 2014</w:t>
            </w: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80" w:type="dxa"/>
            <w:vAlign w:val="bottom"/>
            <w:gridSpan w:val="2"/>
          </w:tcPr>
          <w:p>
            <w:pPr>
              <w:ind w:left="40"/>
              <w:spacing w:after="0"/>
              <w:rPr>
                <w:sz w:val="20"/>
                <w:szCs w:val="20"/>
                <w:color w:val="auto"/>
              </w:rPr>
            </w:pPr>
            <w:r>
              <w:rPr>
                <w:rFonts w:ascii="Arial" w:cs="Arial" w:eastAsia="Arial" w:hAnsi="Arial"/>
                <w:sz w:val="18"/>
                <w:szCs w:val="18"/>
                <w:color w:val="auto"/>
              </w:rPr>
              <w:t>Interest rate cap</w:t>
            </w:r>
          </w:p>
        </w:tc>
        <w:tc>
          <w:tcPr>
            <w:tcW w:w="1720" w:type="dxa"/>
            <w:vAlign w:val="bottom"/>
            <w:gridSpan w:val="2"/>
          </w:tcPr>
          <w:p>
            <w:pPr>
              <w:ind w:left="20"/>
              <w:spacing w:after="0"/>
              <w:rPr>
                <w:sz w:val="20"/>
                <w:szCs w:val="20"/>
                <w:color w:val="auto"/>
              </w:rPr>
            </w:pPr>
            <w:r>
              <w:rPr>
                <w:rFonts w:ascii="Arial" w:cs="Arial" w:eastAsia="Arial" w:hAnsi="Arial"/>
                <w:sz w:val="18"/>
                <w:szCs w:val="18"/>
                <w:color w:val="auto"/>
              </w:rPr>
              <w:t>Interest Expense</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(962)</w:t>
            </w:r>
          </w:p>
        </w:tc>
        <w:tc>
          <w:tcPr>
            <w:tcW w:w="120" w:type="dxa"/>
            <w:vAlign w:val="bottom"/>
          </w:tcPr>
          <w:p>
            <w:pPr>
              <w:spacing w:after="0"/>
              <w:rPr>
                <w:sz w:val="21"/>
                <w:szCs w:val="21"/>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rate swap</w:t>
            </w:r>
          </w:p>
        </w:tc>
        <w:tc>
          <w:tcPr>
            <w:tcW w:w="1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135</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43"/>
        </w:trPr>
        <w:tc>
          <w:tcPr>
            <w:tcW w:w="4480" w:type="dxa"/>
            <w:vAlign w:val="bottom"/>
            <w:gridSpan w:val="2"/>
          </w:tcPr>
          <w:p>
            <w:pPr>
              <w:ind w:left="40"/>
              <w:spacing w:after="0"/>
              <w:rPr>
                <w:sz w:val="20"/>
                <w:szCs w:val="20"/>
                <w:color w:val="auto"/>
              </w:rPr>
            </w:pPr>
            <w:r>
              <w:rPr>
                <w:rFonts w:ascii="Arial" w:cs="Arial" w:eastAsia="Arial" w:hAnsi="Arial"/>
                <w:sz w:val="18"/>
                <w:szCs w:val="18"/>
                <w:color w:val="auto"/>
              </w:rPr>
              <w:t>Foreign exchange contracts</w:t>
            </w:r>
          </w:p>
        </w:tc>
        <w:tc>
          <w:tcPr>
            <w:tcW w:w="1720" w:type="dxa"/>
            <w:vAlign w:val="bottom"/>
            <w:gridSpan w:val="2"/>
          </w:tcPr>
          <w:p>
            <w:pPr>
              <w:ind w:left="20"/>
              <w:spacing w:after="0"/>
              <w:rPr>
                <w:sz w:val="20"/>
                <w:szCs w:val="20"/>
                <w:color w:val="auto"/>
              </w:rPr>
            </w:pPr>
            <w:r>
              <w:rPr>
                <w:rFonts w:ascii="Arial" w:cs="Arial" w:eastAsia="Arial" w:hAnsi="Arial"/>
                <w:sz w:val="18"/>
                <w:szCs w:val="18"/>
                <w:color w:val="auto"/>
              </w:rPr>
              <w:t>Other Expense</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(452)</w:t>
            </w:r>
          </w:p>
        </w:tc>
        <w:tc>
          <w:tcPr>
            <w:tcW w:w="120" w:type="dxa"/>
            <w:vAlign w:val="bottom"/>
          </w:tcPr>
          <w:p>
            <w:pPr>
              <w:spacing w:after="0"/>
              <w:rPr>
                <w:sz w:val="21"/>
                <w:szCs w:val="21"/>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For the three months ended March 31, 2013</w:t>
            </w: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80" w:type="dxa"/>
            <w:vAlign w:val="bottom"/>
            <w:gridSpan w:val="2"/>
          </w:tcPr>
          <w:p>
            <w:pPr>
              <w:ind w:left="40"/>
              <w:spacing w:after="0"/>
              <w:rPr>
                <w:sz w:val="20"/>
                <w:szCs w:val="20"/>
                <w:color w:val="auto"/>
              </w:rPr>
            </w:pPr>
            <w:r>
              <w:rPr>
                <w:rFonts w:ascii="Arial" w:cs="Arial" w:eastAsia="Arial" w:hAnsi="Arial"/>
                <w:sz w:val="18"/>
                <w:szCs w:val="18"/>
                <w:color w:val="auto"/>
              </w:rPr>
              <w:t>Interest rate swap</w:t>
            </w:r>
          </w:p>
        </w:tc>
        <w:tc>
          <w:tcPr>
            <w:tcW w:w="1720" w:type="dxa"/>
            <w:vAlign w:val="bottom"/>
            <w:gridSpan w:val="2"/>
          </w:tcPr>
          <w:p>
            <w:pPr>
              <w:ind w:left="20"/>
              <w:spacing w:after="0"/>
              <w:rPr>
                <w:sz w:val="20"/>
                <w:szCs w:val="20"/>
                <w:color w:val="auto"/>
              </w:rPr>
            </w:pPr>
            <w:r>
              <w:rPr>
                <w:rFonts w:ascii="Arial" w:cs="Arial" w:eastAsia="Arial" w:hAnsi="Arial"/>
                <w:sz w:val="18"/>
                <w:szCs w:val="18"/>
                <w:color w:val="auto"/>
              </w:rPr>
              <w:t>Interest Expense</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20"/>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1"/>
                <w:szCs w:val="21"/>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18"/>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firstLine="405"/>
        <w:spacing w:after="0" w:line="281" w:lineRule="auto"/>
        <w:rPr>
          <w:sz w:val="20"/>
          <w:szCs w:val="20"/>
          <w:color w:val="auto"/>
        </w:rPr>
      </w:pPr>
      <w:r>
        <w:rPr>
          <w:rFonts w:ascii="Arial" w:cs="Arial" w:eastAsia="Arial" w:hAnsi="Arial"/>
          <w:sz w:val="17"/>
          <w:szCs w:val="17"/>
          <w:b w:val="1"/>
          <w:bCs w:val="1"/>
          <w:color w:val="auto"/>
        </w:rPr>
        <w:t>Foreign exchange contracts</w:t>
      </w:r>
      <w:r>
        <w:rPr>
          <w:rFonts w:ascii="Arial" w:cs="Arial" w:eastAsia="Arial" w:hAnsi="Arial"/>
          <w:sz w:val="17"/>
          <w:szCs w:val="17"/>
          <w:color w:val="auto"/>
        </w:rPr>
        <w:t>—The Company is exposed to fluctuations in foreign exchange rates on investments it holds in foreign entities.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uses foreign exchange contracts to hedge its exposure to changes in foreign exchange rates on its foreign investments. Foreign exchange contracts involve fixing the U.S. dollar ("USD") to the respective foreign currency exchange rate for delivery of a specified amount of foreign currency on a specified date. The foreign exchange contracts are typically cash settled in USD for their fair value at or close to their settlement date.</w:t>
      </w:r>
    </w:p>
    <w:p>
      <w:pPr>
        <w:spacing w:after="0" w:line="128"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For derivatives designated as net investment hedges, the effective portion of changes in the fair value of the derivatives are reported in Accumulated Other Comprehensive Income as part of the cumulative translation adjustment. The ineffective portion of the change in fair value of the derivatives is recognized directly in earnings. Amounts are reclassified out of Accumulated Other Comprehensive Income into earnings when the hedged net investment is either sold or substantially liquidated. During the three months ended March 31, 2014, the Company entered into a foreign exchange contract to hedge its exposure in a subsidiary whose functional currency is Indian rupee ("INR"). The foreign exchange contract replaced an existing contract which matured in January 2014.</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1" w:right="239" w:bottom="1440" w:gutter="0" w:footer="0" w:header="0"/>
        </w:sectPr>
      </w:pPr>
    </w:p>
    <w:bookmarkStart w:id="23" w:name="page24"/>
    <w:bookmarkEnd w:id="23"/>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10"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As of March 31, 2014, the Company had the following outstanding foreign currency derivatives that were used to hedge its net investments in foreign operations that were designated ($ in thousands):</w:t>
      </w:r>
    </w:p>
    <w:p>
      <w:pPr>
        <w:spacing w:after="0" w:line="27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1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Derivative Type</w:t>
            </w:r>
          </w:p>
        </w:tc>
        <w:tc>
          <w:tcPr>
            <w:tcW w:w="120" w:type="dxa"/>
            <w:vAlign w:val="bottom"/>
            <w:vMerge w:val="restart"/>
          </w:tcPr>
          <w:p>
            <w:pPr>
              <w:spacing w:after="0"/>
              <w:rPr>
                <w:sz w:val="14"/>
                <w:szCs w:val="14"/>
                <w:color w:val="auto"/>
              </w:rPr>
            </w:pPr>
          </w:p>
        </w:tc>
        <w:tc>
          <w:tcPr>
            <w:tcW w:w="400" w:type="dxa"/>
            <w:vAlign w:val="bottom"/>
          </w:tcPr>
          <w:p>
            <w:pPr>
              <w:spacing w:after="0"/>
              <w:rPr>
                <w:sz w:val="14"/>
                <w:szCs w:val="14"/>
                <w:color w:val="auto"/>
              </w:rPr>
            </w:pPr>
          </w:p>
        </w:tc>
        <w:tc>
          <w:tcPr>
            <w:tcW w:w="1400" w:type="dxa"/>
            <w:vAlign w:val="bottom"/>
            <w:gridSpan w:val="2"/>
          </w:tcPr>
          <w:p>
            <w:pPr>
              <w:ind w:left="180"/>
              <w:spacing w:after="0"/>
              <w:rPr>
                <w:sz w:val="20"/>
                <w:szCs w:val="20"/>
                <w:color w:val="auto"/>
              </w:rPr>
            </w:pPr>
            <w:r>
              <w:rPr>
                <w:rFonts w:ascii="Arial" w:cs="Arial" w:eastAsia="Arial" w:hAnsi="Arial"/>
                <w:sz w:val="14"/>
                <w:szCs w:val="14"/>
                <w:b w:val="1"/>
                <w:bCs w:val="1"/>
                <w:color w:val="auto"/>
              </w:rPr>
              <w:t>Notional</w:t>
            </w:r>
          </w:p>
        </w:tc>
        <w:tc>
          <w:tcPr>
            <w:tcW w:w="240" w:type="dxa"/>
            <w:vAlign w:val="bottom"/>
          </w:tcPr>
          <w:p>
            <w:pPr>
              <w:spacing w:after="0"/>
              <w:rPr>
                <w:sz w:val="14"/>
                <w:szCs w:val="14"/>
                <w:color w:val="auto"/>
              </w:rPr>
            </w:pPr>
          </w:p>
        </w:tc>
        <w:tc>
          <w:tcPr>
            <w:tcW w:w="16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Notional</w:t>
            </w:r>
          </w:p>
        </w:tc>
        <w:tc>
          <w:tcPr>
            <w:tcW w:w="1360" w:type="dxa"/>
            <w:vAlign w:val="bottom"/>
            <w:vMerge w:val="restart"/>
          </w:tcPr>
          <w:p>
            <w:pPr>
              <w:ind w:left="400"/>
              <w:spacing w:after="0"/>
              <w:rPr>
                <w:sz w:val="20"/>
                <w:szCs w:val="20"/>
                <w:color w:val="auto"/>
              </w:rPr>
            </w:pPr>
            <w:r>
              <w:rPr>
                <w:rFonts w:ascii="Arial" w:cs="Arial" w:eastAsia="Arial" w:hAnsi="Arial"/>
                <w:sz w:val="14"/>
                <w:szCs w:val="14"/>
                <w:b w:val="1"/>
                <w:bCs w:val="1"/>
                <w:color w:val="auto"/>
              </w:rPr>
              <w:t>Maturity</w:t>
            </w:r>
          </w:p>
        </w:tc>
        <w:tc>
          <w:tcPr>
            <w:tcW w:w="0" w:type="dxa"/>
            <w:vAlign w:val="bottom"/>
          </w:tcPr>
          <w:p>
            <w:pPr>
              <w:spacing w:after="0"/>
              <w:rPr>
                <w:sz w:val="1"/>
                <w:szCs w:val="1"/>
                <w:color w:val="auto"/>
              </w:rPr>
            </w:pPr>
          </w:p>
        </w:tc>
      </w:tr>
      <w:tr>
        <w:trPr>
          <w:trHeight w:val="192"/>
        </w:trPr>
        <w:tc>
          <w:tcPr>
            <w:tcW w:w="61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center"/>
              <w:ind w:right="182"/>
              <w:spacing w:after="0"/>
              <w:rPr>
                <w:sz w:val="20"/>
                <w:szCs w:val="20"/>
                <w:color w:val="auto"/>
              </w:rPr>
            </w:pPr>
            <w:r>
              <w:rPr>
                <w:rFonts w:ascii="Arial" w:cs="Arial" w:eastAsia="Arial" w:hAnsi="Arial"/>
                <w:sz w:val="14"/>
                <w:szCs w:val="14"/>
                <w:b w:val="1"/>
                <w:bCs w:val="1"/>
                <w:color w:val="auto"/>
                <w:w w:val="95"/>
              </w:rPr>
              <w:t>(USD Equivalent)</w:t>
            </w: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6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Sells INR/Buys USD Forward</w:t>
            </w:r>
          </w:p>
        </w:tc>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456,000</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7,614</w:t>
            </w: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ind w:left="600"/>
              <w:spacing w:after="0"/>
              <w:rPr>
                <w:sz w:val="20"/>
                <w:szCs w:val="20"/>
                <w:color w:val="auto"/>
              </w:rPr>
            </w:pPr>
            <w:r>
              <w:rPr>
                <w:rFonts w:ascii="Arial" w:cs="Arial" w:eastAsia="Arial" w:hAnsi="Arial"/>
                <w:sz w:val="18"/>
                <w:szCs w:val="18"/>
                <w:color w:val="auto"/>
                <w:w w:val="87"/>
              </w:rPr>
              <w:t>June 2015</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For derivatives not designated as net investment hedges, the changes in the fair value of the derivatives are reported in the Consolidated Statements of Operations within other expense. As of March 31, 2014, the Company had the following outstanding foreign currency derivatives that were used to hedge its net investments in foreign operations that were not designated ($ in thousands):</w:t>
      </w:r>
    </w:p>
    <w:p>
      <w:pPr>
        <w:spacing w:after="0" w:line="10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1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Derivative Type</w:t>
            </w:r>
          </w:p>
        </w:tc>
        <w:tc>
          <w:tcPr>
            <w:tcW w:w="100" w:type="dxa"/>
            <w:vAlign w:val="bottom"/>
            <w:vMerge w:val="restart"/>
          </w:tcPr>
          <w:p>
            <w:pPr>
              <w:spacing w:after="0"/>
              <w:rPr>
                <w:sz w:val="14"/>
                <w:szCs w:val="14"/>
                <w:color w:val="auto"/>
              </w:rPr>
            </w:pPr>
          </w:p>
        </w:tc>
        <w:tc>
          <w:tcPr>
            <w:tcW w:w="420" w:type="dxa"/>
            <w:vAlign w:val="bottom"/>
          </w:tcPr>
          <w:p>
            <w:pPr>
              <w:spacing w:after="0"/>
              <w:rPr>
                <w:sz w:val="14"/>
                <w:szCs w:val="14"/>
                <w:color w:val="auto"/>
              </w:rPr>
            </w:pPr>
          </w:p>
        </w:tc>
        <w:tc>
          <w:tcPr>
            <w:tcW w:w="1400" w:type="dxa"/>
            <w:vAlign w:val="bottom"/>
            <w:gridSpan w:val="2"/>
          </w:tcPr>
          <w:p>
            <w:pPr>
              <w:ind w:left="160"/>
              <w:spacing w:after="0"/>
              <w:rPr>
                <w:sz w:val="20"/>
                <w:szCs w:val="20"/>
                <w:color w:val="auto"/>
              </w:rPr>
            </w:pPr>
            <w:r>
              <w:rPr>
                <w:rFonts w:ascii="Arial" w:cs="Arial" w:eastAsia="Arial" w:hAnsi="Arial"/>
                <w:sz w:val="14"/>
                <w:szCs w:val="14"/>
                <w:b w:val="1"/>
                <w:bCs w:val="1"/>
                <w:color w:val="auto"/>
              </w:rPr>
              <w:t>Notional</w:t>
            </w:r>
          </w:p>
        </w:tc>
        <w:tc>
          <w:tcPr>
            <w:tcW w:w="240" w:type="dxa"/>
            <w:vAlign w:val="bottom"/>
          </w:tcPr>
          <w:p>
            <w:pPr>
              <w:spacing w:after="0"/>
              <w:rPr>
                <w:sz w:val="14"/>
                <w:szCs w:val="14"/>
                <w:color w:val="auto"/>
              </w:rPr>
            </w:pPr>
          </w:p>
        </w:tc>
        <w:tc>
          <w:tcPr>
            <w:tcW w:w="1680" w:type="dxa"/>
            <w:vAlign w:val="bottom"/>
            <w:gridSpan w:val="2"/>
          </w:tcPr>
          <w:p>
            <w:pPr>
              <w:ind w:left="400"/>
              <w:spacing w:after="0"/>
              <w:rPr>
                <w:sz w:val="20"/>
                <w:szCs w:val="20"/>
                <w:color w:val="auto"/>
              </w:rPr>
            </w:pPr>
            <w:r>
              <w:rPr>
                <w:rFonts w:ascii="Arial" w:cs="Arial" w:eastAsia="Arial" w:hAnsi="Arial"/>
                <w:sz w:val="14"/>
                <w:szCs w:val="14"/>
                <w:b w:val="1"/>
                <w:bCs w:val="1"/>
                <w:color w:val="auto"/>
              </w:rPr>
              <w:t>Notional</w:t>
            </w:r>
          </w:p>
        </w:tc>
        <w:tc>
          <w:tcPr>
            <w:tcW w:w="1360" w:type="dxa"/>
            <w:vAlign w:val="bottom"/>
            <w:vMerge w:val="restart"/>
          </w:tcPr>
          <w:p>
            <w:pPr>
              <w:ind w:left="400"/>
              <w:spacing w:after="0"/>
              <w:rPr>
                <w:sz w:val="20"/>
                <w:szCs w:val="20"/>
                <w:color w:val="auto"/>
              </w:rPr>
            </w:pPr>
            <w:r>
              <w:rPr>
                <w:rFonts w:ascii="Arial" w:cs="Arial" w:eastAsia="Arial" w:hAnsi="Arial"/>
                <w:sz w:val="14"/>
                <w:szCs w:val="14"/>
                <w:b w:val="1"/>
                <w:bCs w:val="1"/>
                <w:color w:val="auto"/>
              </w:rPr>
              <w:t>Maturity</w:t>
            </w:r>
          </w:p>
        </w:tc>
        <w:tc>
          <w:tcPr>
            <w:tcW w:w="0" w:type="dxa"/>
            <w:vAlign w:val="bottom"/>
          </w:tcPr>
          <w:p>
            <w:pPr>
              <w:spacing w:after="0"/>
              <w:rPr>
                <w:sz w:val="1"/>
                <w:szCs w:val="1"/>
                <w:color w:val="auto"/>
              </w:rPr>
            </w:pPr>
          </w:p>
        </w:tc>
      </w:tr>
      <w:tr>
        <w:trPr>
          <w:trHeight w:val="192"/>
        </w:trPr>
        <w:tc>
          <w:tcPr>
            <w:tcW w:w="61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(USD Equivalent)</w:t>
            </w: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Sells euro ("EUR")/Buys USD Forward</w:t>
            </w:r>
          </w:p>
        </w:tc>
        <w:tc>
          <w:tcPr>
            <w:tcW w:w="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72,200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99,479</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w w:val="96"/>
              </w:rPr>
              <w:t>April 2014</w:t>
            </w:r>
          </w:p>
        </w:tc>
        <w:tc>
          <w:tcPr>
            <w:tcW w:w="0" w:type="dxa"/>
            <w:vAlign w:val="bottom"/>
          </w:tcPr>
          <w:p>
            <w:pPr>
              <w:spacing w:after="0"/>
              <w:rPr>
                <w:sz w:val="1"/>
                <w:szCs w:val="1"/>
                <w:color w:val="auto"/>
              </w:rPr>
            </w:pPr>
          </w:p>
        </w:tc>
      </w:tr>
      <w:tr>
        <w:trPr>
          <w:trHeight w:val="243"/>
        </w:trPr>
        <w:tc>
          <w:tcPr>
            <w:tcW w:w="6280" w:type="dxa"/>
            <w:vAlign w:val="bottom"/>
            <w:gridSpan w:val="2"/>
          </w:tcPr>
          <w:p>
            <w:pPr>
              <w:ind w:left="20"/>
              <w:spacing w:after="0"/>
              <w:rPr>
                <w:sz w:val="20"/>
                <w:szCs w:val="20"/>
                <w:color w:val="auto"/>
              </w:rPr>
            </w:pPr>
            <w:r>
              <w:rPr>
                <w:rFonts w:ascii="Arial" w:cs="Arial" w:eastAsia="Arial" w:hAnsi="Arial"/>
                <w:sz w:val="18"/>
                <w:szCs w:val="18"/>
                <w:color w:val="auto"/>
              </w:rPr>
              <w:t>Sells pound sterling ("GBP")/Buys USD Forward</w:t>
            </w:r>
          </w:p>
        </w:tc>
        <w:tc>
          <w:tcPr>
            <w:tcW w:w="420" w:type="dxa"/>
            <w:vAlign w:val="bottom"/>
          </w:tcPr>
          <w:p>
            <w:pPr>
              <w:ind w:left="2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7"/>
              <w:spacing w:after="0"/>
              <w:rPr>
                <w:sz w:val="20"/>
                <w:szCs w:val="20"/>
                <w:color w:val="auto"/>
              </w:rPr>
            </w:pPr>
            <w:r>
              <w:rPr>
                <w:rFonts w:ascii="Arial" w:cs="Arial" w:eastAsia="Arial" w:hAnsi="Arial"/>
                <w:sz w:val="18"/>
                <w:szCs w:val="18"/>
                <w:color w:val="auto"/>
              </w:rPr>
              <w:t>3,800</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ind w:right="37"/>
              <w:spacing w:after="0"/>
              <w:rPr>
                <w:sz w:val="20"/>
                <w:szCs w:val="20"/>
                <w:color w:val="auto"/>
              </w:rPr>
            </w:pPr>
            <w:r>
              <w:rPr>
                <w:rFonts w:ascii="Arial" w:cs="Arial" w:eastAsia="Arial" w:hAnsi="Arial"/>
                <w:sz w:val="18"/>
                <w:szCs w:val="18"/>
                <w:color w:val="auto"/>
              </w:rPr>
              <w:t>6,335</w:t>
            </w:r>
          </w:p>
        </w:tc>
        <w:tc>
          <w:tcPr>
            <w:tcW w:w="100" w:type="dxa"/>
            <w:vAlign w:val="bottom"/>
          </w:tcPr>
          <w:p>
            <w:pPr>
              <w:spacing w:after="0"/>
              <w:rPr>
                <w:sz w:val="21"/>
                <w:szCs w:val="21"/>
                <w:color w:val="auto"/>
              </w:rPr>
            </w:pPr>
          </w:p>
        </w:tc>
        <w:tc>
          <w:tcPr>
            <w:tcW w:w="1360" w:type="dxa"/>
            <w:vAlign w:val="bottom"/>
          </w:tcPr>
          <w:p>
            <w:pPr>
              <w:ind w:left="560"/>
              <w:spacing w:after="0"/>
              <w:rPr>
                <w:sz w:val="20"/>
                <w:szCs w:val="20"/>
                <w:color w:val="auto"/>
              </w:rPr>
            </w:pPr>
            <w:r>
              <w:rPr>
                <w:rFonts w:ascii="Arial" w:cs="Arial" w:eastAsia="Arial" w:hAnsi="Arial"/>
                <w:sz w:val="18"/>
                <w:szCs w:val="18"/>
                <w:color w:val="auto"/>
                <w:w w:val="96"/>
              </w:rPr>
              <w:t>April 2014</w:t>
            </w: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Sells Canadian dollar ("CAD")/Buys USD Forward</w:t>
            </w:r>
          </w:p>
        </w:tc>
        <w:tc>
          <w:tcPr>
            <w:tcW w:w="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w:t>
            </w:r>
          </w:p>
        </w:tc>
        <w:tc>
          <w:tcPr>
            <w:tcW w:w="12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41,500</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37,564</w:t>
            </w: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ind w:left="560"/>
              <w:spacing w:after="0"/>
              <w:rPr>
                <w:sz w:val="20"/>
                <w:szCs w:val="20"/>
                <w:color w:val="auto"/>
              </w:rPr>
            </w:pPr>
            <w:r>
              <w:rPr>
                <w:rFonts w:ascii="Arial" w:cs="Arial" w:eastAsia="Arial" w:hAnsi="Arial"/>
                <w:sz w:val="18"/>
                <w:szCs w:val="18"/>
                <w:color w:val="auto"/>
                <w:w w:val="96"/>
              </w:rPr>
              <w:t>April 2014</w:t>
            </w:r>
          </w:p>
        </w:tc>
        <w:tc>
          <w:tcPr>
            <w:tcW w:w="0" w:type="dxa"/>
            <w:vAlign w:val="bottom"/>
          </w:tcPr>
          <w:p>
            <w:pPr>
              <w:spacing w:after="0"/>
              <w:rPr>
                <w:sz w:val="1"/>
                <w:szCs w:val="1"/>
                <w:color w:val="auto"/>
              </w:rPr>
            </w:pPr>
          </w:p>
        </w:tc>
      </w:tr>
      <w:tr>
        <w:trPr>
          <w:trHeight w:val="27"/>
        </w:trPr>
        <w:tc>
          <w:tcPr>
            <w:tcW w:w="6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80" w:type="dxa"/>
            <w:vAlign w:val="bottom"/>
            <w:gridSpan w:val="3"/>
          </w:tcPr>
          <w:p>
            <w:pPr>
              <w:jc w:val="center"/>
              <w:ind w:left="704"/>
              <w:spacing w:after="0"/>
              <w:rPr>
                <w:sz w:val="20"/>
                <w:szCs w:val="20"/>
                <w:color w:val="auto"/>
              </w:rPr>
            </w:pPr>
            <w:r>
              <w:rPr>
                <w:rFonts w:ascii="Arial" w:cs="Arial" w:eastAsia="Arial" w:hAnsi="Arial"/>
                <w:sz w:val="14"/>
                <w:szCs w:val="14"/>
                <w:b w:val="1"/>
                <w:bCs w:val="1"/>
                <w:color w:val="auto"/>
                <w:w w:val="93"/>
              </w:rPr>
              <w:t>Amount of Gain or (Loss)</w:t>
            </w: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3"/>
          </w:tcPr>
          <w:p>
            <w:pPr>
              <w:jc w:val="center"/>
              <w:ind w:left="704"/>
              <w:spacing w:after="0"/>
              <w:rPr>
                <w:sz w:val="20"/>
                <w:szCs w:val="20"/>
                <w:color w:val="auto"/>
              </w:rPr>
            </w:pPr>
            <w:r>
              <w:rPr>
                <w:rFonts w:ascii="Arial" w:cs="Arial" w:eastAsia="Arial" w:hAnsi="Arial"/>
                <w:sz w:val="14"/>
                <w:szCs w:val="14"/>
                <w:b w:val="1"/>
                <w:bCs w:val="1"/>
                <w:color w:val="auto"/>
                <w:w w:val="90"/>
              </w:rPr>
              <w:t>Recognized in Income</w:t>
            </w: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Location of Gain or</w:t>
            </w:r>
          </w:p>
        </w:tc>
        <w:tc>
          <w:tcPr>
            <w:tcW w:w="500" w:type="dxa"/>
            <w:vAlign w:val="bottom"/>
          </w:tcPr>
          <w:p>
            <w:pPr>
              <w:spacing w:after="0"/>
              <w:rPr>
                <w:sz w:val="17"/>
                <w:szCs w:val="17"/>
                <w:color w:val="auto"/>
              </w:rPr>
            </w:pPr>
          </w:p>
        </w:tc>
        <w:tc>
          <w:tcPr>
            <w:tcW w:w="3720" w:type="dxa"/>
            <w:vAlign w:val="bottom"/>
            <w:gridSpan w:val="4"/>
          </w:tcPr>
          <w:p>
            <w:pPr>
              <w:jc w:val="center"/>
              <w:ind w:right="379"/>
              <w:spacing w:after="0"/>
              <w:rPr>
                <w:sz w:val="20"/>
                <w:szCs w:val="20"/>
                <w:color w:val="auto"/>
              </w:rPr>
            </w:pPr>
            <w:r>
              <w:rPr>
                <w:rFonts w:ascii="Arial" w:cs="Arial" w:eastAsia="Arial" w:hAnsi="Arial"/>
                <w:sz w:val="14"/>
                <w:szCs w:val="14"/>
                <w:b w:val="1"/>
                <w:bCs w:val="1"/>
                <w:color w:val="auto"/>
                <w:w w:val="95"/>
              </w:rPr>
              <w:t>For the Three Months Ended March 31,</w:t>
            </w:r>
          </w:p>
        </w:tc>
        <w:tc>
          <w:tcPr>
            <w:tcW w:w="0" w:type="dxa"/>
            <w:vAlign w:val="bottom"/>
          </w:tcPr>
          <w:p>
            <w:pPr>
              <w:spacing w:after="0"/>
              <w:rPr>
                <w:sz w:val="1"/>
                <w:szCs w:val="1"/>
                <w:color w:val="auto"/>
              </w:rPr>
            </w:pPr>
          </w:p>
        </w:tc>
      </w:tr>
      <w:tr>
        <w:trPr>
          <w:trHeight w:val="54"/>
        </w:trPr>
        <w:tc>
          <w:tcPr>
            <w:tcW w:w="4920" w:type="dxa"/>
            <w:vAlign w:val="bottom"/>
          </w:tcPr>
          <w:p>
            <w:pPr>
              <w:spacing w:after="0"/>
              <w:rPr>
                <w:sz w:val="4"/>
                <w:szCs w:val="4"/>
                <w:color w:val="auto"/>
              </w:rPr>
            </w:pPr>
          </w:p>
        </w:tc>
        <w:tc>
          <w:tcPr>
            <w:tcW w:w="120" w:type="dxa"/>
            <w:vAlign w:val="bottom"/>
            <w:vMerge w:val="restart"/>
          </w:tcPr>
          <w:p>
            <w:pPr>
              <w:spacing w:after="0"/>
              <w:rPr>
                <w:sz w:val="4"/>
                <w:szCs w:val="4"/>
                <w:color w:val="auto"/>
              </w:rPr>
            </w:pPr>
          </w:p>
        </w:tc>
        <w:tc>
          <w:tcPr>
            <w:tcW w:w="2160" w:type="dxa"/>
            <w:vAlign w:val="bottom"/>
            <w:gridSpan w:val="2"/>
            <w:vMerge w:val="restart"/>
          </w:tcPr>
          <w:p>
            <w:pPr>
              <w:jc w:val="center"/>
              <w:ind w:right="100"/>
              <w:spacing w:after="0" w:line="139" w:lineRule="exact"/>
              <w:rPr>
                <w:sz w:val="20"/>
                <w:szCs w:val="20"/>
                <w:color w:val="auto"/>
              </w:rPr>
            </w:pPr>
            <w:r>
              <w:rPr>
                <w:rFonts w:ascii="Arial" w:cs="Arial" w:eastAsia="Arial" w:hAnsi="Arial"/>
                <w:sz w:val="14"/>
                <w:szCs w:val="14"/>
                <w:b w:val="1"/>
                <w:bCs w:val="1"/>
                <w:color w:val="auto"/>
                <w:w w:val="89"/>
              </w:rPr>
              <w:t>(Loss) Recognized in</w:t>
            </w:r>
          </w:p>
        </w:tc>
        <w:tc>
          <w:tcPr>
            <w:tcW w:w="50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5"/>
        </w:trPr>
        <w:tc>
          <w:tcPr>
            <w:tcW w:w="49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Derivatives not Designated in Hedging Relationships</w:t>
            </w:r>
          </w:p>
        </w:tc>
        <w:tc>
          <w:tcPr>
            <w:tcW w:w="120" w:type="dxa"/>
            <w:vAlign w:val="bottom"/>
            <w:vMerge w:val="continue"/>
          </w:tcPr>
          <w:p>
            <w:pPr>
              <w:spacing w:after="0"/>
              <w:rPr>
                <w:sz w:val="5"/>
                <w:szCs w:val="5"/>
                <w:color w:val="auto"/>
              </w:rPr>
            </w:pPr>
          </w:p>
        </w:tc>
        <w:tc>
          <w:tcPr>
            <w:tcW w:w="2160" w:type="dxa"/>
            <w:vAlign w:val="bottom"/>
            <w:gridSpan w:val="2"/>
            <w:vMerge w:val="continue"/>
          </w:tcPr>
          <w:p>
            <w:pPr>
              <w:spacing w:after="0"/>
              <w:rPr>
                <w:sz w:val="5"/>
                <w:szCs w:val="5"/>
                <w:color w:val="auto"/>
              </w:rPr>
            </w:pPr>
          </w:p>
        </w:tc>
        <w:tc>
          <w:tcPr>
            <w:tcW w:w="500" w:type="dxa"/>
            <w:vAlign w:val="bottom"/>
          </w:tcPr>
          <w:p>
            <w:pPr>
              <w:spacing w:after="0"/>
              <w:rPr>
                <w:sz w:val="5"/>
                <w:szCs w:val="5"/>
                <w:color w:val="auto"/>
              </w:rPr>
            </w:pPr>
          </w:p>
        </w:tc>
        <w:tc>
          <w:tcPr>
            <w:tcW w:w="1560" w:type="dxa"/>
            <w:vAlign w:val="bottom"/>
            <w:vMerge w:val="restart"/>
          </w:tcPr>
          <w:p>
            <w:pPr>
              <w:jc w:val="right"/>
              <w:ind w:right="804"/>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40" w:type="dxa"/>
            <w:vAlign w:val="bottom"/>
            <w:vMerge w:val="restart"/>
          </w:tcPr>
          <w:p>
            <w:pPr>
              <w:jc w:val="right"/>
              <w:ind w:right="799"/>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192"/>
        </w:trPr>
        <w:tc>
          <w:tcPr>
            <w:tcW w:w="49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Income</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Foreign Exchange Contracts</w:t>
            </w:r>
          </w:p>
        </w:tc>
        <w:tc>
          <w:tcPr>
            <w:tcW w:w="120" w:type="dxa"/>
            <w:vAlign w:val="bottom"/>
            <w:shd w:val="clear" w:color="auto" w:fill="CCEEFF"/>
          </w:tcPr>
          <w:p>
            <w:pPr>
              <w:spacing w:after="0"/>
              <w:rPr>
                <w:sz w:val="21"/>
                <w:szCs w:val="21"/>
                <w:color w:val="auto"/>
              </w:rPr>
            </w:pPr>
          </w:p>
        </w:tc>
        <w:tc>
          <w:tcPr>
            <w:tcW w:w="2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Other Expense</w:t>
            </w: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rPr>
              <w:t>1,498</w:t>
            </w:r>
          </w:p>
        </w:tc>
        <w:tc>
          <w:tcPr>
            <w:tcW w:w="10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10,156</w:t>
            </w:r>
          </w:p>
        </w:tc>
        <w:tc>
          <w:tcPr>
            <w:tcW w:w="0" w:type="dxa"/>
            <w:vAlign w:val="bottom"/>
          </w:tcPr>
          <w:p>
            <w:pPr>
              <w:spacing w:after="0"/>
              <w:rPr>
                <w:sz w:val="1"/>
                <w:szCs w:val="1"/>
                <w:color w:val="auto"/>
              </w:rPr>
            </w:pPr>
          </w:p>
        </w:tc>
      </w:tr>
      <w:tr>
        <w:trPr>
          <w:trHeight w:val="27"/>
        </w:trPr>
        <w:tc>
          <w:tcPr>
            <w:tcW w:w="4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The Company marks its foreign investments each quarter based on current exchange rates and records the gain or loss through “Other expense” on its Consolidated Statements of Operations for loan investments or “Accumulated other comprehensive income (loss),” on its Consolidated Balance Sheets for net investments in foreign subsidiaries. During the three months ended March 31, 2014 and 2013, the Company recorded net gains related to foreign investments of $0.3 million and $0.1 million, respectively, in its Consolidated Statements of Operations.</w:t>
      </w:r>
    </w:p>
    <w:p>
      <w:pPr>
        <w:spacing w:after="0" w:line="127" w:lineRule="exact"/>
        <w:rPr>
          <w:sz w:val="20"/>
          <w:szCs w:val="20"/>
          <w:color w:val="auto"/>
        </w:rPr>
      </w:pPr>
    </w:p>
    <w:p>
      <w:pPr>
        <w:jc w:val="both"/>
        <w:ind w:firstLine="432"/>
        <w:spacing w:after="0" w:line="261" w:lineRule="auto"/>
        <w:rPr>
          <w:sz w:val="20"/>
          <w:szCs w:val="20"/>
          <w:color w:val="auto"/>
        </w:rPr>
      </w:pPr>
      <w:r>
        <w:rPr>
          <w:rFonts w:ascii="Arial" w:cs="Arial" w:eastAsia="Arial" w:hAnsi="Arial"/>
          <w:sz w:val="18"/>
          <w:szCs w:val="18"/>
          <w:b w:val="1"/>
          <w:bCs w:val="1"/>
          <w:color w:val="auto"/>
        </w:rPr>
        <w:t>Qualifying cash flow hedges</w:t>
      </w:r>
      <w:r>
        <w:rPr>
          <w:rFonts w:ascii="Arial" w:cs="Arial" w:eastAsia="Arial" w:hAnsi="Arial"/>
          <w:sz w:val="18"/>
          <w:szCs w:val="18"/>
          <w:color w:val="auto"/>
        </w:rPr>
        <w:t>—In August 2013, the Company entered into an interest rate cap agreement to reduce exposure to expected increases in</w:t>
      </w:r>
      <w:r>
        <w:rPr>
          <w:rFonts w:ascii="Arial" w:cs="Arial" w:eastAsia="Arial" w:hAnsi="Arial"/>
          <w:sz w:val="18"/>
          <w:szCs w:val="18"/>
          <w:b w:val="1"/>
          <w:bCs w:val="1"/>
          <w:color w:val="auto"/>
        </w:rPr>
        <w:t xml:space="preserve"> </w:t>
      </w:r>
      <w:r>
        <w:rPr>
          <w:rFonts w:ascii="Arial" w:cs="Arial" w:eastAsia="Arial" w:hAnsi="Arial"/>
          <w:sz w:val="18"/>
          <w:szCs w:val="18"/>
          <w:color w:val="auto"/>
        </w:rPr>
        <w:t>future interest rates and the resulting payments associated with variable interest rate debt. In October 2012, the Company entered into an interest rate swap to convert its variable rate debt to fixed rate on a $28.0 million secured term loan maturing in 2019. The following table presents the Company's qualifying cash flow hedges outstanding as of March 31, 2014 ($ in thousands).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Derivative Type</w:t>
            </w:r>
          </w:p>
        </w:tc>
        <w:tc>
          <w:tcPr>
            <w:tcW w:w="120" w:type="dxa"/>
            <w:vAlign w:val="bottom"/>
            <w:vMerge w:val="restart"/>
          </w:tcPr>
          <w:p>
            <w:pPr>
              <w:spacing w:after="0"/>
              <w:rPr>
                <w:sz w:val="14"/>
                <w:szCs w:val="14"/>
                <w:color w:val="auto"/>
              </w:rPr>
            </w:pPr>
          </w:p>
        </w:tc>
        <w:tc>
          <w:tcPr>
            <w:tcW w:w="340" w:type="dxa"/>
            <w:vAlign w:val="bottom"/>
          </w:tcPr>
          <w:p>
            <w:pPr>
              <w:spacing w:after="0"/>
              <w:rPr>
                <w:sz w:val="14"/>
                <w:szCs w:val="14"/>
                <w:color w:val="auto"/>
              </w:rPr>
            </w:pPr>
          </w:p>
        </w:tc>
        <w:tc>
          <w:tcPr>
            <w:tcW w:w="1400" w:type="dxa"/>
            <w:vAlign w:val="bottom"/>
            <w:gridSpan w:val="2"/>
          </w:tcPr>
          <w:p>
            <w:pPr>
              <w:ind w:left="200"/>
              <w:spacing w:after="0"/>
              <w:rPr>
                <w:sz w:val="20"/>
                <w:szCs w:val="20"/>
                <w:color w:val="auto"/>
              </w:rPr>
            </w:pPr>
            <w:r>
              <w:rPr>
                <w:rFonts w:ascii="Arial" w:cs="Arial" w:eastAsia="Arial" w:hAnsi="Arial"/>
                <w:sz w:val="14"/>
                <w:szCs w:val="14"/>
                <w:b w:val="1"/>
                <w:bCs w:val="1"/>
                <w:color w:val="auto"/>
              </w:rPr>
              <w:t>Notional</w:t>
            </w:r>
          </w:p>
        </w:tc>
        <w:tc>
          <w:tcPr>
            <w:tcW w:w="1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Variable Rate</w:t>
            </w:r>
          </w:p>
        </w:tc>
        <w:tc>
          <w:tcPr>
            <w:tcW w:w="100" w:type="dxa"/>
            <w:vAlign w:val="bottom"/>
            <w:vMerge w:val="restart"/>
          </w:tcPr>
          <w:p>
            <w:pPr>
              <w:spacing w:after="0"/>
              <w:rPr>
                <w:sz w:val="14"/>
                <w:szCs w:val="14"/>
                <w:color w:val="auto"/>
              </w:rPr>
            </w:pPr>
          </w:p>
        </w:tc>
        <w:tc>
          <w:tcPr>
            <w:tcW w:w="1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Fixed Rate</w:t>
            </w:r>
          </w:p>
        </w:tc>
        <w:tc>
          <w:tcPr>
            <w:tcW w:w="100" w:type="dxa"/>
            <w:vAlign w:val="bottom"/>
            <w:vMerge w:val="restart"/>
          </w:tcPr>
          <w:p>
            <w:pPr>
              <w:spacing w:after="0"/>
              <w:rPr>
                <w:sz w:val="14"/>
                <w:szCs w:val="14"/>
                <w:color w:val="auto"/>
              </w:rPr>
            </w:pPr>
          </w:p>
        </w:tc>
        <w:tc>
          <w:tcPr>
            <w:tcW w:w="1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Effective Date</w:t>
            </w:r>
          </w:p>
        </w:tc>
        <w:tc>
          <w:tcPr>
            <w:tcW w:w="100" w:type="dxa"/>
            <w:vAlign w:val="bottom"/>
            <w:vMerge w:val="restart"/>
          </w:tcPr>
          <w:p>
            <w:pPr>
              <w:spacing w:after="0"/>
              <w:rPr>
                <w:sz w:val="14"/>
                <w:szCs w:val="14"/>
                <w:color w:val="auto"/>
              </w:rPr>
            </w:pPr>
          </w:p>
        </w:tc>
        <w:tc>
          <w:tcPr>
            <w:tcW w:w="16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Maturity</w:t>
            </w:r>
          </w:p>
        </w:tc>
        <w:tc>
          <w:tcPr>
            <w:tcW w:w="0" w:type="dxa"/>
            <w:vAlign w:val="bottom"/>
          </w:tcPr>
          <w:p>
            <w:pPr>
              <w:spacing w:after="0"/>
              <w:rPr>
                <w:sz w:val="1"/>
                <w:szCs w:val="1"/>
                <w:color w:val="auto"/>
              </w:rPr>
            </w:pPr>
          </w:p>
        </w:tc>
      </w:tr>
      <w:tr>
        <w:trPr>
          <w:trHeight w:val="192"/>
        </w:trPr>
        <w:tc>
          <w:tcPr>
            <w:tcW w:w="26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Rate Cap</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500,000</w:t>
            </w: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LIBOR</w:t>
            </w: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July 2014</w:t>
            </w: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July 2017</w:t>
            </w:r>
          </w:p>
        </w:tc>
        <w:tc>
          <w:tcPr>
            <w:tcW w:w="0" w:type="dxa"/>
            <w:vAlign w:val="bottom"/>
          </w:tcPr>
          <w:p>
            <w:pPr>
              <w:spacing w:after="0"/>
              <w:rPr>
                <w:sz w:val="1"/>
                <w:szCs w:val="1"/>
                <w:color w:val="auto"/>
              </w:rPr>
            </w:pPr>
          </w:p>
        </w:tc>
      </w:tr>
      <w:tr>
        <w:trPr>
          <w:trHeight w:val="243"/>
        </w:trPr>
        <w:tc>
          <w:tcPr>
            <w:tcW w:w="2760" w:type="dxa"/>
            <w:vAlign w:val="bottom"/>
            <w:gridSpan w:val="2"/>
          </w:tcPr>
          <w:p>
            <w:pPr>
              <w:ind w:left="40"/>
              <w:spacing w:after="0"/>
              <w:rPr>
                <w:sz w:val="20"/>
                <w:szCs w:val="20"/>
                <w:color w:val="auto"/>
              </w:rPr>
            </w:pPr>
            <w:r>
              <w:rPr>
                <w:rFonts w:ascii="Arial" w:cs="Arial" w:eastAsia="Arial" w:hAnsi="Arial"/>
                <w:sz w:val="18"/>
                <w:szCs w:val="18"/>
                <w:color w:val="auto"/>
              </w:rPr>
              <w:t>Interest Rate Swap</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9"/>
              <w:spacing w:after="0"/>
              <w:rPr>
                <w:sz w:val="20"/>
                <w:szCs w:val="20"/>
                <w:color w:val="auto"/>
              </w:rPr>
            </w:pPr>
            <w:r>
              <w:rPr>
                <w:rFonts w:ascii="Arial" w:cs="Arial" w:eastAsia="Arial" w:hAnsi="Arial"/>
                <w:sz w:val="18"/>
                <w:szCs w:val="18"/>
                <w:color w:val="auto"/>
              </w:rPr>
              <w:t>27,831</w:t>
            </w:r>
          </w:p>
        </w:tc>
        <w:tc>
          <w:tcPr>
            <w:tcW w:w="120" w:type="dxa"/>
            <w:vAlign w:val="bottom"/>
          </w:tcPr>
          <w:p>
            <w:pPr>
              <w:spacing w:after="0"/>
              <w:rPr>
                <w:sz w:val="21"/>
                <w:szCs w:val="21"/>
                <w:color w:val="auto"/>
              </w:rPr>
            </w:pPr>
          </w:p>
        </w:tc>
        <w:tc>
          <w:tcPr>
            <w:tcW w:w="192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LIBOR + 2.00%</w:t>
            </w:r>
          </w:p>
        </w:tc>
        <w:tc>
          <w:tcPr>
            <w:tcW w:w="1600" w:type="dxa"/>
            <w:vAlign w:val="bottom"/>
          </w:tcPr>
          <w:p>
            <w:pPr>
              <w:jc w:val="center"/>
              <w:spacing w:after="0"/>
              <w:rPr>
                <w:sz w:val="20"/>
                <w:szCs w:val="20"/>
                <w:color w:val="auto"/>
              </w:rPr>
            </w:pPr>
            <w:r>
              <w:rPr>
                <w:rFonts w:ascii="Arial" w:cs="Arial" w:eastAsia="Arial" w:hAnsi="Arial"/>
                <w:sz w:val="18"/>
                <w:szCs w:val="18"/>
                <w:color w:val="auto"/>
                <w:w w:val="93"/>
              </w:rPr>
              <w:t>3.47%</w:t>
            </w:r>
          </w:p>
        </w:tc>
        <w:tc>
          <w:tcPr>
            <w:tcW w:w="100" w:type="dxa"/>
            <w:vAlign w:val="bottom"/>
          </w:tcPr>
          <w:p>
            <w:pPr>
              <w:spacing w:after="0"/>
              <w:rPr>
                <w:sz w:val="21"/>
                <w:szCs w:val="21"/>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October 2012</w:t>
            </w:r>
          </w:p>
        </w:tc>
        <w:tc>
          <w:tcPr>
            <w:tcW w:w="1600" w:type="dxa"/>
            <w:vAlign w:val="bottom"/>
          </w:tcPr>
          <w:p>
            <w:pPr>
              <w:jc w:val="center"/>
              <w:spacing w:after="0"/>
              <w:rPr>
                <w:sz w:val="20"/>
                <w:szCs w:val="20"/>
                <w:color w:val="auto"/>
              </w:rPr>
            </w:pPr>
            <w:r>
              <w:rPr>
                <w:rFonts w:ascii="Arial" w:cs="Arial" w:eastAsia="Arial" w:hAnsi="Arial"/>
                <w:sz w:val="18"/>
                <w:szCs w:val="18"/>
                <w:color w:val="auto"/>
                <w:w w:val="90"/>
              </w:rPr>
              <w:t>November 2019</w:t>
            </w: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Over the next 12 months, the Company expects that $0.6 million will be reclassified to interest expense from cash flow hedges and $0.5 million will be reclassified to income related to terminated cash flow hedges from "Accumulated other comprehensive income (loss)" into earnings.</w:t>
      </w:r>
    </w:p>
    <w:p>
      <w:pPr>
        <w:spacing w:after="0" w:line="143" w:lineRule="exact"/>
        <w:rPr>
          <w:sz w:val="20"/>
          <w:szCs w:val="20"/>
          <w:color w:val="auto"/>
        </w:rPr>
      </w:pPr>
    </w:p>
    <w:p>
      <w:pPr>
        <w:jc w:val="both"/>
        <w:ind w:firstLine="432"/>
        <w:spacing w:after="0" w:line="266" w:lineRule="auto"/>
        <w:rPr>
          <w:sz w:val="20"/>
          <w:szCs w:val="20"/>
          <w:color w:val="auto"/>
        </w:rPr>
      </w:pPr>
      <w:r>
        <w:rPr>
          <w:rFonts w:ascii="Arial" w:cs="Arial" w:eastAsia="Arial" w:hAnsi="Arial"/>
          <w:sz w:val="18"/>
          <w:szCs w:val="18"/>
          <w:b w:val="1"/>
          <w:bCs w:val="1"/>
          <w:color w:val="auto"/>
        </w:rPr>
        <w:t>Credit risk-related contingent features</w:t>
      </w:r>
      <w:r>
        <w:rPr>
          <w:rFonts w:ascii="Arial" w:cs="Arial" w:eastAsia="Arial" w:hAnsi="Arial"/>
          <w:sz w:val="18"/>
          <w:szCs w:val="18"/>
          <w:color w:val="auto"/>
        </w:rPr>
        <w:t>—The Company has agreements with each of its derivative counterparties that contain a provision where if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either defaults or is capable of being declared in default on any of its indebtedness, then the Company could also be declared in default on its derivative obligations.</w:t>
      </w:r>
    </w:p>
    <w:p>
      <w:pPr>
        <w:spacing w:after="0" w:line="18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In connection with its foreign currency derivatives, as of March 31, 2014 and December 31, 2013, the Company has posted collateral of $7.2 million and $7.2 million, respectively, which is included in "Restricted cash" on the Company's Consolidated Balance Sheets.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1" w:right="239" w:bottom="1440" w:gutter="0" w:footer="0" w:header="0"/>
        </w:sectPr>
      </w:pPr>
    </w:p>
    <w:bookmarkStart w:id="24" w:name="page25"/>
    <w:bookmarkEnd w:id="24"/>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11—Equity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Preferred Stock</w:t>
      </w:r>
      <w:r>
        <w:rPr>
          <w:rFonts w:ascii="Arial" w:cs="Arial" w:eastAsia="Arial" w:hAnsi="Arial"/>
          <w:sz w:val="17"/>
          <w:szCs w:val="17"/>
          <w:color w:val="auto"/>
        </w:rPr>
        <w:t>—The Company had the following series of Cumulative Redeemable Preferred Stock outstanding as of March 31, 2014 and</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2013:</w:t>
      </w:r>
    </w:p>
    <w:p>
      <w:pPr>
        <w:spacing w:after="0" w:line="136" w:lineRule="exact"/>
        <w:rPr>
          <w:sz w:val="20"/>
          <w:szCs w:val="20"/>
          <w:color w:val="auto"/>
        </w:rPr>
      </w:pPr>
    </w:p>
    <w:tbl>
      <w:tblPr>
        <w:tblLayout w:type="fixed"/>
        <w:tblInd w:w="780" w:type="dxa"/>
        <w:tblCellMar>
          <w:top w:w="0" w:type="dxa"/>
          <w:left w:w="0" w:type="dxa"/>
          <w:bottom w:w="0" w:type="dxa"/>
          <w:right w:w="0" w:type="dxa"/>
        </w:tblCellMar>
      </w:tblPr>
      <w:tr>
        <w:trPr>
          <w:trHeight w:val="161"/>
        </w:trPr>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Cumulative Preferential Cash</w:t>
            </w:r>
          </w:p>
        </w:tc>
        <w:tc>
          <w:tcPr>
            <w:tcW w:w="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1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Dividends(1)(2)</w:t>
            </w: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0"/>
              </w:rPr>
              <w:t>Shares Issued and</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60" w:type="dxa"/>
            <w:vAlign w:val="bottom"/>
          </w:tcPr>
          <w:p>
            <w:pPr>
              <w:jc w:val="center"/>
              <w:ind w:right="156"/>
              <w:spacing w:after="0" w:line="153" w:lineRule="exact"/>
              <w:rPr>
                <w:sz w:val="20"/>
                <w:szCs w:val="20"/>
                <w:color w:val="auto"/>
              </w:rPr>
            </w:pPr>
            <w:r>
              <w:rPr>
                <w:rFonts w:ascii="Arial" w:cs="Arial" w:eastAsia="Arial" w:hAnsi="Arial"/>
                <w:sz w:val="14"/>
                <w:szCs w:val="14"/>
                <w:b w:val="1"/>
                <w:bCs w:val="1"/>
                <w:color w:val="auto"/>
                <w:w w:val="93"/>
              </w:rPr>
              <w:t>Equivalent to</w:t>
            </w:r>
          </w:p>
        </w:tc>
        <w:tc>
          <w:tcPr>
            <w:tcW w:w="0" w:type="dxa"/>
            <w:vAlign w:val="bottom"/>
          </w:tcPr>
          <w:p>
            <w:pPr>
              <w:spacing w:after="0"/>
              <w:rPr>
                <w:sz w:val="1"/>
                <w:szCs w:val="1"/>
                <w:color w:val="auto"/>
              </w:rPr>
            </w:pPr>
          </w:p>
        </w:tc>
      </w:tr>
      <w:tr>
        <w:trPr>
          <w:trHeight w:val="149"/>
        </w:trPr>
        <w:tc>
          <w:tcPr>
            <w:tcW w:w="1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5"/>
              </w:rPr>
              <w:t>Series</w:t>
            </w:r>
          </w:p>
        </w:tc>
        <w:tc>
          <w:tcPr>
            <w:tcW w:w="120" w:type="dxa"/>
            <w:vAlign w:val="bottom"/>
            <w:vMerge w:val="restart"/>
          </w:tcPr>
          <w:p>
            <w:pPr>
              <w:spacing w:after="0"/>
              <w:rPr>
                <w:sz w:val="12"/>
                <w:szCs w:val="12"/>
                <w:color w:val="auto"/>
              </w:rPr>
            </w:pPr>
          </w:p>
        </w:tc>
        <w:tc>
          <w:tcPr>
            <w:tcW w:w="1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Outstanding</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rPr>
              <w:t>Par Value</w:t>
            </w:r>
          </w:p>
        </w:tc>
        <w:tc>
          <w:tcPr>
            <w:tcW w:w="120" w:type="dxa"/>
            <w:vAlign w:val="bottom"/>
            <w:vMerge w:val="restart"/>
          </w:tcPr>
          <w:p>
            <w:pPr>
              <w:spacing w:after="0"/>
              <w:rPr>
                <w:sz w:val="12"/>
                <w:szCs w:val="12"/>
                <w:color w:val="auto"/>
              </w:rPr>
            </w:pPr>
          </w:p>
        </w:tc>
        <w:tc>
          <w:tcPr>
            <w:tcW w:w="1640" w:type="dxa"/>
            <w:vAlign w:val="bottom"/>
            <w:vMerge w:val="restart"/>
          </w:tcPr>
          <w:p>
            <w:pPr>
              <w:jc w:val="right"/>
              <w:ind w:right="13"/>
              <w:spacing w:after="0"/>
              <w:rPr>
                <w:sz w:val="20"/>
                <w:szCs w:val="20"/>
                <w:color w:val="auto"/>
              </w:rPr>
            </w:pPr>
            <w:r>
              <w:rPr>
                <w:rFonts w:ascii="Arial" w:cs="Arial" w:eastAsia="Arial" w:hAnsi="Arial"/>
                <w:sz w:val="14"/>
                <w:szCs w:val="14"/>
                <w:b w:val="1"/>
                <w:bCs w:val="1"/>
                <w:color w:val="auto"/>
              </w:rPr>
              <w:t>Liquidation Preference</w:t>
            </w:r>
          </w:p>
        </w:tc>
        <w:tc>
          <w:tcPr>
            <w:tcW w:w="1760" w:type="dxa"/>
            <w:vAlign w:val="bottom"/>
            <w:vMerge w:val="restart"/>
          </w:tcPr>
          <w:p>
            <w:pPr>
              <w:jc w:val="center"/>
              <w:ind w:left="36"/>
              <w:spacing w:after="0"/>
              <w:rPr>
                <w:sz w:val="20"/>
                <w:szCs w:val="20"/>
                <w:color w:val="auto"/>
              </w:rPr>
            </w:pPr>
            <w:r>
              <w:rPr>
                <w:rFonts w:ascii="Arial" w:cs="Arial" w:eastAsia="Arial" w:hAnsi="Arial"/>
                <w:sz w:val="14"/>
                <w:szCs w:val="14"/>
                <w:b w:val="1"/>
                <w:bCs w:val="1"/>
                <w:color w:val="auto"/>
                <w:w w:val="96"/>
              </w:rPr>
              <w:t>Rate per Annum</w:t>
            </w:r>
          </w:p>
        </w:tc>
        <w:tc>
          <w:tcPr>
            <w:tcW w:w="12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tcPr>
          <w:p>
            <w:pPr>
              <w:jc w:val="center"/>
              <w:ind w:right="136"/>
              <w:spacing w:after="0" w:line="149" w:lineRule="exact"/>
              <w:rPr>
                <w:sz w:val="20"/>
                <w:szCs w:val="20"/>
                <w:color w:val="auto"/>
              </w:rPr>
            </w:pPr>
            <w:r>
              <w:rPr>
                <w:rFonts w:ascii="Arial" w:cs="Arial" w:eastAsia="Arial" w:hAnsi="Arial"/>
                <w:sz w:val="14"/>
                <w:szCs w:val="14"/>
                <w:b w:val="1"/>
                <w:bCs w:val="1"/>
                <w:color w:val="auto"/>
                <w:w w:val="95"/>
              </w:rPr>
              <w:t>Fixed Annual</w:t>
            </w:r>
          </w:p>
        </w:tc>
        <w:tc>
          <w:tcPr>
            <w:tcW w:w="0" w:type="dxa"/>
            <w:vAlign w:val="bottom"/>
          </w:tcPr>
          <w:p>
            <w:pPr>
              <w:spacing w:after="0"/>
              <w:rPr>
                <w:sz w:val="1"/>
                <w:szCs w:val="1"/>
                <w:color w:val="auto"/>
              </w:rPr>
            </w:pPr>
          </w:p>
        </w:tc>
      </w:tr>
      <w:tr>
        <w:trPr>
          <w:trHeight w:val="192"/>
        </w:trPr>
        <w:tc>
          <w:tcPr>
            <w:tcW w:w="15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640" w:type="dxa"/>
            <w:vAlign w:val="bottom"/>
            <w:tcBorders>
              <w:bottom w:val="single" w:sz="8" w:color="auto"/>
            </w:tcBorders>
            <w:vMerge w:val="continue"/>
          </w:tcPr>
          <w:p>
            <w:pPr>
              <w:spacing w:after="0"/>
              <w:rPr>
                <w:sz w:val="16"/>
                <w:szCs w:val="16"/>
                <w:color w:val="auto"/>
              </w:rPr>
            </w:pPr>
          </w:p>
        </w:tc>
        <w:tc>
          <w:tcPr>
            <w:tcW w:w="17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93"/>
              </w:rPr>
              <w:t>Rate (per share)</w:t>
            </w:r>
          </w:p>
        </w:tc>
        <w:tc>
          <w:tcPr>
            <w:tcW w:w="0" w:type="dxa"/>
            <w:vAlign w:val="bottom"/>
          </w:tcPr>
          <w:p>
            <w:pPr>
              <w:spacing w:after="0"/>
              <w:rPr>
                <w:sz w:val="1"/>
                <w:szCs w:val="1"/>
                <w:color w:val="auto"/>
              </w:rPr>
            </w:pPr>
          </w:p>
        </w:tc>
      </w:tr>
      <w:tr>
        <w:trPr>
          <w:trHeight w:val="243"/>
        </w:trPr>
        <w:tc>
          <w:tcPr>
            <w:tcW w:w="164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D</w:t>
            </w:r>
          </w:p>
        </w:tc>
        <w:tc>
          <w:tcPr>
            <w:tcW w:w="1740" w:type="dxa"/>
            <w:vAlign w:val="bottom"/>
          </w:tcPr>
          <w:p>
            <w:pPr>
              <w:jc w:val="right"/>
              <w:ind w:right="15"/>
              <w:spacing w:after="0"/>
              <w:rPr>
                <w:sz w:val="20"/>
                <w:szCs w:val="20"/>
                <w:color w:val="auto"/>
              </w:rPr>
            </w:pPr>
            <w:r>
              <w:rPr>
                <w:rFonts w:ascii="Arial" w:cs="Arial" w:eastAsia="Arial" w:hAnsi="Arial"/>
                <w:sz w:val="18"/>
                <w:szCs w:val="18"/>
                <w:color w:val="auto"/>
              </w:rPr>
              <w:t>4,000</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0.001</w:t>
            </w: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$25.00</w:t>
            </w:r>
          </w:p>
        </w:tc>
        <w:tc>
          <w:tcPr>
            <w:tcW w:w="1760" w:type="dxa"/>
            <w:vAlign w:val="bottom"/>
          </w:tcPr>
          <w:p>
            <w:pPr>
              <w:jc w:val="right"/>
              <w:spacing w:after="0"/>
              <w:rPr>
                <w:sz w:val="20"/>
                <w:szCs w:val="20"/>
                <w:color w:val="auto"/>
              </w:rPr>
            </w:pPr>
            <w:r>
              <w:rPr>
                <w:rFonts w:ascii="Arial" w:cs="Arial" w:eastAsia="Arial" w:hAnsi="Arial"/>
                <w:sz w:val="18"/>
                <w:szCs w:val="18"/>
                <w:color w:val="auto"/>
              </w:rPr>
              <w:t>8.000%</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6"/>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7"/>
        </w:trPr>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E</w:t>
            </w:r>
          </w:p>
        </w:tc>
        <w:tc>
          <w:tcPr>
            <w:tcW w:w="1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5,600</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0.001</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7.875%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43"/>
        </w:trPr>
        <w:tc>
          <w:tcPr>
            <w:tcW w:w="16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F</w:t>
            </w:r>
          </w:p>
        </w:tc>
        <w:tc>
          <w:tcPr>
            <w:tcW w:w="1740" w:type="dxa"/>
            <w:vAlign w:val="bottom"/>
          </w:tcPr>
          <w:p>
            <w:pPr>
              <w:jc w:val="right"/>
              <w:ind w:right="15"/>
              <w:spacing w:after="0"/>
              <w:rPr>
                <w:sz w:val="20"/>
                <w:szCs w:val="20"/>
                <w:color w:val="auto"/>
              </w:rPr>
            </w:pPr>
            <w:r>
              <w:rPr>
                <w:rFonts w:ascii="Arial" w:cs="Arial" w:eastAsia="Arial" w:hAnsi="Arial"/>
                <w:sz w:val="18"/>
                <w:szCs w:val="18"/>
                <w:color w:val="auto"/>
              </w:rPr>
              <w:t>4,000</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0.001</w:t>
            </w: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$25.00</w:t>
            </w:r>
          </w:p>
        </w:tc>
        <w:tc>
          <w:tcPr>
            <w:tcW w:w="1760" w:type="dxa"/>
            <w:vAlign w:val="bottom"/>
          </w:tcPr>
          <w:p>
            <w:pPr>
              <w:jc w:val="right"/>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6"/>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7"/>
        </w:trPr>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5"/>
              </w:rPr>
              <w:t>G</w:t>
            </w:r>
          </w:p>
        </w:tc>
        <w:tc>
          <w:tcPr>
            <w:tcW w:w="1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3,200</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0.001</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43"/>
        </w:trPr>
        <w:tc>
          <w:tcPr>
            <w:tcW w:w="1640" w:type="dxa"/>
            <w:vAlign w:val="bottom"/>
            <w:gridSpan w:val="2"/>
          </w:tcPr>
          <w:p>
            <w:pPr>
              <w:jc w:val="center"/>
              <w:ind w:right="100"/>
              <w:spacing w:after="0"/>
              <w:rPr>
                <w:sz w:val="20"/>
                <w:szCs w:val="20"/>
                <w:color w:val="auto"/>
              </w:rPr>
            </w:pPr>
            <w:r>
              <w:rPr>
                <w:rFonts w:ascii="Arial" w:cs="Arial" w:eastAsia="Arial" w:hAnsi="Arial"/>
                <w:sz w:val="18"/>
                <w:szCs w:val="18"/>
                <w:color w:val="auto"/>
              </w:rPr>
              <w:t>I</w:t>
            </w:r>
          </w:p>
        </w:tc>
        <w:tc>
          <w:tcPr>
            <w:tcW w:w="1740" w:type="dxa"/>
            <w:vAlign w:val="bottom"/>
          </w:tcPr>
          <w:p>
            <w:pPr>
              <w:jc w:val="right"/>
              <w:ind w:right="15"/>
              <w:spacing w:after="0"/>
              <w:rPr>
                <w:sz w:val="20"/>
                <w:szCs w:val="20"/>
                <w:color w:val="auto"/>
              </w:rPr>
            </w:pPr>
            <w:r>
              <w:rPr>
                <w:rFonts w:ascii="Arial" w:cs="Arial" w:eastAsia="Arial" w:hAnsi="Arial"/>
                <w:sz w:val="18"/>
                <w:szCs w:val="18"/>
                <w:color w:val="auto"/>
              </w:rPr>
              <w:t>5,000</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0.001</w:t>
            </w: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$25.00</w:t>
            </w:r>
          </w:p>
        </w:tc>
        <w:tc>
          <w:tcPr>
            <w:tcW w:w="1760" w:type="dxa"/>
            <w:vAlign w:val="bottom"/>
          </w:tcPr>
          <w:p>
            <w:pPr>
              <w:jc w:val="right"/>
              <w:spacing w:after="0"/>
              <w:rPr>
                <w:sz w:val="20"/>
                <w:szCs w:val="20"/>
                <w:color w:val="auto"/>
              </w:rPr>
            </w:pPr>
            <w:r>
              <w:rPr>
                <w:rFonts w:ascii="Arial" w:cs="Arial" w:eastAsia="Arial" w:hAnsi="Arial"/>
                <w:sz w:val="18"/>
                <w:szCs w:val="18"/>
                <w:color w:val="auto"/>
              </w:rPr>
              <w:t>7.50%</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6"/>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7"/>
        </w:trPr>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6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J</w:t>
            </w:r>
          </w:p>
        </w:tc>
        <w:tc>
          <w:tcPr>
            <w:tcW w:w="1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4,000</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0.001</w:t>
            </w:r>
          </w:p>
        </w:tc>
        <w:tc>
          <w:tcPr>
            <w:tcW w:w="12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37"/>
        </w:trPr>
        <w:tc>
          <w:tcPr>
            <w:tcW w:w="1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4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25,800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Notes:</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51" w:lineRule="exact"/>
        <w:rPr>
          <w:sz w:val="20"/>
          <w:szCs w:val="20"/>
          <w:color w:val="auto"/>
        </w:rPr>
      </w:pPr>
    </w:p>
    <w:p>
      <w:pPr>
        <w:jc w:val="both"/>
        <w:ind w:left="660" w:hanging="652"/>
        <w:spacing w:after="0" w:line="244" w:lineRule="auto"/>
        <w:tabs>
          <w:tab w:leader="none" w:pos="6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Holders of shares of the Series D, E, F, G, I and J preferred stock are entitled to receive dividends, when and as declared by the Board of Directors, out of funds legally available for the payment of dividends. Dividends are cumulative from the date of original issue and are payable quarterly in arrears on or before the 15th day of each March, June, September and December or, if not a business day, the next succeeding business day. Any dividend payable on the preferred stock for any partial dividend period will be computed on the basis of a 360-day year consisting of twelve 30-day months. Dividends will be payable to holders of record as of the close of business on the first day of the calendar month in which the applicable dividend payment date falls or on another date designated by the Board of Directors of the Company for the payment of dividends that is not more than 30 nor less than 10 days prior to the dividend payment date.</w:t>
      </w:r>
    </w:p>
    <w:p>
      <w:pPr>
        <w:spacing w:after="0" w:line="2" w:lineRule="exact"/>
        <w:rPr>
          <w:rFonts w:ascii="Arial" w:cs="Arial" w:eastAsia="Arial" w:hAnsi="Arial"/>
          <w:sz w:val="14"/>
          <w:szCs w:val="14"/>
          <w:color w:val="auto"/>
        </w:rPr>
      </w:pPr>
    </w:p>
    <w:p>
      <w:pPr>
        <w:jc w:val="both"/>
        <w:ind w:left="660" w:hanging="652"/>
        <w:spacing w:after="0" w:line="248" w:lineRule="auto"/>
        <w:tabs>
          <w:tab w:leader="none" w:pos="6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Company declared and paid dividends of $2.0 million, $2.8 million, $2.0 million, $1.5 million and $2.3 million on its Series D, E, F, G and I preferred stock during the three months ended March 31, 2014 and 2013. The Company declared and paid dividends of $2.3 million on its Series J preferred stock during the three months ended March 31, 2014. All of the dividends qualified as return of capital for tax reporting purposes. There are no dividend arrearages on any of the preferred shares currently outstanding.</w:t>
      </w:r>
    </w:p>
    <w:p>
      <w:pPr>
        <w:spacing w:after="0" w:line="142"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In March 2013, the Company completed a public offering of $200.0 million of its 4.5% Series J Cumulative Convertible Perpetual Preferred Stock, having a liquidation preference of $50.00 per share. Each share of the Series J Preferred Stock is convertible at the holder's option at any time, initially into 3.9087 shares of the Company's common stock (equal to an initial conversion price of approximately $12.79 per share), subject to specified adjustments. The Company may not redeem the Series J Preferred Stock prior to March 15, 2018. On or after March 15, 2018, the Company may, at its option, redeem the Series J Preferred Stock, in whole or in part, at any time and from time to time, for cash at a redemption price equal to 100% of the liquidation preference of $50.00 per share, plus accrued and unpaid dividends, if any, to the redemption date.</w:t>
      </w:r>
    </w:p>
    <w:p>
      <w:pPr>
        <w:spacing w:after="0" w:line="138"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Series D, E, F, G and I Cumulative Redeemable Preferred Stock are redeemable without premium at the option of the Company at their respective liquidation preferences.</w:t>
      </w:r>
    </w:p>
    <w:p>
      <w:pPr>
        <w:spacing w:after="0" w:line="126" w:lineRule="exact"/>
        <w:rPr>
          <w:sz w:val="20"/>
          <w:szCs w:val="20"/>
          <w:color w:val="auto"/>
        </w:rPr>
      </w:pPr>
    </w:p>
    <w:p>
      <w:pPr>
        <w:jc w:val="both"/>
        <w:ind w:firstLine="432"/>
        <w:spacing w:after="0" w:line="288" w:lineRule="auto"/>
        <w:rPr>
          <w:sz w:val="20"/>
          <w:szCs w:val="20"/>
          <w:color w:val="auto"/>
        </w:rPr>
      </w:pPr>
      <w:r>
        <w:rPr>
          <w:rFonts w:ascii="Arial" w:cs="Arial" w:eastAsia="Arial" w:hAnsi="Arial"/>
          <w:sz w:val="16"/>
          <w:szCs w:val="16"/>
          <w:b w:val="1"/>
          <w:bCs w:val="1"/>
          <w:color w:val="auto"/>
        </w:rPr>
        <w:t>Dividends</w:t>
      </w:r>
      <w:r>
        <w:rPr>
          <w:rFonts w:ascii="Arial" w:cs="Arial" w:eastAsia="Arial" w:hAnsi="Arial"/>
          <w:sz w:val="16"/>
          <w:szCs w:val="16"/>
          <w:color w:val="auto"/>
        </w:rPr>
        <w:t>—In order to maintain its election to qualify as a REIT, the Company must currently distribute, at a minimum, an amount equal to 90% of its</w:t>
      </w:r>
      <w:r>
        <w:rPr>
          <w:rFonts w:ascii="Arial" w:cs="Arial" w:eastAsia="Arial" w:hAnsi="Arial"/>
          <w:sz w:val="16"/>
          <w:szCs w:val="16"/>
          <w:b w:val="1"/>
          <w:bCs w:val="1"/>
          <w:color w:val="auto"/>
        </w:rPr>
        <w:t xml:space="preserve"> </w:t>
      </w:r>
      <w:r>
        <w:rPr>
          <w:rFonts w:ascii="Arial" w:cs="Arial" w:eastAsia="Arial" w:hAnsi="Arial"/>
          <w:sz w:val="16"/>
          <w:szCs w:val="16"/>
          <w:color w:val="auto"/>
        </w:rPr>
        <w:t>taxable income, excluding net capital gains, and must distribute 100% of its taxable income (including net capital gains) to avoid paying corporate federal income taxes. The Company has recorded net operating losses and may record net operating losses in the future, which may reduce its taxable income in future periods and lower or eliminate entirely the Company's obligation to pay dividends for such periods in order to maintain its REIT qualification. As of March 31, 2014, the Company had $608.0 million of net operating loss carryforwards based on its most recently filed tax return at the corporate REIT level that can generally be used to offset both ordinary and capital taxable income in future years and will expire through 2032 if unused. The amount of net operating loss carryforwards as of December 31, 2013 will be subject to finalization of the 2013 tax returns. Because taxable income differs from cash flow from operations due to non-cash revenues and expenses (such as depreciation and certain asset impairments), in certain circumstances, the Company may generate operating cash flow in excess of its dividends or, alternatively, may need to make dividend payments in excess of operating cash flows. The Company's 2013 and 2012 Secured Credit Facilities permit the Company to distribute 100% of its REIT taxable income on an annual basis, for so long as the Company maintains its qualification as a REIT. The 2013 and 2012 Secured Credit Facilities restrict the Company from p</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1" w:right="239" w:bottom="1440" w:gutter="0" w:footer="0" w:header="0"/>
        </w:sectPr>
      </w:pPr>
    </w:p>
    <w:bookmarkStart w:id="25" w:name="page26"/>
    <w:bookmarkEnd w:id="25"/>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aying any common dividends if it ceases to qualify as a REIT. The Company did not declare or pay any Common Stock dividends for the three months ended March 31, 2014 and 2013.</w:t>
      </w:r>
    </w:p>
    <w:p>
      <w:pPr>
        <w:spacing w:after="0" w:line="166"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8"/>
          <w:szCs w:val="18"/>
          <w:b w:val="1"/>
          <w:bCs w:val="1"/>
          <w:color w:val="auto"/>
        </w:rPr>
        <w:t>Stock Repurchase Programs</w:t>
      </w:r>
      <w:r>
        <w:rPr>
          <w:rFonts w:ascii="Arial" w:cs="Arial" w:eastAsia="Arial" w:hAnsi="Arial"/>
          <w:sz w:val="18"/>
          <w:szCs w:val="18"/>
          <w:color w:val="auto"/>
        </w:rPr>
        <w:t>—On May 15, 2012, the Company's Board of Directors approved a stock repurchase program that authorized the</w:t>
      </w:r>
      <w:r>
        <w:rPr>
          <w:rFonts w:ascii="Arial" w:cs="Arial" w:eastAsia="Arial" w:hAnsi="Arial"/>
          <w:sz w:val="18"/>
          <w:szCs w:val="18"/>
          <w:b w:val="1"/>
          <w:bCs w:val="1"/>
          <w:color w:val="auto"/>
        </w:rPr>
        <w:t xml:space="preserve"> </w:t>
      </w:r>
      <w:r>
        <w:rPr>
          <w:rFonts w:ascii="Arial" w:cs="Arial" w:eastAsia="Arial" w:hAnsi="Arial"/>
          <w:sz w:val="18"/>
          <w:szCs w:val="18"/>
          <w:color w:val="auto"/>
        </w:rPr>
        <w:t>repurchase of up to $20.0 million of its Common Stock from time to time in open market and privately negotiated purchases, including pursuant to one or more trading plans. In September 2013, the Company's Board of Directors approved an increase in the repurchase limit to $50.0 million from the $16.0 million that remained from the previously approved program. There were no stock repurchases during the three months ended March 31, 2014. As of March 31, 2014, the Company had remaining authorization to repurchase up to $29.0 million of Common Stock out of the $50.0 million authorized by its Board in 2013.</w:t>
      </w:r>
    </w:p>
    <w:p>
      <w:pPr>
        <w:spacing w:after="0" w:line="188" w:lineRule="exact"/>
        <w:rPr>
          <w:sz w:val="20"/>
          <w:szCs w:val="20"/>
          <w:color w:val="auto"/>
        </w:rPr>
      </w:pPr>
    </w:p>
    <w:p>
      <w:pPr>
        <w:jc w:val="both"/>
        <w:ind w:right="20" w:firstLine="432"/>
        <w:spacing w:after="0" w:line="282" w:lineRule="auto"/>
        <w:rPr>
          <w:sz w:val="20"/>
          <w:szCs w:val="20"/>
          <w:color w:val="auto"/>
        </w:rPr>
      </w:pPr>
      <w:r>
        <w:rPr>
          <w:rFonts w:ascii="Arial" w:cs="Arial" w:eastAsia="Arial" w:hAnsi="Arial"/>
          <w:sz w:val="18"/>
          <w:szCs w:val="18"/>
          <w:b w:val="1"/>
          <w:bCs w:val="1"/>
          <w:color w:val="auto"/>
        </w:rPr>
        <w:t>Accumulated Other Comprehensive Income (Loss)</w:t>
      </w:r>
      <w:r>
        <w:rPr>
          <w:rFonts w:ascii="Arial" w:cs="Arial" w:eastAsia="Arial" w:hAnsi="Arial"/>
          <w:sz w:val="18"/>
          <w:szCs w:val="18"/>
          <w:color w:val="auto"/>
        </w:rPr>
        <w:t>—"Accumulated other comprehensive income (loss)" reflected in the Company's shareholders'</w:t>
      </w:r>
      <w:r>
        <w:rPr>
          <w:rFonts w:ascii="Arial" w:cs="Arial" w:eastAsia="Arial" w:hAnsi="Arial"/>
          <w:sz w:val="18"/>
          <w:szCs w:val="18"/>
          <w:b w:val="1"/>
          <w:bCs w:val="1"/>
          <w:color w:val="auto"/>
        </w:rPr>
        <w:t xml:space="preserve"> </w:t>
      </w:r>
      <w:r>
        <w:rPr>
          <w:rFonts w:ascii="Arial" w:cs="Arial" w:eastAsia="Arial" w:hAnsi="Arial"/>
          <w:sz w:val="18"/>
          <w:szCs w:val="18"/>
          <w:color w:val="auto"/>
        </w:rPr>
        <w:t>equity is comprised of the following ($ in thousands):</w:t>
      </w:r>
    </w:p>
    <w:p>
      <w:pPr>
        <w:spacing w:after="0" w:line="171"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8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w:t>
            </w:r>
          </w:p>
        </w:tc>
        <w:tc>
          <w:tcPr>
            <w:tcW w:w="1500" w:type="dxa"/>
            <w:vAlign w:val="bottom"/>
            <w:tcBorders>
              <w:bottom w:val="single" w:sz="8" w:color="auto"/>
            </w:tcBorders>
          </w:tcPr>
          <w:p>
            <w:pPr>
              <w:spacing w:after="0"/>
              <w:rPr>
                <w:sz w:val="16"/>
                <w:szCs w:val="16"/>
                <w:color w:val="auto"/>
              </w:rPr>
            </w:pPr>
          </w:p>
        </w:tc>
      </w:tr>
      <w:tr>
        <w:trPr>
          <w:trHeight w:val="264"/>
        </w:trPr>
        <w:tc>
          <w:tcPr>
            <w:tcW w:w="78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6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 2014</w:t>
            </w:r>
          </w:p>
        </w:tc>
        <w:tc>
          <w:tcPr>
            <w:tcW w:w="200" w:type="dxa"/>
            <w:vAlign w:val="bottom"/>
          </w:tcPr>
          <w:p>
            <w:pPr>
              <w:spacing w:after="0"/>
              <w:rPr>
                <w:sz w:val="22"/>
                <w:szCs w:val="22"/>
                <w:color w:val="auto"/>
              </w:rPr>
            </w:pPr>
          </w:p>
        </w:tc>
        <w:tc>
          <w:tcPr>
            <w:tcW w:w="1500" w:type="dxa"/>
            <w:vAlign w:val="bottom"/>
          </w:tcPr>
          <w:p>
            <w:pPr>
              <w:jc w:val="right"/>
              <w:ind w:right="174"/>
              <w:spacing w:after="0"/>
              <w:rPr>
                <w:sz w:val="20"/>
                <w:szCs w:val="20"/>
                <w:color w:val="auto"/>
              </w:rPr>
            </w:pPr>
            <w:r>
              <w:rPr>
                <w:rFonts w:ascii="Arial" w:cs="Arial" w:eastAsia="Arial" w:hAnsi="Arial"/>
                <w:sz w:val="14"/>
                <w:szCs w:val="14"/>
                <w:b w:val="1"/>
                <w:bCs w:val="1"/>
                <w:color w:val="auto"/>
                <w:w w:val="96"/>
              </w:rPr>
              <w:t>December 31, 2013</w:t>
            </w:r>
          </w:p>
        </w:tc>
      </w:tr>
      <w:tr>
        <w:trPr>
          <w:trHeight w:val="250"/>
        </w:trPr>
        <w:tc>
          <w:tcPr>
            <w:tcW w:w="7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Unrealized losses on available-for-sale securities</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w:t>
            </w:r>
          </w:p>
        </w:tc>
      </w:tr>
      <w:tr>
        <w:trPr>
          <w:trHeight w:val="243"/>
        </w:trPr>
        <w:tc>
          <w:tcPr>
            <w:tcW w:w="7860" w:type="dxa"/>
            <w:vAlign w:val="bottom"/>
          </w:tcPr>
          <w:p>
            <w:pPr>
              <w:ind w:left="20"/>
              <w:spacing w:after="0"/>
              <w:rPr>
                <w:sz w:val="20"/>
                <w:szCs w:val="20"/>
                <w:color w:val="auto"/>
              </w:rPr>
            </w:pPr>
            <w:r>
              <w:rPr>
                <w:rFonts w:ascii="Arial" w:cs="Arial" w:eastAsia="Arial" w:hAnsi="Arial"/>
                <w:sz w:val="18"/>
                <w:szCs w:val="18"/>
                <w:color w:val="auto"/>
              </w:rPr>
              <w:t>Unrealized gains (losses) on cash flow hedges</w:t>
            </w:r>
          </w:p>
        </w:tc>
        <w:tc>
          <w:tcPr>
            <w:tcW w:w="2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(965)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662</w:t>
            </w:r>
          </w:p>
        </w:tc>
      </w:tr>
      <w:tr>
        <w:trPr>
          <w:trHeight w:val="27"/>
        </w:trPr>
        <w:tc>
          <w:tcPr>
            <w:tcW w:w="7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Unrealized losses on cumulative translation adjustment</w:t>
            </w:r>
          </w:p>
        </w:tc>
        <w:tc>
          <w:tcPr>
            <w:tcW w:w="2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(4,481)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(4,644)</w:t>
            </w:r>
          </w:p>
        </w:tc>
      </w:tr>
      <w:tr>
        <w:trPr>
          <w:trHeight w:val="257"/>
        </w:trPr>
        <w:tc>
          <w:tcPr>
            <w:tcW w:w="7860" w:type="dxa"/>
            <w:vAlign w:val="bottom"/>
          </w:tcPr>
          <w:p>
            <w:pPr>
              <w:ind w:left="20"/>
              <w:spacing w:after="0"/>
              <w:rPr>
                <w:sz w:val="20"/>
                <w:szCs w:val="20"/>
                <w:color w:val="auto"/>
              </w:rPr>
            </w:pPr>
            <w:r>
              <w:rPr>
                <w:rFonts w:ascii="Arial" w:cs="Arial" w:eastAsia="Arial" w:hAnsi="Arial"/>
                <w:sz w:val="18"/>
                <w:szCs w:val="18"/>
                <w:color w:val="auto"/>
              </w:rPr>
              <w:t>Accumulated other comprehensive income (loss)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(5,672)</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(4,276)</w:t>
            </w:r>
          </w:p>
        </w:tc>
      </w:tr>
      <w:tr>
        <w:trPr>
          <w:trHeight w:val="20"/>
        </w:trPr>
        <w:tc>
          <w:tcPr>
            <w:tcW w:w="7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12—Stock-Based Compensation Plans and Employee Benefits</w:t>
      </w:r>
    </w:p>
    <w:p>
      <w:pPr>
        <w:spacing w:after="0" w:line="22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7"/>
          <w:szCs w:val="17"/>
          <w:b w:val="1"/>
          <w:bCs w:val="1"/>
          <w:color w:val="auto"/>
        </w:rPr>
        <w:t>Stock-based Compensation</w:t>
      </w:r>
      <w:r>
        <w:rPr>
          <w:rFonts w:ascii="Arial" w:cs="Arial" w:eastAsia="Arial" w:hAnsi="Arial"/>
          <w:sz w:val="17"/>
          <w:szCs w:val="17"/>
          <w:color w:val="auto"/>
        </w:rPr>
        <w:t>—The Company recorded stock-based compensation expense of $2.1 million and $5.2 million for the three months ended</w:t>
      </w:r>
      <w:r>
        <w:rPr>
          <w:rFonts w:ascii="Arial" w:cs="Arial" w:eastAsia="Arial" w:hAnsi="Arial"/>
          <w:sz w:val="17"/>
          <w:szCs w:val="17"/>
          <w:b w:val="1"/>
          <w:bCs w:val="1"/>
          <w:color w:val="auto"/>
        </w:rPr>
        <w:t xml:space="preserve"> </w:t>
      </w:r>
      <w:r>
        <w:rPr>
          <w:rFonts w:ascii="Arial" w:cs="Arial" w:eastAsia="Arial" w:hAnsi="Arial"/>
          <w:sz w:val="17"/>
          <w:szCs w:val="17"/>
          <w:color w:val="auto"/>
        </w:rPr>
        <w:t>March 31, 2014 and 2013, respectively, in "General and administrative" on the Company's Consolidated Statements of Operations. As of March 31, 2014, there was $5.0 million of total unrecognized compensation cost related to all unvested restricted stock units that are expected to be recognized over a weighted average remaining vesting/service period of 0.86 years. As of March 31, 2014, approximately $0.6 million of stock-based compensation was included in "Accounts payable, accrued expenses and other liabilities" on the Company's Consolidated Balance Sheets.</w:t>
      </w:r>
    </w:p>
    <w:p>
      <w:pPr>
        <w:spacing w:after="0" w:line="172"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As of March 31, 2014, an aggregate of 4.0 million shares remain available for issuance pursuant to future awards under the Company's 2006 and 2009 Long-Term Incentive Plans.</w:t>
      </w:r>
    </w:p>
    <w:p>
      <w:pPr>
        <w:spacing w:after="0" w:line="170"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b w:val="1"/>
          <w:bCs w:val="1"/>
          <w:i w:val="1"/>
          <w:iCs w:val="1"/>
          <w:color w:val="auto"/>
        </w:rPr>
        <w:t>2014 Activity</w:t>
      </w:r>
      <w:r>
        <w:rPr>
          <w:rFonts w:ascii="Arial" w:cs="Arial" w:eastAsia="Arial" w:hAnsi="Arial"/>
          <w:sz w:val="17"/>
          <w:szCs w:val="17"/>
          <w:color w:val="auto"/>
        </w:rPr>
        <w:t>—During the three months ended March 31, 2014, 1,736,053 restricted stock units, or Units, that were previously granted became vested,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resulting in the issuance of 898,598 shares of our Common Stock to employees, net of statutory minimum required tax withholdings. These vested Units were comprised of 1,696,053 Units which vested in January 2014, and 40,000 service-based Units granted to certain employees in March 2011 that cliff vested in March 2014. In addition, 229,235 fully-vested shares of our Common Stock were granted to employees in January 2014, subject to restrictions on transfer, pursuant to our annual incentive award program which included a mix of cash and equity awards (see below).</w:t>
      </w:r>
    </w:p>
    <w:p>
      <w:pPr>
        <w:spacing w:after="0" w:line="173"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During the three months ended March 31, 2014, the Company granted stock-based compensation awards to certain employees in the form of annual incentive awards and long-term incentive awards:</w:t>
      </w:r>
    </w:p>
    <w:p>
      <w:pPr>
        <w:spacing w:after="0" w:line="130"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Effective January 10, 2014, the Company granted 229,235 shares of our Common Stock to certain employees as part of annual incentive awards which included a mix of cash and equity awards. The shares are fully-vested and were issued net of statutory minimum required tax withholdings. The employees are restricted from selling these shares for up to two years from the date of grant.</w:t>
      </w:r>
    </w:p>
    <w:p>
      <w:pPr>
        <w:spacing w:after="0" w:line="14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Effective January 10, 2014, the Company also granted 67,637 service-based Units representing the right to receive an equivalent number of shares of our Common Stock (after deducting shares for minimum required statutory withholdings) if and when the Units vest. The Units will cliff vest in one installment three years from the grant date, if the employee remains employed by the Company on the vesting date, subject to certain accelerated vesting rights. Dividends will accrue but will not be paid unless and until the Units vest and are settled. As of March 31, 2014, 66,564 of such service-based Units were outstanding.</w:t>
      </w:r>
    </w:p>
    <w:p>
      <w:pPr>
        <w:spacing w:after="0" w:line="148"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Effective January 10, 2014, the Company also granted 51,726 target amount of performance-based Units based on the Company's total shareholder return, or TSR, measured over a performance period ending on December 31, 2016, which is the vesting date. Vesting will range from 0% to 200% of the target amount of the award, depending on the Company's TSR performance</w:t>
      </w:r>
    </w:p>
    <w:p>
      <w:pPr>
        <w:sectPr>
          <w:pgSz w:w="11900" w:h="16838" w:orient="portrait"/>
          <w:cols w:equalWidth="0" w:num="1">
            <w:col w:w="11420"/>
          </w:cols>
          <w:pgMar w:left="240" w:top="121" w:right="239"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121" w:right="23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1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relative to the NAREIT All REITs Index (one-half of the target amount of the award) and the Russell 2000 Index (one-half of the target amount of the award). The Company as well as any companies not included in the index at the beginning and end of the performance period are excluded from calculation of the performance of such index. To the extent Units vest based on the Company's TSR performance, holders will receive an equivalent number of shares of our Common Stock (after deducting shares for minimum required statutory withholdings), if the employee remains employed by the Company on the vesting date, subject to certain accelerated vesting rights. Dividends will accrue but will not be paid unless and until the Units vest and are settled. The fair values of the performance-based Units were determined by utilizing a Monte Carlo model to simulate a range of possible future stock prices for the Company's Common Stock. The assumptions used to estimate the fair value of these performance-based awards were 0.76% for risk-free interest rate and 44.84% for expected stock price volatility. As of March 31, 2014, 51,458 Units were outstanding.</w:t>
      </w:r>
    </w:p>
    <w:p>
      <w:pPr>
        <w:spacing w:after="0" w:line="13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March 31, 2014, the Company had the following additional stock-based compensation awards outstanding:</w:t>
      </w:r>
    </w:p>
    <w:p>
      <w:pPr>
        <w:spacing w:after="0" w:line="225" w:lineRule="exact"/>
        <w:rPr>
          <w:sz w:val="20"/>
          <w:szCs w:val="20"/>
          <w:color w:val="auto"/>
        </w:rPr>
      </w:pPr>
    </w:p>
    <w:p>
      <w:pPr>
        <w:jc w:val="both"/>
        <w:ind w:left="660" w:hanging="247"/>
        <w:spacing w:after="0" w:line="279" w:lineRule="auto"/>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195,382 service-based Units, granted on February 1, 2013, representing the right to receive an equivalent number of shares of our Common Stock (after deducting shares for minimum required statutory withholdings) if and when the Units vest. The Units will cliff vest in one installment on February 1, 2016, three years from the grant date, if the employee remains employed by the Company on the vesting date, subject to certain accelerated vesting rights. Dividends will accrue but will not be paid unless and until the Units vest and are settled.</w:t>
      </w:r>
    </w:p>
    <w:p>
      <w:pPr>
        <w:spacing w:after="0" w:line="130" w:lineRule="exact"/>
        <w:rPr>
          <w:rFonts w:ascii="Arial" w:cs="Arial" w:eastAsia="Arial" w:hAnsi="Arial"/>
          <w:sz w:val="17"/>
          <w:szCs w:val="17"/>
          <w:color w:val="auto"/>
        </w:rPr>
      </w:pPr>
    </w:p>
    <w:p>
      <w:pPr>
        <w:jc w:val="both"/>
        <w:ind w:left="660" w:hanging="247"/>
        <w:spacing w:after="0" w:line="269" w:lineRule="auto"/>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195,209 target amount of performance-based Units, granted on February 1, 2013, representing the right to receive shares of our Common Stock (after deducting shares for minimum required statutory withholdings) if and when the Units vest based on the Company's total shareholder return, or TSR, measured over a performance period ending on the vesting date of December 31, 2014, which is the vesting date. Vesting will range from 0% to 200% of the target amount of the awards, depending on the Company's TSR performance relative to the NAREIT All REITs Index (one-half of the target amount of the award) and the Russell 2000 Index (one-half of the target amount of the award). The Company and any companies not included in the index at the beginning and end of the performance period are excluded from calculation of the performance of such index. To the extent these Units vest based on the Company's TSR performance, holders will receive an equivalent number of shares of our Common Stock (after deducting shares for minimum required statutory withholdings), if the employee remains employed by the Company on the vesting date, subject to certain accelerated vesting rights. Dividends will accrue but will not be paid unless and until the Units vest and are settled. The fair values of the performance-based Units were determined by utilizing a Monte Carlo model to simulate a range of possible future stock prices for the Company's Common Stock. The assumptions used to estimate the fair value of these performance-based awards were 0.26% for risk-free interest rate and 50.44% for expected stock price volatility.</w:t>
      </w:r>
    </w:p>
    <w:p>
      <w:pPr>
        <w:spacing w:after="0" w:line="139" w:lineRule="exact"/>
        <w:rPr>
          <w:rFonts w:ascii="Arial" w:cs="Arial" w:eastAsia="Arial" w:hAnsi="Arial"/>
          <w:sz w:val="17"/>
          <w:szCs w:val="17"/>
          <w:color w:val="auto"/>
        </w:rPr>
      </w:pPr>
    </w:p>
    <w:p>
      <w:pPr>
        <w:jc w:val="both"/>
        <w:ind w:left="660" w:hanging="247"/>
        <w:spacing w:after="0" w:line="259"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600,000 service-based Units granted to the Company's Chairman and Chief Executive Officer in October 2011 that will vest on June 15, 2014. Upon vesting of these Units, the holder will receive shares of the Company's Common Stock in the amount of the vested Units, net of statutory minimum required tax withholdings. These awards carry dividend equivalent rights that entitle the holder to receive dividend payments prior to vesting, if and when dividends are paid on shares of the Company's Common Stock.</w:t>
      </w:r>
    </w:p>
    <w:p>
      <w:pPr>
        <w:spacing w:after="0" w:line="146" w:lineRule="exact"/>
        <w:rPr>
          <w:rFonts w:ascii="Arial" w:cs="Arial" w:eastAsia="Arial" w:hAnsi="Arial"/>
          <w:sz w:val="18"/>
          <w:szCs w:val="18"/>
          <w:color w:val="auto"/>
        </w:rPr>
      </w:pPr>
    </w:p>
    <w:p>
      <w:pPr>
        <w:jc w:val="both"/>
        <w:ind w:left="660" w:hanging="247"/>
        <w:spacing w:after="0" w:line="259"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50,666 service-based Units granted on various dates to employees with an original vesting term of three years. Upon vesting of these units, holders will receive shares of the Company's Common Stock in the amount of the vested units, net of statutory minimum required tax withholdings. These awards carry dividend equivalent rights that entitle the holders to receive dividend payments prior to vesting, if and when dividends are paid on shares of the Company's Common Stock.</w:t>
      </w:r>
    </w:p>
    <w:p>
      <w:pPr>
        <w:spacing w:after="0" w:line="142" w:lineRule="exact"/>
        <w:rPr>
          <w:sz w:val="20"/>
          <w:szCs w:val="20"/>
          <w:color w:val="auto"/>
        </w:rPr>
      </w:pPr>
    </w:p>
    <w:p>
      <w:pPr>
        <w:jc w:val="both"/>
        <w:ind w:firstLine="432"/>
        <w:spacing w:after="0" w:line="261" w:lineRule="auto"/>
        <w:rPr>
          <w:sz w:val="20"/>
          <w:szCs w:val="20"/>
          <w:color w:val="auto"/>
        </w:rPr>
      </w:pPr>
      <w:r>
        <w:rPr>
          <w:rFonts w:ascii="Arial" w:cs="Arial" w:eastAsia="Arial" w:hAnsi="Arial"/>
          <w:sz w:val="18"/>
          <w:szCs w:val="18"/>
          <w:b w:val="1"/>
          <w:bCs w:val="1"/>
          <w:color w:val="auto"/>
        </w:rPr>
        <w:t>Directors' Awards</w:t>
      </w:r>
      <w:r>
        <w:rPr>
          <w:rFonts w:ascii="Arial" w:cs="Arial" w:eastAsia="Arial" w:hAnsi="Arial"/>
          <w:sz w:val="18"/>
          <w:szCs w:val="18"/>
          <w:color w:val="auto"/>
        </w:rPr>
        <w:t>—During the three months ended March 31, 2014, the Company issued 55,076 shares of our Common Stock to a former director in</w:t>
      </w:r>
      <w:r>
        <w:rPr>
          <w:rFonts w:ascii="Arial" w:cs="Arial" w:eastAsia="Arial" w:hAnsi="Arial"/>
          <w:sz w:val="18"/>
          <w:szCs w:val="18"/>
          <w:b w:val="1"/>
          <w:bCs w:val="1"/>
          <w:color w:val="auto"/>
        </w:rPr>
        <w:t xml:space="preserve"> </w:t>
      </w:r>
      <w:r>
        <w:rPr>
          <w:rFonts w:ascii="Arial" w:cs="Arial" w:eastAsia="Arial" w:hAnsi="Arial"/>
          <w:sz w:val="18"/>
          <w:szCs w:val="18"/>
          <w:color w:val="auto"/>
        </w:rPr>
        <w:t>settlement of previously vested common stock equivalent, or CSE, awards granted under the Non-Employee Directors Deferral Plan. As of March 31, 2014, a total of 312,058 CSEs and restricted shares of our Common Stock granted to members of the Company's Board of Directors remained outstanding under such Plan, with an aggregate intrinsic value of $4.6 million.</w:t>
      </w:r>
    </w:p>
    <w:p>
      <w:pPr>
        <w:spacing w:after="0" w:line="180" w:lineRule="exact"/>
        <w:rPr>
          <w:sz w:val="20"/>
          <w:szCs w:val="20"/>
          <w:color w:val="auto"/>
        </w:rPr>
      </w:pPr>
    </w:p>
    <w:p>
      <w:pPr>
        <w:jc w:val="both"/>
        <w:ind w:right="20" w:firstLine="432"/>
        <w:spacing w:after="0" w:line="282" w:lineRule="auto"/>
        <w:rPr>
          <w:sz w:val="20"/>
          <w:szCs w:val="20"/>
          <w:color w:val="auto"/>
        </w:rPr>
      </w:pPr>
      <w:r>
        <w:rPr>
          <w:rFonts w:ascii="Arial" w:cs="Arial" w:eastAsia="Arial" w:hAnsi="Arial"/>
          <w:sz w:val="18"/>
          <w:szCs w:val="18"/>
          <w:b w:val="1"/>
          <w:bCs w:val="1"/>
          <w:color w:val="auto"/>
        </w:rPr>
        <w:t>401(k) Plan</w:t>
      </w:r>
      <w:r>
        <w:rPr>
          <w:rFonts w:ascii="Arial" w:cs="Arial" w:eastAsia="Arial" w:hAnsi="Arial"/>
          <w:sz w:val="18"/>
          <w:szCs w:val="18"/>
          <w:color w:val="auto"/>
        </w:rPr>
        <w:t>—The Company made gross contributions of approximately $0.6 million and $0.5 million for the three months ended March 31, 2014 and</w:t>
      </w:r>
      <w:r>
        <w:rPr>
          <w:rFonts w:ascii="Arial" w:cs="Arial" w:eastAsia="Arial" w:hAnsi="Arial"/>
          <w:sz w:val="18"/>
          <w:szCs w:val="18"/>
          <w:b w:val="1"/>
          <w:bCs w:val="1"/>
          <w:color w:val="auto"/>
        </w:rPr>
        <w:t xml:space="preserve"> </w:t>
      </w:r>
      <w:r>
        <w:rPr>
          <w:rFonts w:ascii="Arial" w:cs="Arial" w:eastAsia="Arial" w:hAnsi="Arial"/>
          <w:sz w:val="18"/>
          <w:szCs w:val="18"/>
          <w:color w:val="auto"/>
        </w:rPr>
        <w:t>2013, respectively.</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1" w:right="239" w:bottom="1440" w:gutter="0" w:footer="0" w:header="0"/>
        </w:sectPr>
      </w:pPr>
    </w:p>
    <w:bookmarkStart w:id="27" w:name="page28"/>
    <w:bookmarkEnd w:id="27"/>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13—Earnings Per Share</w:t>
      </w:r>
    </w:p>
    <w:p>
      <w:pPr>
        <w:spacing w:after="0" w:line="22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EPS is calculated using the two-class method, which allocates earnings among common stock and participating securities to calculate EPS when an entity's capital structure includes either two or more classes of common stock or common stock and participating securities. HPU holders are current and former Company employees who purchased high performance common stock units under the Company's High Performance Unit (HPU) Program. These HPU units are treated as a separate class of common stock.</w:t>
      </w:r>
    </w:p>
    <w:p>
      <w:pPr>
        <w:spacing w:after="0" w:line="146"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following table presents a reconciliation of income (loss) from continuing operations used in the basic and diluted earnings per share calculations ($ in thousands, except for per share data):</w:t>
      </w:r>
    </w:p>
    <w:p>
      <w:pPr>
        <w:spacing w:after="0" w:line="324" w:lineRule="exact"/>
        <w:rPr>
          <w:sz w:val="20"/>
          <w:szCs w:val="20"/>
          <w:color w:val="auto"/>
        </w:rPr>
      </w:pPr>
    </w:p>
    <w:p>
      <w:pPr>
        <w:jc w:val="center"/>
        <w:ind w:left="7240"/>
        <w:spacing w:after="0"/>
        <w:rPr>
          <w:sz w:val="20"/>
          <w:szCs w:val="20"/>
          <w:color w:val="auto"/>
        </w:rPr>
      </w:pPr>
      <w:r>
        <w:rPr>
          <w:rFonts w:ascii="Arial" w:cs="Arial" w:eastAsia="Arial" w:hAnsi="Arial"/>
          <w:sz w:val="14"/>
          <w:szCs w:val="14"/>
          <w:b w:val="1"/>
          <w:bCs w:val="1"/>
          <w:color w:val="auto"/>
        </w:rPr>
        <w:t>For the Three Months Ended</w:t>
      </w:r>
    </w:p>
    <w:p>
      <w:pPr>
        <w:spacing w:after="0" w:line="4" w:lineRule="exact"/>
        <w:rPr>
          <w:sz w:val="20"/>
          <w:szCs w:val="20"/>
          <w:color w:val="auto"/>
        </w:rPr>
      </w:pPr>
    </w:p>
    <w:p>
      <w:pPr>
        <w:jc w:val="center"/>
        <w:ind w:left="724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13335</wp:posOffset>
            </wp:positionV>
            <wp:extent cx="27527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0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rPr>
              <w:t>2014</w:t>
            </w: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791"/>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continuing operations</w:t>
            </w:r>
          </w:p>
        </w:tc>
        <w:tc>
          <w:tcPr>
            <w:tcW w:w="1280" w:type="dxa"/>
            <w:vAlign w:val="bottom"/>
            <w:tcBorders>
              <w:bottom w:val="single" w:sz="8" w:color="CCEEFF"/>
            </w:tcBorders>
            <w:shd w:val="clear" w:color="auto" w:fill="CCEEFF"/>
          </w:tcPr>
          <w:p>
            <w:pPr>
              <w:jc w:val="right"/>
              <w:ind w:right="1073"/>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(30,671)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(62,240)</w:t>
            </w: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Net (income) loss attributable to noncontrolling interests</w:t>
            </w:r>
          </w:p>
        </w:tc>
        <w:tc>
          <w:tcPr>
            <w:tcW w:w="12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(454)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sales of residential property</w:t>
            </w:r>
          </w:p>
        </w:tc>
        <w:tc>
          <w:tcPr>
            <w:tcW w:w="12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16,494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23,697</w:t>
            </w: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Preferred dividends</w:t>
            </w:r>
          </w:p>
        </w:tc>
        <w:tc>
          <w:tcPr>
            <w:tcW w:w="12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(12,830)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(10,580)</w:t>
            </w: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2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8"/>
              </w:rPr>
              <w:t>Income (loss) from continuing operations attributable to iStar Financial Inc. and allocable to</w:t>
            </w:r>
          </w:p>
        </w:tc>
        <w:tc>
          <w:tcPr>
            <w:tcW w:w="1280" w:type="dxa"/>
            <w:vAlign w:val="bottom"/>
            <w:vMerge w:val="restart"/>
            <w:shd w:val="clear" w:color="auto" w:fill="CCEEFF"/>
          </w:tcPr>
          <w:p>
            <w:pPr>
              <w:jc w:val="right"/>
              <w:ind w:right="1073"/>
              <w:spacing w:after="0"/>
              <w:rPr>
                <w:sz w:val="20"/>
                <w:szCs w:val="20"/>
                <w:color w:val="auto"/>
              </w:rPr>
            </w:pPr>
            <w:r>
              <w:rPr>
                <w:rFonts w:ascii="Arial" w:cs="Arial" w:eastAsia="Arial" w:hAnsi="Arial"/>
                <w:sz w:val="18"/>
                <w:szCs w:val="18"/>
                <w:color w:val="auto"/>
                <w:w w:val="99"/>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(27,461)</w:t>
            </w:r>
          </w:p>
        </w:tc>
        <w:tc>
          <w:tcPr>
            <w:tcW w:w="100" w:type="dxa"/>
            <w:vAlign w:val="bottom"/>
            <w:shd w:val="clear" w:color="auto" w:fill="CCEEFF"/>
          </w:tcPr>
          <w:p>
            <w:pPr>
              <w:spacing w:after="0"/>
              <w:rPr>
                <w:sz w:val="18"/>
                <w:szCs w:val="18"/>
                <w:color w:val="auto"/>
              </w:rPr>
            </w:pPr>
          </w:p>
        </w:tc>
        <w:tc>
          <w:tcPr>
            <w:tcW w:w="500" w:type="dxa"/>
            <w:vAlign w:val="bottom"/>
            <w:vMerge w:val="restart"/>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(48,934)</w:t>
            </w:r>
          </w:p>
        </w:tc>
        <w:tc>
          <w:tcPr>
            <w:tcW w:w="0" w:type="dxa"/>
            <w:vAlign w:val="bottom"/>
          </w:tcPr>
          <w:p>
            <w:pPr>
              <w:spacing w:after="0"/>
              <w:rPr>
                <w:sz w:val="1"/>
                <w:szCs w:val="1"/>
                <w:color w:val="auto"/>
              </w:rPr>
            </w:pPr>
          </w:p>
        </w:tc>
      </w:tr>
      <w:tr>
        <w:trPr>
          <w:trHeight w:val="237"/>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shareholders, HPU holders and Participating Security Holders</w:t>
            </w:r>
          </w:p>
        </w:tc>
        <w:tc>
          <w:tcPr>
            <w:tcW w:w="1280" w:type="dxa"/>
            <w:vAlign w:val="bottom"/>
            <w:tcBorders>
              <w:bottom w:val="single" w:sz="8" w:color="auto"/>
            </w:tcBorders>
            <w:vMerge w:val="continue"/>
            <w:shd w:val="clear" w:color="auto" w:fill="CCEEFF"/>
          </w:tcPr>
          <w:p>
            <w:pPr>
              <w:spacing w:after="0"/>
              <w:rPr>
                <w:sz w:val="20"/>
                <w:szCs w:val="20"/>
                <w:color w:val="auto"/>
              </w:rPr>
            </w:pPr>
          </w:p>
        </w:tc>
        <w:tc>
          <w:tcPr>
            <w:tcW w:w="7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vMerge w:val="continue"/>
            <w:shd w:val="clear" w:color="auto" w:fill="CCEEFF"/>
          </w:tcPr>
          <w:p>
            <w:pPr>
              <w:spacing w:after="0"/>
              <w:rPr>
                <w:sz w:val="20"/>
                <w:szCs w:val="20"/>
                <w:color w:val="auto"/>
              </w:rPr>
            </w:pPr>
          </w:p>
        </w:tc>
        <w:tc>
          <w:tcPr>
            <w:tcW w:w="15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Earnings allocable to common shares:</w:t>
            </w:r>
          </w:p>
        </w:tc>
        <w:tc>
          <w:tcPr>
            <w:tcW w:w="12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i w:val="1"/>
                <w:iCs w:val="1"/>
                <w:color w:val="auto"/>
              </w:rPr>
              <w:t>Numerator for basic and diluted earnings per share:</w:t>
            </w:r>
          </w:p>
        </w:tc>
        <w:tc>
          <w:tcPr>
            <w:tcW w:w="12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2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6"/>
              </w:rPr>
              <w:t>Income (loss) from continuing operations attributable to iStar Financial Inc. and allocable to</w:t>
            </w:r>
          </w:p>
        </w:tc>
        <w:tc>
          <w:tcPr>
            <w:tcW w:w="12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common shareholders</w:t>
            </w:r>
          </w:p>
        </w:tc>
        <w:tc>
          <w:tcPr>
            <w:tcW w:w="1280" w:type="dxa"/>
            <w:vAlign w:val="bottom"/>
            <w:tcBorders>
              <w:bottom w:val="single" w:sz="8" w:color="CCEEFF"/>
            </w:tcBorders>
            <w:shd w:val="clear" w:color="auto" w:fill="CCEEFF"/>
          </w:tcPr>
          <w:p>
            <w:pPr>
              <w:jc w:val="right"/>
              <w:ind w:right="1073"/>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(26,572)</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(47,350)</w:t>
            </w:r>
          </w:p>
        </w:tc>
        <w:tc>
          <w:tcPr>
            <w:tcW w:w="0" w:type="dxa"/>
            <w:vAlign w:val="bottom"/>
          </w:tcPr>
          <w:p>
            <w:pPr>
              <w:spacing w:after="0"/>
              <w:rPr>
                <w:sz w:val="1"/>
                <w:szCs w:val="1"/>
                <w:color w:val="auto"/>
              </w:rPr>
            </w:pPr>
          </w:p>
        </w:tc>
      </w:tr>
      <w:tr>
        <w:trPr>
          <w:trHeight w:val="243"/>
        </w:trPr>
        <w:tc>
          <w:tcPr>
            <w:tcW w:w="7200" w:type="dxa"/>
            <w:vAlign w:val="bottom"/>
          </w:tcPr>
          <w:p>
            <w:pPr>
              <w:ind w:left="180"/>
              <w:spacing w:after="0"/>
              <w:rPr>
                <w:sz w:val="20"/>
                <w:szCs w:val="20"/>
                <w:color w:val="auto"/>
              </w:rPr>
            </w:pPr>
            <w:r>
              <w:rPr>
                <w:rFonts w:ascii="Arial" w:cs="Arial" w:eastAsia="Arial" w:hAnsi="Arial"/>
                <w:sz w:val="18"/>
                <w:szCs w:val="18"/>
                <w:color w:val="auto"/>
              </w:rPr>
              <w:t>Income (loss) from discontinued operations</w:t>
            </w:r>
          </w:p>
        </w:tc>
        <w:tc>
          <w:tcPr>
            <w:tcW w:w="128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1,206</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Gain from discontinued operations</w:t>
            </w:r>
          </w:p>
        </w:tc>
        <w:tc>
          <w:tcPr>
            <w:tcW w:w="1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4,881</w:t>
            </w:r>
          </w:p>
        </w:tc>
        <w:tc>
          <w:tcPr>
            <w:tcW w:w="0" w:type="dxa"/>
            <w:vAlign w:val="bottom"/>
          </w:tcPr>
          <w:p>
            <w:pPr>
              <w:spacing w:after="0"/>
              <w:rPr>
                <w:sz w:val="1"/>
                <w:szCs w:val="1"/>
                <w:color w:val="auto"/>
              </w:rPr>
            </w:pPr>
          </w:p>
        </w:tc>
      </w:tr>
      <w:tr>
        <w:trPr>
          <w:trHeight w:val="297"/>
        </w:trPr>
        <w:tc>
          <w:tcPr>
            <w:tcW w:w="72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w w:val="97"/>
              </w:rPr>
              <w:t>Net income (loss) attributable to iStar Financial Inc. and allocable to common shareholders</w:t>
            </w:r>
          </w:p>
        </w:tc>
        <w:tc>
          <w:tcPr>
            <w:tcW w:w="1280" w:type="dxa"/>
            <w:vAlign w:val="bottom"/>
            <w:tcBorders>
              <w:top w:val="single" w:sz="8" w:color="auto"/>
              <w:bottom w:val="single" w:sz="8" w:color="auto"/>
            </w:tcBorders>
          </w:tcPr>
          <w:p>
            <w:pPr>
              <w:jc w:val="right"/>
              <w:ind w:right="1073"/>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(26,572)</w:t>
            </w:r>
          </w:p>
        </w:tc>
        <w:tc>
          <w:tcPr>
            <w:tcW w:w="100" w:type="dxa"/>
            <w:vAlign w:val="bottom"/>
            <w:tcBorders>
              <w:bottom w:val="single" w:sz="8" w:color="CCEEFF"/>
            </w:tcBorders>
          </w:tcPr>
          <w:p>
            <w:pPr>
              <w:spacing w:after="0"/>
              <w:rPr>
                <w:sz w:val="24"/>
                <w:szCs w:val="24"/>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(41,263)</w:t>
            </w:r>
          </w:p>
        </w:tc>
        <w:tc>
          <w:tcPr>
            <w:tcW w:w="0" w:type="dxa"/>
            <w:vAlign w:val="bottom"/>
          </w:tcPr>
          <w:p>
            <w:pPr>
              <w:spacing w:after="0"/>
              <w:rPr>
                <w:sz w:val="1"/>
                <w:szCs w:val="1"/>
                <w:color w:val="auto"/>
              </w:rPr>
            </w:pPr>
          </w:p>
        </w:tc>
      </w:tr>
      <w:tr>
        <w:trPr>
          <w:trHeight w:val="237"/>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Denominator for basic and diluted earnings per share:</w:t>
            </w:r>
          </w:p>
        </w:tc>
        <w:tc>
          <w:tcPr>
            <w:tcW w:w="12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72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w w:val="90"/>
              </w:rPr>
              <w:t>Weighted average common shares outstanding for basic and diluted earnings per common share</w:t>
            </w:r>
          </w:p>
        </w:tc>
        <w:tc>
          <w:tcPr>
            <w:tcW w:w="12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84,819</w:t>
            </w:r>
          </w:p>
        </w:tc>
        <w:tc>
          <w:tcPr>
            <w:tcW w:w="100" w:type="dxa"/>
            <w:vAlign w:val="bottom"/>
            <w:tcBorders>
              <w:bottom w:val="single" w:sz="8" w:color="CCEEFF"/>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84,824</w:t>
            </w:r>
          </w:p>
        </w:tc>
        <w:tc>
          <w:tcPr>
            <w:tcW w:w="0" w:type="dxa"/>
            <w:vAlign w:val="bottom"/>
          </w:tcPr>
          <w:p>
            <w:pPr>
              <w:spacing w:after="0"/>
              <w:rPr>
                <w:sz w:val="1"/>
                <w:szCs w:val="1"/>
                <w:color w:val="auto"/>
              </w:rPr>
            </w:pPr>
          </w:p>
        </w:tc>
      </w:tr>
      <w:tr>
        <w:trPr>
          <w:trHeight w:val="237"/>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Basic and diluted earnings per common share:</w:t>
            </w:r>
          </w:p>
        </w:tc>
        <w:tc>
          <w:tcPr>
            <w:tcW w:w="12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200" w:type="dxa"/>
            <w:vAlign w:val="bottom"/>
          </w:tcPr>
          <w:p>
            <w:pPr>
              <w:ind w:left="180"/>
              <w:spacing w:after="0"/>
              <w:rPr>
                <w:sz w:val="20"/>
                <w:szCs w:val="20"/>
                <w:color w:val="auto"/>
              </w:rPr>
            </w:pPr>
            <w:r>
              <w:rPr>
                <w:rFonts w:ascii="Arial" w:cs="Arial" w:eastAsia="Arial" w:hAnsi="Arial"/>
                <w:sz w:val="18"/>
                <w:szCs w:val="18"/>
                <w:color w:val="auto"/>
                <w:w w:val="96"/>
              </w:rPr>
              <w:t>Income (loss) from continuing operations attributable to iStar Financial Inc. and allocable to</w:t>
            </w:r>
          </w:p>
        </w:tc>
        <w:tc>
          <w:tcPr>
            <w:tcW w:w="1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00" w:type="dxa"/>
            <w:vAlign w:val="bottom"/>
          </w:tcPr>
          <w:p>
            <w:pPr>
              <w:ind w:left="180"/>
              <w:spacing w:after="0"/>
              <w:rPr>
                <w:sz w:val="20"/>
                <w:szCs w:val="20"/>
                <w:color w:val="auto"/>
              </w:rPr>
            </w:pPr>
            <w:r>
              <w:rPr>
                <w:rFonts w:ascii="Arial" w:cs="Arial" w:eastAsia="Arial" w:hAnsi="Arial"/>
                <w:sz w:val="18"/>
                <w:szCs w:val="18"/>
                <w:color w:val="auto"/>
              </w:rPr>
              <w:t>common shareholders</w:t>
            </w:r>
          </w:p>
        </w:tc>
        <w:tc>
          <w:tcPr>
            <w:tcW w:w="1280" w:type="dxa"/>
            <w:vAlign w:val="bottom"/>
          </w:tcPr>
          <w:p>
            <w:pPr>
              <w:jc w:val="right"/>
              <w:ind w:right="1073"/>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(0.31)</w:t>
            </w:r>
          </w:p>
        </w:tc>
        <w:tc>
          <w:tcPr>
            <w:tcW w:w="100" w:type="dxa"/>
            <w:vAlign w:val="bottom"/>
          </w:tcPr>
          <w:p>
            <w:pPr>
              <w:spacing w:after="0"/>
              <w:rPr>
                <w:sz w:val="20"/>
                <w:szCs w:val="20"/>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(0.56)</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(loss) from discontinued operations</w:t>
            </w:r>
          </w:p>
        </w:tc>
        <w:tc>
          <w:tcPr>
            <w:tcW w:w="1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43"/>
        </w:trPr>
        <w:tc>
          <w:tcPr>
            <w:tcW w:w="7200" w:type="dxa"/>
            <w:vAlign w:val="bottom"/>
          </w:tcPr>
          <w:p>
            <w:pPr>
              <w:ind w:left="180"/>
              <w:spacing w:after="0"/>
              <w:rPr>
                <w:sz w:val="20"/>
                <w:szCs w:val="20"/>
                <w:color w:val="auto"/>
              </w:rPr>
            </w:pPr>
            <w:r>
              <w:rPr>
                <w:rFonts w:ascii="Arial" w:cs="Arial" w:eastAsia="Arial" w:hAnsi="Arial"/>
                <w:sz w:val="18"/>
                <w:szCs w:val="18"/>
                <w:color w:val="auto"/>
              </w:rPr>
              <w:t>Gain from discontinued operations</w:t>
            </w:r>
          </w:p>
        </w:tc>
        <w:tc>
          <w:tcPr>
            <w:tcW w:w="128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7"/>
              </w:rPr>
              <w:t>Net income (loss) attributable to iStar Financial Inc. and allocable to common shareholders</w:t>
            </w:r>
          </w:p>
        </w:tc>
        <w:tc>
          <w:tcPr>
            <w:tcW w:w="1280" w:type="dxa"/>
            <w:vAlign w:val="bottom"/>
            <w:tcBorders>
              <w:bottom w:val="single" w:sz="8" w:color="auto"/>
            </w:tcBorders>
            <w:shd w:val="clear" w:color="auto" w:fill="CCEEFF"/>
          </w:tcPr>
          <w:p>
            <w:pPr>
              <w:jc w:val="right"/>
              <w:ind w:right="1073"/>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(0.49)</w:t>
            </w:r>
          </w:p>
        </w:tc>
        <w:tc>
          <w:tcPr>
            <w:tcW w:w="0" w:type="dxa"/>
            <w:vAlign w:val="bottom"/>
          </w:tcPr>
          <w:p>
            <w:pPr>
              <w:spacing w:after="0"/>
              <w:rPr>
                <w:sz w:val="1"/>
                <w:szCs w:val="1"/>
                <w:color w:val="auto"/>
              </w:rPr>
            </w:pPr>
          </w:p>
        </w:tc>
      </w:tr>
      <w:tr>
        <w:trPr>
          <w:trHeight w:val="20"/>
        </w:trPr>
        <w:tc>
          <w:tcPr>
            <w:tcW w:w="7200" w:type="dxa"/>
            <w:vAlign w:val="bottom"/>
            <w:vMerge w:val="restart"/>
          </w:tcPr>
          <w:p>
            <w:pPr>
              <w:ind w:left="5620"/>
              <w:spacing w:after="0"/>
              <w:rPr>
                <w:sz w:val="20"/>
                <w:szCs w:val="20"/>
                <w:color w:val="auto"/>
              </w:rPr>
            </w:pPr>
            <w:r>
              <w:rPr>
                <w:rFonts w:ascii="Arial" w:cs="Arial" w:eastAsia="Arial" w:hAnsi="Arial"/>
                <w:sz w:val="18"/>
                <w:szCs w:val="18"/>
                <w:color w:val="auto"/>
              </w:rPr>
              <w:t>26</w:t>
            </w:r>
          </w:p>
        </w:tc>
        <w:tc>
          <w:tcPr>
            <w:tcW w:w="1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7200" w:type="dxa"/>
            <w:vAlign w:val="bottom"/>
            <w:vMerge w:val="continue"/>
          </w:tcPr>
          <w:p>
            <w:pPr>
              <w:spacing w:after="0"/>
              <w:rPr>
                <w:sz w:val="24"/>
                <w:szCs w:val="24"/>
                <w:color w:val="auto"/>
              </w:rPr>
            </w:pPr>
          </w:p>
        </w:tc>
        <w:tc>
          <w:tcPr>
            <w:tcW w:w="1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8" w:name="page29"/>
    <w:bookmarkEnd w:id="28"/>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64" w:lineRule="exact"/>
        <w:rPr>
          <w:sz w:val="20"/>
          <w:szCs w:val="20"/>
          <w:color w:val="auto"/>
        </w:rPr>
      </w:pPr>
    </w:p>
    <w:p>
      <w:pPr>
        <w:jc w:val="center"/>
        <w:ind w:left="7240"/>
        <w:spacing w:after="0"/>
        <w:rPr>
          <w:sz w:val="20"/>
          <w:szCs w:val="20"/>
          <w:color w:val="auto"/>
        </w:rPr>
      </w:pPr>
      <w:r>
        <w:rPr>
          <w:rFonts w:ascii="Arial" w:cs="Arial" w:eastAsia="Arial" w:hAnsi="Arial"/>
          <w:sz w:val="14"/>
          <w:szCs w:val="14"/>
          <w:b w:val="1"/>
          <w:bCs w:val="1"/>
          <w:color w:val="auto"/>
        </w:rPr>
        <w:t>For the Three Months Ended</w:t>
      </w:r>
    </w:p>
    <w:p>
      <w:pPr>
        <w:spacing w:after="0" w:line="4" w:lineRule="exact"/>
        <w:rPr>
          <w:sz w:val="20"/>
          <w:szCs w:val="20"/>
          <w:color w:val="auto"/>
        </w:rPr>
      </w:pPr>
    </w:p>
    <w:p>
      <w:pPr>
        <w:jc w:val="center"/>
        <w:ind w:left="724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13335</wp:posOffset>
            </wp:positionV>
            <wp:extent cx="26758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0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2014</w:t>
            </w: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792"/>
              <w:spacing w:after="0"/>
              <w:rPr>
                <w:sz w:val="20"/>
                <w:szCs w:val="20"/>
                <w:color w:val="auto"/>
              </w:rPr>
            </w:pPr>
            <w:r>
              <w:rPr>
                <w:rFonts w:ascii="Arial" w:cs="Arial" w:eastAsia="Arial" w:hAnsi="Arial"/>
                <w:sz w:val="14"/>
                <w:szCs w:val="14"/>
                <w:b w:val="1"/>
                <w:bCs w:val="1"/>
                <w:color w:val="auto"/>
              </w:rPr>
              <w:t>2013</w:t>
            </w: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Earnings allocable to High Performance Units:</w:t>
            </w:r>
          </w:p>
        </w:tc>
        <w:tc>
          <w:tcPr>
            <w:tcW w:w="13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i w:val="1"/>
                <w:iCs w:val="1"/>
                <w:color w:val="auto"/>
              </w:rPr>
              <w:t>Numerator for basic and diluted earnings per HPU share:</w:t>
            </w:r>
          </w:p>
        </w:tc>
        <w:tc>
          <w:tcPr>
            <w:tcW w:w="13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7"/>
        </w:trPr>
        <w:tc>
          <w:tcPr>
            <w:tcW w:w="7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29"/>
        </w:trPr>
        <w:tc>
          <w:tcPr>
            <w:tcW w:w="72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6"/>
              </w:rPr>
              <w:t>Income (loss) from continuing operations attributable to iStar Financial Inc. and allocable to</w:t>
            </w:r>
          </w:p>
        </w:tc>
        <w:tc>
          <w:tcPr>
            <w:tcW w:w="13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37"/>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HPU holders</w:t>
            </w:r>
          </w:p>
        </w:tc>
        <w:tc>
          <w:tcPr>
            <w:tcW w:w="1340" w:type="dxa"/>
            <w:vAlign w:val="bottom"/>
            <w:tcBorders>
              <w:bottom w:val="single" w:sz="8" w:color="CCEEFF"/>
            </w:tcBorders>
            <w:shd w:val="clear" w:color="auto" w:fill="CCEEFF"/>
          </w:tcPr>
          <w:p>
            <w:pPr>
              <w:jc w:val="right"/>
              <w:ind w:right="1134"/>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(889)</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(1,584)</w:t>
            </w:r>
          </w:p>
        </w:tc>
      </w:tr>
      <w:tr>
        <w:trPr>
          <w:trHeight w:val="243"/>
        </w:trPr>
        <w:tc>
          <w:tcPr>
            <w:tcW w:w="7200" w:type="dxa"/>
            <w:vAlign w:val="bottom"/>
          </w:tcPr>
          <w:p>
            <w:pPr>
              <w:ind w:left="180"/>
              <w:spacing w:after="0"/>
              <w:rPr>
                <w:sz w:val="20"/>
                <w:szCs w:val="20"/>
                <w:color w:val="auto"/>
              </w:rPr>
            </w:pPr>
            <w:r>
              <w:rPr>
                <w:rFonts w:ascii="Arial" w:cs="Arial" w:eastAsia="Arial" w:hAnsi="Arial"/>
                <w:sz w:val="18"/>
                <w:szCs w:val="18"/>
                <w:color w:val="auto"/>
              </w:rPr>
              <w:t>Income (loss) from discontinued operations</w:t>
            </w:r>
          </w:p>
        </w:tc>
        <w:tc>
          <w:tcPr>
            <w:tcW w:w="1340" w:type="dxa"/>
            <w:vAlign w:val="bottom"/>
          </w:tcPr>
          <w:p>
            <w:pPr>
              <w:spacing w:after="0"/>
              <w:rPr>
                <w:sz w:val="21"/>
                <w:szCs w:val="21"/>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40</w:t>
            </w:r>
          </w:p>
        </w:tc>
      </w:tr>
      <w:tr>
        <w:trPr>
          <w:trHeight w:val="27"/>
        </w:trPr>
        <w:tc>
          <w:tcPr>
            <w:tcW w:w="7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Gain from discontinued operations</w:t>
            </w:r>
          </w:p>
        </w:tc>
        <w:tc>
          <w:tcPr>
            <w:tcW w:w="13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163</w:t>
            </w:r>
          </w:p>
        </w:tc>
      </w:tr>
      <w:tr>
        <w:trPr>
          <w:trHeight w:val="297"/>
        </w:trPr>
        <w:tc>
          <w:tcPr>
            <w:tcW w:w="72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Net income (loss) attributable to iStar Financial Inc. and allocable to HPU holders</w:t>
            </w:r>
          </w:p>
        </w:tc>
        <w:tc>
          <w:tcPr>
            <w:tcW w:w="1340" w:type="dxa"/>
            <w:vAlign w:val="bottom"/>
            <w:tcBorders>
              <w:top w:val="single" w:sz="8" w:color="auto"/>
              <w:bottom w:val="single" w:sz="8" w:color="auto"/>
            </w:tcBorders>
          </w:tcPr>
          <w:p>
            <w:pPr>
              <w:jc w:val="right"/>
              <w:ind w:right="1134"/>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(889)</w:t>
            </w:r>
          </w:p>
        </w:tc>
        <w:tc>
          <w:tcPr>
            <w:tcW w:w="100" w:type="dxa"/>
            <w:vAlign w:val="bottom"/>
            <w:tcBorders>
              <w:bottom w:val="single" w:sz="8" w:color="CCEEFF"/>
            </w:tcBorders>
          </w:tcPr>
          <w:p>
            <w:pPr>
              <w:spacing w:after="0"/>
              <w:rPr>
                <w:sz w:val="24"/>
                <w:szCs w:val="24"/>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(1,381)</w:t>
            </w:r>
          </w:p>
        </w:tc>
      </w:tr>
      <w:tr>
        <w:trPr>
          <w:trHeight w:val="237"/>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Denominator for basic and diluted earnings per HPU share:</w:t>
            </w:r>
          </w:p>
        </w:tc>
        <w:tc>
          <w:tcPr>
            <w:tcW w:w="13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r>
      <w:tr>
        <w:trPr>
          <w:trHeight w:val="304"/>
        </w:trPr>
        <w:tc>
          <w:tcPr>
            <w:tcW w:w="72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w w:val="91"/>
              </w:rPr>
              <w:t>Weighted average High Performance Units outstanding for basic and diluted earnings per share</w:t>
            </w:r>
          </w:p>
        </w:tc>
        <w:tc>
          <w:tcPr>
            <w:tcW w:w="13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15</w:t>
            </w:r>
          </w:p>
        </w:tc>
      </w:tr>
      <w:tr>
        <w:trPr>
          <w:trHeight w:val="237"/>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Basic and diluted earnings per HPU share:</w:t>
            </w:r>
          </w:p>
        </w:tc>
        <w:tc>
          <w:tcPr>
            <w:tcW w:w="13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r>
      <w:tr>
        <w:trPr>
          <w:trHeight w:val="229"/>
        </w:trPr>
        <w:tc>
          <w:tcPr>
            <w:tcW w:w="7200" w:type="dxa"/>
            <w:vAlign w:val="bottom"/>
          </w:tcPr>
          <w:p>
            <w:pPr>
              <w:ind w:left="180"/>
              <w:spacing w:after="0"/>
              <w:rPr>
                <w:sz w:val="20"/>
                <w:szCs w:val="20"/>
                <w:color w:val="auto"/>
              </w:rPr>
            </w:pPr>
            <w:r>
              <w:rPr>
                <w:rFonts w:ascii="Arial" w:cs="Arial" w:eastAsia="Arial" w:hAnsi="Arial"/>
                <w:sz w:val="18"/>
                <w:szCs w:val="18"/>
                <w:color w:val="auto"/>
                <w:w w:val="96"/>
              </w:rPr>
              <w:t>Income (loss) from continuing operations attributable to iStar Financial Inc. and allocable to</w:t>
            </w:r>
          </w:p>
        </w:tc>
        <w:tc>
          <w:tcPr>
            <w:tcW w:w="13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30"/>
        </w:trPr>
        <w:tc>
          <w:tcPr>
            <w:tcW w:w="7200" w:type="dxa"/>
            <w:vAlign w:val="bottom"/>
          </w:tcPr>
          <w:p>
            <w:pPr>
              <w:ind w:left="180"/>
              <w:spacing w:after="0"/>
              <w:rPr>
                <w:sz w:val="20"/>
                <w:szCs w:val="20"/>
                <w:color w:val="auto"/>
              </w:rPr>
            </w:pPr>
            <w:r>
              <w:rPr>
                <w:rFonts w:ascii="Arial" w:cs="Arial" w:eastAsia="Arial" w:hAnsi="Arial"/>
                <w:sz w:val="18"/>
                <w:szCs w:val="18"/>
                <w:color w:val="auto"/>
              </w:rPr>
              <w:t>HPU holders</w:t>
            </w:r>
          </w:p>
        </w:tc>
        <w:tc>
          <w:tcPr>
            <w:tcW w:w="1340" w:type="dxa"/>
            <w:vAlign w:val="bottom"/>
          </w:tcPr>
          <w:p>
            <w:pPr>
              <w:jc w:val="right"/>
              <w:ind w:right="1134"/>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(59.27)</w:t>
            </w:r>
          </w:p>
        </w:tc>
        <w:tc>
          <w:tcPr>
            <w:tcW w:w="100" w:type="dxa"/>
            <w:vAlign w:val="bottom"/>
          </w:tcPr>
          <w:p>
            <w:pPr>
              <w:spacing w:after="0"/>
              <w:rPr>
                <w:sz w:val="20"/>
                <w:szCs w:val="20"/>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(105.61)</w:t>
            </w:r>
          </w:p>
        </w:tc>
      </w:tr>
      <w:tr>
        <w:trPr>
          <w:trHeight w:val="27"/>
        </w:trPr>
        <w:tc>
          <w:tcPr>
            <w:tcW w:w="7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(loss) from discontinued operations</w:t>
            </w:r>
          </w:p>
        </w:tc>
        <w:tc>
          <w:tcPr>
            <w:tcW w:w="1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2.67</w:t>
            </w:r>
          </w:p>
        </w:tc>
      </w:tr>
      <w:tr>
        <w:trPr>
          <w:trHeight w:val="243"/>
        </w:trPr>
        <w:tc>
          <w:tcPr>
            <w:tcW w:w="7200" w:type="dxa"/>
            <w:vAlign w:val="bottom"/>
          </w:tcPr>
          <w:p>
            <w:pPr>
              <w:ind w:left="180"/>
              <w:spacing w:after="0"/>
              <w:rPr>
                <w:sz w:val="20"/>
                <w:szCs w:val="20"/>
                <w:color w:val="auto"/>
              </w:rPr>
            </w:pPr>
            <w:r>
              <w:rPr>
                <w:rFonts w:ascii="Arial" w:cs="Arial" w:eastAsia="Arial" w:hAnsi="Arial"/>
                <w:sz w:val="18"/>
                <w:szCs w:val="18"/>
                <w:color w:val="auto"/>
              </w:rPr>
              <w:t>Gain from discontinued operations</w:t>
            </w:r>
          </w:p>
        </w:tc>
        <w:tc>
          <w:tcPr>
            <w:tcW w:w="1340" w:type="dxa"/>
            <w:vAlign w:val="bottom"/>
          </w:tcPr>
          <w:p>
            <w:pPr>
              <w:spacing w:after="0"/>
              <w:rPr>
                <w:sz w:val="21"/>
                <w:szCs w:val="21"/>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10.87</w:t>
            </w:r>
          </w:p>
        </w:tc>
      </w:tr>
      <w:tr>
        <w:trPr>
          <w:trHeight w:val="27"/>
        </w:trPr>
        <w:tc>
          <w:tcPr>
            <w:tcW w:w="72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57"/>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 (loss) attributable to iStar Financial Inc. and allocable to HPU holders</w:t>
            </w:r>
          </w:p>
        </w:tc>
        <w:tc>
          <w:tcPr>
            <w:tcW w:w="1340" w:type="dxa"/>
            <w:vAlign w:val="bottom"/>
            <w:tcBorders>
              <w:bottom w:val="single" w:sz="8" w:color="auto"/>
            </w:tcBorders>
            <w:shd w:val="clear" w:color="auto" w:fill="CCEEFF"/>
          </w:tcPr>
          <w:p>
            <w:pPr>
              <w:jc w:val="right"/>
              <w:ind w:right="1134"/>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(59.27)</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(92.07)</w:t>
            </w:r>
          </w:p>
        </w:tc>
      </w:tr>
      <w:tr>
        <w:trPr>
          <w:trHeight w:val="20"/>
        </w:trPr>
        <w:tc>
          <w:tcPr>
            <w:tcW w:w="72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For the three months ended March 31, 2014 and 2013, the following shares were not included in the diluted EPS calculation because they were anti-dilutive ($ in thousands):</w:t>
      </w:r>
    </w:p>
    <w:p>
      <w:pPr>
        <w:spacing w:after="0" w:line="324" w:lineRule="exact"/>
        <w:rPr>
          <w:sz w:val="20"/>
          <w:szCs w:val="20"/>
          <w:color w:val="auto"/>
        </w:rPr>
      </w:pPr>
    </w:p>
    <w:p>
      <w:pPr>
        <w:jc w:val="center"/>
        <w:ind w:left="7240"/>
        <w:spacing w:after="0"/>
        <w:rPr>
          <w:sz w:val="20"/>
          <w:szCs w:val="20"/>
          <w:color w:val="auto"/>
        </w:rPr>
      </w:pPr>
      <w:r>
        <w:rPr>
          <w:rFonts w:ascii="Arial" w:cs="Arial" w:eastAsia="Arial" w:hAnsi="Arial"/>
          <w:sz w:val="14"/>
          <w:szCs w:val="14"/>
          <w:b w:val="1"/>
          <w:bCs w:val="1"/>
          <w:color w:val="auto"/>
        </w:rPr>
        <w:t>For the Three Months Ended</w:t>
      </w:r>
    </w:p>
    <w:p>
      <w:pPr>
        <w:spacing w:after="0" w:line="4" w:lineRule="exact"/>
        <w:rPr>
          <w:sz w:val="20"/>
          <w:szCs w:val="20"/>
          <w:color w:val="auto"/>
        </w:rPr>
      </w:pPr>
    </w:p>
    <w:p>
      <w:pPr>
        <w:jc w:val="center"/>
        <w:ind w:left="724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13335</wp:posOffset>
            </wp:positionV>
            <wp:extent cx="26758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79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794"/>
              <w:spacing w:after="0"/>
              <w:rPr>
                <w:sz w:val="20"/>
                <w:szCs w:val="20"/>
                <w:color w:val="auto"/>
              </w:rPr>
            </w:pPr>
            <w:r>
              <w:rPr>
                <w:rFonts w:ascii="Arial" w:cs="Arial" w:eastAsia="Arial" w:hAnsi="Arial"/>
                <w:sz w:val="14"/>
                <w:szCs w:val="14"/>
                <w:b w:val="1"/>
                <w:bCs w:val="1"/>
                <w:color w:val="auto"/>
              </w:rPr>
              <w:t>2013</w:t>
            </w: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Joint venture shares</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298</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3.00% convertible senior unsecured notes</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14"/>
              <w:spacing w:after="0"/>
              <w:rPr>
                <w:sz w:val="20"/>
                <w:szCs w:val="20"/>
                <w:color w:val="auto"/>
              </w:rPr>
            </w:pPr>
            <w:r>
              <w:rPr>
                <w:rFonts w:ascii="Arial" w:cs="Arial" w:eastAsia="Arial" w:hAnsi="Arial"/>
                <w:sz w:val="18"/>
                <w:szCs w:val="18"/>
                <w:color w:val="auto"/>
              </w:rPr>
              <w:t>16,992</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14"/>
              <w:spacing w:after="0"/>
              <w:rPr>
                <w:sz w:val="20"/>
                <w:szCs w:val="20"/>
                <w:color w:val="auto"/>
              </w:rPr>
            </w:pPr>
            <w:r>
              <w:rPr>
                <w:rFonts w:ascii="Arial" w:cs="Arial" w:eastAsia="Arial" w:hAnsi="Arial"/>
                <w:sz w:val="18"/>
                <w:szCs w:val="18"/>
                <w:color w:val="auto"/>
              </w:rPr>
              <w:t>16,992</w:t>
            </w:r>
          </w:p>
        </w:tc>
      </w:tr>
      <w:tr>
        <w:trPr>
          <w:trHeight w:val="27"/>
        </w:trPr>
        <w:tc>
          <w:tcPr>
            <w:tcW w:w="7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Series J convertible perpetual preferred stock</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15,635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15,635</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1.50% convertible senior unsecured notes</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14"/>
              <w:spacing w:after="0"/>
              <w:rPr>
                <w:sz w:val="20"/>
                <w:szCs w:val="20"/>
                <w:color w:val="auto"/>
              </w:rPr>
            </w:pPr>
            <w:r>
              <w:rPr>
                <w:rFonts w:ascii="Arial" w:cs="Arial" w:eastAsia="Arial" w:hAnsi="Arial"/>
                <w:sz w:val="18"/>
                <w:szCs w:val="18"/>
                <w:color w:val="auto"/>
              </w:rPr>
              <w:t>11,567</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14"/>
              <w:spacing w:after="0"/>
              <w:rPr>
                <w:sz w:val="20"/>
                <w:szCs w:val="20"/>
                <w:color w:val="auto"/>
              </w:rPr>
            </w:pPr>
            <w:r>
              <w:rPr>
                <w:rFonts w:ascii="Arial" w:cs="Arial" w:eastAsia="Arial" w:hAnsi="Arial"/>
                <w:sz w:val="18"/>
                <w:szCs w:val="18"/>
                <w:color w:val="auto"/>
              </w:rPr>
              <w:t>—</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14—Fair Values</w:t>
      </w:r>
    </w:p>
    <w:p>
      <w:pPr>
        <w:spacing w:after="0" w:line="189"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Fair value represents the price that would be received to sell an asset or paid to transfer a liability in an orderly transaction between market participants at the measurement date. The following fair value hierarchy prioritizes the inputs to be used in valuation techniques to measure fair value:</w:t>
      </w:r>
    </w:p>
    <w:p>
      <w:pPr>
        <w:spacing w:after="0" w:line="106" w:lineRule="exact"/>
        <w:rPr>
          <w:sz w:val="20"/>
          <w:szCs w:val="20"/>
          <w:color w:val="auto"/>
        </w:rPr>
      </w:pPr>
    </w:p>
    <w:p>
      <w:pPr>
        <w:ind w:left="660"/>
        <w:spacing w:after="0"/>
        <w:tabs>
          <w:tab w:leader="none" w:pos="142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6"/>
          <w:szCs w:val="16"/>
          <w:color w:val="auto"/>
        </w:rPr>
        <w:t>Unadjusted quoted prices in active markets that are accessible at the measurement date for identical, unrestricted assets or liabilities;</w:t>
      </w:r>
    </w:p>
    <w:p>
      <w:pPr>
        <w:spacing w:after="0" w:line="18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Level 2: Quoted prices in markets that are not active, or inputs which are observable, either directly or indirectly, for substantially the full term of the asset or liability; and</w:t>
      </w:r>
    </w:p>
    <w:p>
      <w:pPr>
        <w:spacing w:after="0" w:line="13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Level 3: Prices or valuation techniques that require inputs that are both significant to the fair value measurement and unobservable (i.e., supported by little or no market activity).</w:t>
      </w:r>
    </w:p>
    <w:p>
      <w:pPr>
        <w:spacing w:after="0" w:line="130"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Certain of the Company's assets and liabilities are recorded at fair value either on a recurring or non-recurring basis. Assets required to be marked-to-market and reported at fair value every reporting period are classified as being valued on a recurring basis. Assets not required to be recorded at fair value every period may be recorded at fair value if a specific provision or other</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1" w:right="239" w:bottom="1440" w:gutter="0" w:footer="0" w:header="0"/>
        </w:sectPr>
      </w:pPr>
    </w:p>
    <w:bookmarkStart w:id="29" w:name="page30"/>
    <w:bookmarkEnd w:id="29"/>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impairment is recorded within the period to mark the carrying value of the asset to market as of the reporting date. Such assets are classified as being valued on a non-recurring basis.</w:t>
      </w:r>
    </w:p>
    <w:p>
      <w:pPr>
        <w:spacing w:after="0" w:line="130"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The following fair value hierarchy table summarizes the Company's assets and liabilities recorded at fair value on a recurring and non-recurring basis by the above categories ($ in thousands):</w:t>
      </w:r>
    </w:p>
    <w:p>
      <w:pPr>
        <w:spacing w:after="0" w:line="176" w:lineRule="exact"/>
        <w:rPr>
          <w:sz w:val="20"/>
          <w:szCs w:val="20"/>
          <w:color w:val="auto"/>
        </w:rPr>
      </w:pPr>
    </w:p>
    <w:tbl>
      <w:tblPr>
        <w:tblLayout w:type="fixed"/>
        <w:tblInd w:w="520" w:type="dxa"/>
        <w:tblCellMar>
          <w:top w:w="0" w:type="dxa"/>
          <w:left w:w="0" w:type="dxa"/>
          <w:bottom w:w="0" w:type="dxa"/>
          <w:right w:w="0" w:type="dxa"/>
        </w:tblCellMar>
      </w:tblPr>
      <w:tr>
        <w:trPr>
          <w:trHeight w:val="192"/>
        </w:trPr>
        <w:tc>
          <w:tcPr>
            <w:tcW w:w="4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4"/>
              </w:rPr>
              <w:t>Fair Value Using</w:t>
            </w: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9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6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5"/>
              </w:rPr>
              <w:t>Quoted market</w:t>
            </w:r>
          </w:p>
        </w:tc>
        <w:tc>
          <w:tcPr>
            <w:tcW w:w="160" w:type="dxa"/>
            <w:vAlign w:val="bottom"/>
          </w:tcPr>
          <w:p>
            <w:pPr>
              <w:spacing w:after="0"/>
              <w:rPr>
                <w:sz w:val="13"/>
                <w:szCs w:val="13"/>
                <w:color w:val="auto"/>
              </w:rPr>
            </w:pPr>
          </w:p>
        </w:tc>
        <w:tc>
          <w:tcPr>
            <w:tcW w:w="136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2"/>
              </w:rPr>
              <w:t>Significant other</w:t>
            </w:r>
          </w:p>
        </w:tc>
        <w:tc>
          <w:tcPr>
            <w:tcW w:w="200" w:type="dxa"/>
            <w:vAlign w:val="bottom"/>
          </w:tcPr>
          <w:p>
            <w:pPr>
              <w:spacing w:after="0"/>
              <w:rPr>
                <w:sz w:val="13"/>
                <w:szCs w:val="13"/>
                <w:color w:val="auto"/>
              </w:rPr>
            </w:pPr>
          </w:p>
        </w:tc>
        <w:tc>
          <w:tcPr>
            <w:tcW w:w="1220" w:type="dxa"/>
            <w:vAlign w:val="bottom"/>
          </w:tcPr>
          <w:p>
            <w:pPr>
              <w:jc w:val="center"/>
              <w:ind w:right="117"/>
              <w:spacing w:after="0" w:line="153" w:lineRule="exact"/>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4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prices in</w:t>
            </w:r>
          </w:p>
        </w:tc>
        <w:tc>
          <w:tcPr>
            <w:tcW w:w="160" w:type="dxa"/>
            <w:vAlign w:val="bottom"/>
          </w:tcPr>
          <w:p>
            <w:pPr>
              <w:spacing w:after="0"/>
              <w:rPr>
                <w:sz w:val="12"/>
                <w:szCs w:val="12"/>
                <w:color w:val="auto"/>
              </w:rPr>
            </w:pPr>
          </w:p>
        </w:tc>
        <w:tc>
          <w:tcPr>
            <w:tcW w:w="13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observable</w:t>
            </w:r>
          </w:p>
        </w:tc>
        <w:tc>
          <w:tcPr>
            <w:tcW w:w="200" w:type="dxa"/>
            <w:vAlign w:val="bottom"/>
          </w:tcPr>
          <w:p>
            <w:pPr>
              <w:spacing w:after="0"/>
              <w:rPr>
                <w:sz w:val="12"/>
                <w:szCs w:val="12"/>
                <w:color w:val="auto"/>
              </w:rPr>
            </w:pPr>
          </w:p>
        </w:tc>
        <w:tc>
          <w:tcPr>
            <w:tcW w:w="1220" w:type="dxa"/>
            <w:vAlign w:val="bottom"/>
          </w:tcPr>
          <w:p>
            <w:pPr>
              <w:jc w:val="center"/>
              <w:ind w:right="117"/>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9"/>
        </w:trPr>
        <w:tc>
          <w:tcPr>
            <w:tcW w:w="4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8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2"/>
                <w:szCs w:val="12"/>
                <w:color w:val="auto"/>
              </w:rPr>
            </w:pPr>
          </w:p>
        </w:tc>
        <w:tc>
          <w:tcPr>
            <w:tcW w:w="13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active markets</w:t>
            </w:r>
          </w:p>
        </w:tc>
        <w:tc>
          <w:tcPr>
            <w:tcW w:w="160" w:type="dxa"/>
            <w:vAlign w:val="bottom"/>
          </w:tcPr>
          <w:p>
            <w:pPr>
              <w:spacing w:after="0"/>
              <w:rPr>
                <w:sz w:val="12"/>
                <w:szCs w:val="12"/>
                <w:color w:val="auto"/>
              </w:rPr>
            </w:pPr>
          </w:p>
        </w:tc>
        <w:tc>
          <w:tcPr>
            <w:tcW w:w="13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inputs</w:t>
            </w:r>
          </w:p>
        </w:tc>
        <w:tc>
          <w:tcPr>
            <w:tcW w:w="200" w:type="dxa"/>
            <w:vAlign w:val="bottom"/>
          </w:tcPr>
          <w:p>
            <w:pPr>
              <w:spacing w:after="0"/>
              <w:rPr>
                <w:sz w:val="12"/>
                <w:szCs w:val="12"/>
                <w:color w:val="auto"/>
              </w:rPr>
            </w:pPr>
          </w:p>
        </w:tc>
        <w:tc>
          <w:tcPr>
            <w:tcW w:w="1220" w:type="dxa"/>
            <w:vAlign w:val="bottom"/>
          </w:tcPr>
          <w:p>
            <w:pPr>
              <w:jc w:val="center"/>
              <w:ind w:right="117"/>
              <w:spacing w:after="0" w:line="149" w:lineRule="exact"/>
              <w:rPr>
                <w:sz w:val="20"/>
                <w:szCs w:val="20"/>
                <w:color w:val="auto"/>
              </w:rPr>
            </w:pPr>
            <w:r>
              <w:rPr>
                <w:rFonts w:ascii="Arial" w:cs="Arial" w:eastAsia="Arial" w:hAnsi="Arial"/>
                <w:sz w:val="14"/>
                <w:szCs w:val="14"/>
                <w:b w:val="1"/>
                <w:bCs w:val="1"/>
                <w:color w:val="auto"/>
                <w:w w:val="90"/>
              </w:rPr>
              <w:t>inputs</w:t>
            </w:r>
          </w:p>
        </w:tc>
        <w:tc>
          <w:tcPr>
            <w:tcW w:w="0" w:type="dxa"/>
            <w:vAlign w:val="bottom"/>
          </w:tcPr>
          <w:p>
            <w:pPr>
              <w:spacing w:after="0"/>
              <w:rPr>
                <w:sz w:val="1"/>
                <w:szCs w:val="1"/>
                <w:color w:val="auto"/>
              </w:rPr>
            </w:pPr>
          </w:p>
        </w:tc>
      </w:tr>
      <w:tr>
        <w:trPr>
          <w:trHeight w:val="192"/>
        </w:trPr>
        <w:tc>
          <w:tcPr>
            <w:tcW w:w="4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(Level 1)</w:t>
            </w:r>
          </w:p>
        </w:tc>
        <w:tc>
          <w:tcPr>
            <w:tcW w:w="160" w:type="dxa"/>
            <w:vAlign w:val="bottom"/>
          </w:tcPr>
          <w:p>
            <w:pPr>
              <w:spacing w:after="0"/>
              <w:rPr>
                <w:sz w:val="16"/>
                <w:szCs w:val="16"/>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(Level 2)</w:t>
            </w:r>
          </w:p>
        </w:tc>
        <w:tc>
          <w:tcPr>
            <w:tcW w:w="200" w:type="dxa"/>
            <w:vAlign w:val="bottom"/>
          </w:tcPr>
          <w:p>
            <w:pPr>
              <w:spacing w:after="0"/>
              <w:rPr>
                <w:sz w:val="16"/>
                <w:szCs w:val="16"/>
                <w:color w:val="auto"/>
              </w:rPr>
            </w:pPr>
          </w:p>
        </w:tc>
        <w:tc>
          <w:tcPr>
            <w:tcW w:w="1220" w:type="dxa"/>
            <w:vAlign w:val="bottom"/>
          </w:tcPr>
          <w:p>
            <w:pPr>
              <w:jc w:val="center"/>
              <w:ind w:right="117"/>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50"/>
        </w:trPr>
        <w:tc>
          <w:tcPr>
            <w:tcW w:w="4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 of March 31, 2014</w:t>
            </w: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00" w:type="dxa"/>
            <w:vAlign w:val="bottom"/>
          </w:tcPr>
          <w:p>
            <w:pPr>
              <w:ind w:left="20"/>
              <w:spacing w:after="0"/>
              <w:rPr>
                <w:sz w:val="20"/>
                <w:szCs w:val="20"/>
                <w:color w:val="auto"/>
              </w:rPr>
            </w:pPr>
            <w:r>
              <w:rPr>
                <w:rFonts w:ascii="Arial" w:cs="Arial" w:eastAsia="Arial" w:hAnsi="Arial"/>
                <w:sz w:val="18"/>
                <w:szCs w:val="18"/>
                <w:color w:val="auto"/>
              </w:rPr>
              <w:t>Recurring basis:</w:t>
            </w: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Derivative assets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10,099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10,099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900" w:type="dxa"/>
            <w:vAlign w:val="bottom"/>
          </w:tcPr>
          <w:p>
            <w:pPr>
              <w:ind w:left="160"/>
              <w:spacing w:after="0"/>
              <w:rPr>
                <w:sz w:val="20"/>
                <w:szCs w:val="20"/>
                <w:color w:val="auto"/>
              </w:rPr>
            </w:pPr>
            <w:r>
              <w:rPr>
                <w:rFonts w:ascii="Arial" w:cs="Arial" w:eastAsia="Arial" w:hAnsi="Arial"/>
                <w:sz w:val="18"/>
                <w:szCs w:val="18"/>
                <w:color w:val="auto"/>
              </w:rPr>
              <w:t>Derivative liabilities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1,623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7"/>
              <w:spacing w:after="0"/>
              <w:rPr>
                <w:sz w:val="20"/>
                <w:szCs w:val="20"/>
                <w:color w:val="auto"/>
              </w:rPr>
            </w:pPr>
            <w:r>
              <w:rPr>
                <w:rFonts w:ascii="Arial" w:cs="Arial" w:eastAsia="Arial" w:hAnsi="Arial"/>
                <w:sz w:val="18"/>
                <w:szCs w:val="18"/>
                <w:color w:val="auto"/>
              </w:rPr>
              <w:t>1,623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Non-recurring basis: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00" w:type="dxa"/>
            <w:vAlign w:val="bottom"/>
          </w:tcPr>
          <w:p>
            <w:pPr>
              <w:ind w:left="160"/>
              <w:spacing w:after="0"/>
              <w:rPr>
                <w:sz w:val="20"/>
                <w:szCs w:val="20"/>
                <w:color w:val="auto"/>
              </w:rPr>
            </w:pPr>
            <w:r>
              <w:rPr>
                <w:rFonts w:ascii="Arial" w:cs="Arial" w:eastAsia="Arial" w:hAnsi="Arial"/>
                <w:sz w:val="18"/>
                <w:szCs w:val="18"/>
                <w:color w:val="auto"/>
              </w:rPr>
              <w:t>Impaired loans(1)</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136,536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7"/>
              <w:spacing w:after="0"/>
              <w:rPr>
                <w:sz w:val="20"/>
                <w:szCs w:val="20"/>
                <w:color w:val="auto"/>
              </w:rPr>
            </w:pPr>
            <w:r>
              <w:rPr>
                <w:rFonts w:ascii="Arial" w:cs="Arial" w:eastAsia="Arial" w:hAnsi="Arial"/>
                <w:sz w:val="18"/>
                <w:szCs w:val="18"/>
                <w:color w:val="auto"/>
              </w:rPr>
              <w:t>136,536</w:t>
            </w: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 of December 31, 2013</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00" w:type="dxa"/>
            <w:vAlign w:val="bottom"/>
          </w:tcPr>
          <w:p>
            <w:pPr>
              <w:ind w:left="20"/>
              <w:spacing w:after="0"/>
              <w:rPr>
                <w:sz w:val="20"/>
                <w:szCs w:val="20"/>
                <w:color w:val="auto"/>
              </w:rPr>
            </w:pPr>
            <w:r>
              <w:rPr>
                <w:rFonts w:ascii="Arial" w:cs="Arial" w:eastAsia="Arial" w:hAnsi="Arial"/>
                <w:sz w:val="18"/>
                <w:szCs w:val="18"/>
                <w:color w:val="auto"/>
              </w:rPr>
              <w:t>Recurring basis:</w:t>
            </w: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Derivative assets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11,175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11,175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900" w:type="dxa"/>
            <w:vAlign w:val="bottom"/>
          </w:tcPr>
          <w:p>
            <w:pPr>
              <w:ind w:left="160"/>
              <w:spacing w:after="0"/>
              <w:rPr>
                <w:sz w:val="20"/>
                <w:szCs w:val="20"/>
                <w:color w:val="auto"/>
              </w:rPr>
            </w:pPr>
            <w:r>
              <w:rPr>
                <w:rFonts w:ascii="Arial" w:cs="Arial" w:eastAsia="Arial" w:hAnsi="Arial"/>
                <w:sz w:val="18"/>
                <w:szCs w:val="18"/>
                <w:color w:val="auto"/>
              </w:rPr>
              <w:t>Derivative liabilities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1,653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7"/>
              <w:spacing w:after="0"/>
              <w:rPr>
                <w:sz w:val="20"/>
                <w:szCs w:val="20"/>
                <w:color w:val="auto"/>
              </w:rPr>
            </w:pPr>
            <w:r>
              <w:rPr>
                <w:rFonts w:ascii="Arial" w:cs="Arial" w:eastAsia="Arial" w:hAnsi="Arial"/>
                <w:sz w:val="18"/>
                <w:szCs w:val="18"/>
                <w:color w:val="auto"/>
              </w:rPr>
              <w:t>1,653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Non-recurring basis: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00" w:type="dxa"/>
            <w:vAlign w:val="bottom"/>
          </w:tcPr>
          <w:p>
            <w:pPr>
              <w:ind w:left="160"/>
              <w:spacing w:after="0"/>
              <w:rPr>
                <w:sz w:val="20"/>
                <w:szCs w:val="20"/>
                <w:color w:val="auto"/>
              </w:rPr>
            </w:pPr>
            <w:r>
              <w:rPr>
                <w:rFonts w:ascii="Arial" w:cs="Arial" w:eastAsia="Arial" w:hAnsi="Arial"/>
                <w:sz w:val="18"/>
                <w:szCs w:val="18"/>
                <w:color w:val="auto"/>
              </w:rPr>
              <w:t>Impaired loans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115,423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7"/>
              <w:spacing w:after="0"/>
              <w:rPr>
                <w:sz w:val="20"/>
                <w:szCs w:val="20"/>
                <w:color w:val="auto"/>
              </w:rPr>
            </w:pPr>
            <w:r>
              <w:rPr>
                <w:rFonts w:ascii="Arial" w:cs="Arial" w:eastAsia="Arial" w:hAnsi="Arial"/>
                <w:sz w:val="18"/>
                <w:szCs w:val="18"/>
                <w:color w:val="auto"/>
              </w:rPr>
              <w:t>115,423</w:t>
            </w: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Impaired real estate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35,680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5,744</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29,936</w:t>
            </w:r>
          </w:p>
        </w:tc>
        <w:tc>
          <w:tcPr>
            <w:tcW w:w="0" w:type="dxa"/>
            <w:vAlign w:val="bottom"/>
          </w:tcPr>
          <w:p>
            <w:pPr>
              <w:spacing w:after="0"/>
              <w:rPr>
                <w:sz w:val="1"/>
                <w:szCs w:val="1"/>
                <w:color w:val="auto"/>
              </w:rPr>
            </w:pPr>
          </w:p>
        </w:tc>
      </w:tr>
      <w:tr>
        <w:trPr>
          <w:trHeight w:val="27"/>
        </w:trPr>
        <w:tc>
          <w:tcPr>
            <w:tcW w:w="49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Notes:</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51" w:lineRule="exact"/>
        <w:rPr>
          <w:sz w:val="20"/>
          <w:szCs w:val="20"/>
          <w:color w:val="auto"/>
        </w:rPr>
      </w:pPr>
    </w:p>
    <w:p>
      <w:pPr>
        <w:ind w:left="660" w:hanging="652"/>
        <w:spacing w:after="0" w:line="273" w:lineRule="auto"/>
        <w:tabs>
          <w:tab w:leader="none" w:pos="6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Company recorded a recovery on three loans with a combined fair value of $136.5 million based on the loans' remaining weighted average term of 1.2 years and weighted average discount rate of 7.3% using discounted cash flow analysis.</w:t>
      </w:r>
    </w:p>
    <w:p>
      <w:pPr>
        <w:spacing w:after="0" w:line="174" w:lineRule="exact"/>
        <w:rPr>
          <w:sz w:val="20"/>
          <w:szCs w:val="20"/>
          <w:color w:val="auto"/>
        </w:rPr>
      </w:pPr>
    </w:p>
    <w:p>
      <w:pPr>
        <w:jc w:val="both"/>
        <w:ind w:firstLine="405"/>
        <w:spacing w:after="0" w:line="295" w:lineRule="auto"/>
        <w:rPr>
          <w:sz w:val="20"/>
          <w:szCs w:val="20"/>
          <w:color w:val="auto"/>
        </w:rPr>
      </w:pPr>
      <w:r>
        <w:rPr>
          <w:rFonts w:ascii="Arial" w:cs="Arial" w:eastAsia="Arial" w:hAnsi="Arial"/>
          <w:sz w:val="16"/>
          <w:szCs w:val="16"/>
          <w:b w:val="1"/>
          <w:bCs w:val="1"/>
          <w:color w:val="auto"/>
        </w:rPr>
        <w:t>Fair values of financial instruments—</w:t>
      </w:r>
      <w:r>
        <w:rPr>
          <w:rFonts w:ascii="Arial" w:cs="Arial" w:eastAsia="Arial" w:hAnsi="Arial"/>
          <w:sz w:val="16"/>
          <w:szCs w:val="16"/>
          <w:color w:val="auto"/>
        </w:rPr>
        <w:t>The Company's estimated fair values of its loans receivable and other lending investments and debt obligations</w:t>
      </w:r>
      <w:r>
        <w:rPr>
          <w:rFonts w:ascii="Arial" w:cs="Arial" w:eastAsia="Arial" w:hAnsi="Arial"/>
          <w:sz w:val="16"/>
          <w:szCs w:val="16"/>
          <w:b w:val="1"/>
          <w:bCs w:val="1"/>
          <w:color w:val="auto"/>
        </w:rPr>
        <w:t xml:space="preserve"> </w:t>
      </w:r>
      <w:r>
        <w:rPr>
          <w:rFonts w:ascii="Arial" w:cs="Arial" w:eastAsia="Arial" w:hAnsi="Arial"/>
          <w:sz w:val="16"/>
          <w:szCs w:val="16"/>
          <w:color w:val="auto"/>
        </w:rPr>
        <w:t>were $1.5 billion and $4.4 billion, respectively, as of March 31, 2014 and $1.4 billion and $4.5 billion, respectively, as of December 31, 2013. The Company determined that the significant inputs used to value its loans receivable and other lending investments and debt obligations fall within Level 3 of the fair value hierarchy. The carrying value of other financial instruments including cash and cash equivalents, restricted cash, accrued interest receivable and accounts payable, approximate the fair values of the instruments. Cash and cash equivalents and restricted cash values are considered Level 1 on the fair value hierarchy. The fair value of other financial instruments, including derivative assets and liabilities, are included in the fair value hierarchy table above.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15—Segment Reporting</w:t>
      </w:r>
    </w:p>
    <w:p>
      <w:pPr>
        <w:spacing w:after="0" w:line="229" w:lineRule="exact"/>
        <w:rPr>
          <w:sz w:val="20"/>
          <w:szCs w:val="20"/>
          <w:color w:val="auto"/>
        </w:rPr>
      </w:pPr>
    </w:p>
    <w:p>
      <w:pPr>
        <w:ind w:right="160" w:firstLine="405"/>
        <w:spacing w:after="0" w:line="297" w:lineRule="auto"/>
        <w:rPr>
          <w:sz w:val="20"/>
          <w:szCs w:val="20"/>
          <w:color w:val="auto"/>
        </w:rPr>
      </w:pPr>
      <w:r>
        <w:rPr>
          <w:rFonts w:ascii="Arial" w:cs="Arial" w:eastAsia="Arial" w:hAnsi="Arial"/>
          <w:sz w:val="16"/>
          <w:szCs w:val="16"/>
          <w:color w:val="auto"/>
        </w:rPr>
        <w:t>The Company has determined that it has four reportable segments based on how management reviews and manages its business. These reportable segments include: Real Estate Finance, Net Lease, Operating Properties and Land. The Real Estate Finance segment includes all of the Company's activities related to senior and mezzanine real estate loans and real estate related securities. The Net Lease segment includes all of the Company's activities related to the ownership and leasing of corporate facilities. The Operating Properties segment includes all of the Company's activities and operations related to its commercial and residential properties. The Land segment includes the Company's activities related to its developable land portfolio.</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1" w:right="239" w:bottom="1440" w:gutter="0" w:footer="0" w:header="0"/>
        </w:sectPr>
      </w:pPr>
    </w:p>
    <w:bookmarkStart w:id="30" w:name="page31"/>
    <w:bookmarkEnd w:id="30"/>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10"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The Company evaluates performance based on the following financial measures for each segment. The Company's segment information is as follows ($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Real Estate</w:t>
            </w:r>
          </w:p>
        </w:tc>
        <w:tc>
          <w:tcPr>
            <w:tcW w:w="180" w:type="dxa"/>
            <w:vAlign w:val="bottom"/>
          </w:tcPr>
          <w:p>
            <w:pPr>
              <w:spacing w:after="0"/>
              <w:rPr>
                <w:sz w:val="14"/>
                <w:szCs w:val="14"/>
                <w:color w:val="auto"/>
              </w:rPr>
            </w:pPr>
          </w:p>
        </w:tc>
        <w:tc>
          <w:tcPr>
            <w:tcW w:w="106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w w:val="99"/>
              </w:rPr>
              <w:t>Net Lease</w:t>
            </w:r>
          </w:p>
        </w:tc>
        <w:tc>
          <w:tcPr>
            <w:tcW w:w="180" w:type="dxa"/>
            <w:vAlign w:val="bottom"/>
          </w:tcPr>
          <w:p>
            <w:pPr>
              <w:spacing w:after="0"/>
              <w:rPr>
                <w:sz w:val="14"/>
                <w:szCs w:val="14"/>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rPr>
              <w:t>Operating</w:t>
            </w:r>
          </w:p>
        </w:tc>
        <w:tc>
          <w:tcPr>
            <w:tcW w:w="300" w:type="dxa"/>
            <w:vAlign w:val="bottom"/>
          </w:tcPr>
          <w:p>
            <w:pPr>
              <w:spacing w:after="0"/>
              <w:rPr>
                <w:sz w:val="14"/>
                <w:szCs w:val="14"/>
                <w:color w:val="auto"/>
              </w:rPr>
            </w:pPr>
          </w:p>
        </w:tc>
        <w:tc>
          <w:tcPr>
            <w:tcW w:w="10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Land</w:t>
            </w:r>
          </w:p>
        </w:tc>
        <w:tc>
          <w:tcPr>
            <w:tcW w:w="1400" w:type="dxa"/>
            <w:vAlign w:val="bottom"/>
            <w:tcBorders>
              <w:right w:val="single" w:sz="8" w:color="auto"/>
            </w:tcBorders>
            <w:gridSpan w:val="3"/>
            <w:vMerge w:val="restart"/>
          </w:tcPr>
          <w:p>
            <w:pPr>
              <w:ind w:left="40"/>
              <w:spacing w:after="0"/>
              <w:rPr>
                <w:sz w:val="20"/>
                <w:szCs w:val="20"/>
                <w:color w:val="auto"/>
              </w:rPr>
            </w:pPr>
            <w:r>
              <w:rPr>
                <w:rFonts w:ascii="Arial" w:cs="Arial" w:eastAsia="Arial" w:hAnsi="Arial"/>
                <w:sz w:val="14"/>
                <w:szCs w:val="14"/>
                <w:b w:val="1"/>
                <w:bCs w:val="1"/>
                <w:color w:val="auto"/>
              </w:rPr>
              <w:t>Corporate/Other(1)</w:t>
            </w:r>
          </w:p>
        </w:tc>
        <w:tc>
          <w:tcPr>
            <w:tcW w:w="120" w:type="dxa"/>
            <w:vAlign w:val="bottom"/>
          </w:tcPr>
          <w:p>
            <w:pPr>
              <w:spacing w:after="0"/>
              <w:rPr>
                <w:sz w:val="14"/>
                <w:szCs w:val="14"/>
                <w:color w:val="auto"/>
              </w:rPr>
            </w:pPr>
          </w:p>
        </w:tc>
        <w:tc>
          <w:tcPr>
            <w:tcW w:w="112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2"/>
              </w:rPr>
              <w:t>Company Total</w:t>
            </w:r>
          </w:p>
        </w:tc>
        <w:tc>
          <w:tcPr>
            <w:tcW w:w="0" w:type="dxa"/>
            <w:vAlign w:val="bottom"/>
          </w:tcPr>
          <w:p>
            <w:pPr>
              <w:spacing w:after="0"/>
              <w:rPr>
                <w:sz w:val="1"/>
                <w:szCs w:val="1"/>
                <w:color w:val="auto"/>
              </w:rPr>
            </w:pPr>
          </w:p>
        </w:tc>
      </w:tr>
      <w:tr>
        <w:trPr>
          <w:trHeight w:val="192"/>
        </w:trPr>
        <w:tc>
          <w:tcPr>
            <w:tcW w:w="3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Finance</w:t>
            </w:r>
          </w:p>
        </w:tc>
        <w:tc>
          <w:tcPr>
            <w:tcW w:w="18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ind w:left="60"/>
              <w:spacing w:after="0"/>
              <w:rPr>
                <w:sz w:val="20"/>
                <w:szCs w:val="20"/>
                <w:color w:val="auto"/>
              </w:rPr>
            </w:pPr>
            <w:r>
              <w:rPr>
                <w:rFonts w:ascii="Arial" w:cs="Arial" w:eastAsia="Arial" w:hAnsi="Arial"/>
                <w:sz w:val="14"/>
                <w:szCs w:val="14"/>
                <w:b w:val="1"/>
                <w:bCs w:val="1"/>
                <w:color w:val="auto"/>
              </w:rPr>
              <w:t>Properties</w:t>
            </w:r>
          </w:p>
        </w:tc>
        <w:tc>
          <w:tcPr>
            <w:tcW w:w="30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400" w:type="dxa"/>
            <w:vAlign w:val="bottom"/>
            <w:tcBorders>
              <w:right w:val="single" w:sz="8" w:color="auto"/>
            </w:tcBorders>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98"/>
              </w:rPr>
              <w:t>For the three months ended March 31, 2014</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right w:val="single" w:sz="8" w:color="auto"/>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Operating lease income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38,881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23,001</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21"/>
                <w:szCs w:val="21"/>
                <w:color w:val="auto"/>
              </w:rPr>
            </w:pPr>
          </w:p>
        </w:tc>
        <w:tc>
          <w:tcPr>
            <w:tcW w:w="340" w:type="dxa"/>
            <w:vAlign w:val="bottom"/>
          </w:tcPr>
          <w:p>
            <w:pPr>
              <w:ind w:left="40"/>
              <w:spacing w:after="0"/>
              <w:rPr>
                <w:sz w:val="20"/>
                <w:szCs w:val="20"/>
                <w:color w:val="auto"/>
              </w:rPr>
            </w:pPr>
            <w:r>
              <w:rPr>
                <w:rFonts w:ascii="Arial" w:cs="Arial" w:eastAsia="Arial" w:hAnsi="Arial"/>
                <w:sz w:val="18"/>
                <w:szCs w:val="18"/>
                <w:color w:val="auto"/>
              </w:rPr>
              <w:t>$</w:t>
            </w:r>
          </w:p>
        </w:tc>
        <w:tc>
          <w:tcPr>
            <w:tcW w:w="106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62,108</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27,914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27,914</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Other income</w:t>
            </w:r>
          </w:p>
        </w:tc>
        <w:tc>
          <w:tcPr>
            <w:tcW w:w="16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399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12,666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1,079</w:t>
            </w:r>
          </w:p>
        </w:tc>
        <w:tc>
          <w:tcPr>
            <w:tcW w:w="14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14,584</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 sales revenue</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4,143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4,143</w:t>
            </w:r>
          </w:p>
        </w:tc>
        <w:tc>
          <w:tcPr>
            <w:tcW w:w="0" w:type="dxa"/>
            <w:vAlign w:val="bottom"/>
          </w:tcPr>
          <w:p>
            <w:pPr>
              <w:spacing w:after="0"/>
              <w:rPr>
                <w:sz w:val="1"/>
                <w:szCs w:val="1"/>
                <w:color w:val="auto"/>
              </w:rPr>
            </w:pPr>
          </w:p>
        </w:tc>
      </w:tr>
      <w:tr>
        <w:trPr>
          <w:trHeight w:val="237"/>
        </w:trPr>
        <w:tc>
          <w:tcPr>
            <w:tcW w:w="3700" w:type="dxa"/>
            <w:vAlign w:val="bottom"/>
          </w:tcPr>
          <w:p>
            <w:pPr>
              <w:ind w:left="280"/>
              <w:spacing w:after="0"/>
              <w:rPr>
                <w:sz w:val="20"/>
                <w:szCs w:val="20"/>
                <w:color w:val="auto"/>
              </w:rPr>
            </w:pPr>
            <w:r>
              <w:rPr>
                <w:rFonts w:ascii="Arial" w:cs="Arial" w:eastAsia="Arial" w:hAnsi="Arial"/>
                <w:sz w:val="18"/>
                <w:szCs w:val="18"/>
                <w:color w:val="auto"/>
              </w:rPr>
              <w:t>Total revenue</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28,313</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39,095</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35,667</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4,595</w:t>
            </w:r>
          </w:p>
        </w:tc>
        <w:tc>
          <w:tcPr>
            <w:tcW w:w="100" w:type="dxa"/>
            <w:vAlign w:val="bottom"/>
          </w:tcPr>
          <w:p>
            <w:pPr>
              <w:spacing w:after="0"/>
              <w:rPr>
                <w:sz w:val="20"/>
                <w:szCs w:val="20"/>
                <w:color w:val="auto"/>
              </w:rPr>
            </w:pPr>
          </w:p>
        </w:tc>
        <w:tc>
          <w:tcPr>
            <w:tcW w:w="3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1,079</w:t>
            </w:r>
          </w:p>
        </w:tc>
        <w:tc>
          <w:tcPr>
            <w:tcW w:w="140" w:type="dxa"/>
            <w:vAlign w:val="bottom"/>
            <w:tcBorders>
              <w:right w:val="single" w:sz="8" w:color="auto"/>
            </w:tcBorders>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108,749</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5"/>
              </w:rPr>
              <w:t>Earnings (loss) from equity method investments</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2,932</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3,177</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Income from sales of residential property</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16,494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6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16,494</w:t>
            </w:r>
          </w:p>
        </w:tc>
        <w:tc>
          <w:tcPr>
            <w:tcW w:w="0" w:type="dxa"/>
            <w:vAlign w:val="bottom"/>
          </w:tcPr>
          <w:p>
            <w:pPr>
              <w:spacing w:after="0"/>
              <w:rPr>
                <w:sz w:val="1"/>
                <w:szCs w:val="1"/>
                <w:color w:val="auto"/>
              </w:rPr>
            </w:pPr>
          </w:p>
        </w:tc>
      </w:tr>
      <w:tr>
        <w:trPr>
          <w:trHeight w:val="27"/>
        </w:trPr>
        <w:tc>
          <w:tcPr>
            <w:tcW w:w="3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Revenue and other earnings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28,313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39,381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52,378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4,337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4,011</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128,420</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Real estate expense</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(5,674)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(28,614)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(8,325)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(42,613)</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 cost of sales</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(3,654)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(3,654)</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Other expense</w:t>
            </w: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209</w:t>
            </w:r>
          </w:p>
        </w:tc>
        <w:tc>
          <w:tcPr>
            <w:tcW w:w="14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Allocated interest expense</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(15,452)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(10,259)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(7,159)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(5,976)</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(57,456)</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Allocated general and administrative(2)</w:t>
            </w: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(3,090)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(3,799)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(2,189)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(3,049)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(5,586)</w:t>
            </w:r>
          </w:p>
        </w:tc>
        <w:tc>
          <w:tcPr>
            <w:tcW w:w="14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(17,713)</w:t>
            </w:r>
          </w:p>
        </w:tc>
        <w:tc>
          <w:tcPr>
            <w:tcW w:w="0" w:type="dxa"/>
            <w:vAlign w:val="bottom"/>
          </w:tcPr>
          <w:p>
            <w:pPr>
              <w:spacing w:after="0"/>
              <w:rPr>
                <w:sz w:val="1"/>
                <w:szCs w:val="1"/>
                <w:color w:val="auto"/>
              </w:rPr>
            </w:pPr>
          </w:p>
        </w:tc>
      </w:tr>
      <w:tr>
        <w:trPr>
          <w:trHeight w:val="27"/>
        </w:trPr>
        <w:tc>
          <w:tcPr>
            <w:tcW w:w="3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b w:val="1"/>
                <w:bCs w:val="1"/>
                <w:color w:val="auto"/>
              </w:rPr>
              <w:t>Segment profit (loss)(4)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9,341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11,298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11,316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(17,850)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(7,342)</w:t>
            </w: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6,763</w:t>
            </w:r>
          </w:p>
        </w:tc>
        <w:tc>
          <w:tcPr>
            <w:tcW w:w="0" w:type="dxa"/>
            <w:vAlign w:val="bottom"/>
          </w:tcPr>
          <w:p>
            <w:pPr>
              <w:spacing w:after="0"/>
              <w:rPr>
                <w:sz w:val="1"/>
                <w:szCs w:val="1"/>
                <w:color w:val="auto"/>
              </w:rPr>
            </w:pPr>
          </w:p>
        </w:tc>
      </w:tr>
      <w:tr>
        <w:trPr>
          <w:trHeight w:val="20"/>
        </w:trPr>
        <w:tc>
          <w:tcPr>
            <w:tcW w:w="3700" w:type="dxa"/>
            <w:vAlign w:val="bottom"/>
            <w:vMerge w:val="restart"/>
          </w:tcPr>
          <w:p>
            <w:pPr>
              <w:ind w:left="40"/>
              <w:spacing w:after="0"/>
              <w:rPr>
                <w:sz w:val="20"/>
                <w:szCs w:val="20"/>
                <w:color w:val="auto"/>
              </w:rPr>
            </w:pPr>
            <w:r>
              <w:rPr>
                <w:rFonts w:ascii="Arial" w:cs="Arial" w:eastAsia="Arial" w:hAnsi="Arial"/>
                <w:sz w:val="18"/>
                <w:szCs w:val="18"/>
                <w:color w:val="auto"/>
              </w:rPr>
              <w:t>Other significant non-cash items:</w:t>
            </w: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70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Provision for (recovery of) loan losses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(3,400)</w:t>
            </w:r>
          </w:p>
        </w:tc>
        <w:tc>
          <w:tcPr>
            <w:tcW w:w="0" w:type="dxa"/>
            <w:vAlign w:val="bottom"/>
          </w:tcPr>
          <w:p>
            <w:pPr>
              <w:spacing w:after="0"/>
              <w:rPr>
                <w:sz w:val="1"/>
                <w:szCs w:val="1"/>
                <w:color w:val="auto"/>
              </w:rPr>
            </w:pPr>
          </w:p>
        </w:tc>
      </w:tr>
      <w:tr>
        <w:trPr>
          <w:trHeight w:val="243"/>
        </w:trPr>
        <w:tc>
          <w:tcPr>
            <w:tcW w:w="3700" w:type="dxa"/>
            <w:vAlign w:val="bottom"/>
          </w:tcPr>
          <w:p>
            <w:pPr>
              <w:ind w:left="200"/>
              <w:spacing w:after="0"/>
              <w:rPr>
                <w:sz w:val="20"/>
                <w:szCs w:val="20"/>
                <w:color w:val="auto"/>
              </w:rPr>
            </w:pPr>
            <w:r>
              <w:rPr>
                <w:rFonts w:ascii="Arial" w:cs="Arial" w:eastAsia="Arial" w:hAnsi="Arial"/>
                <w:sz w:val="18"/>
                <w:szCs w:val="18"/>
                <w:color w:val="auto"/>
              </w:rPr>
              <w:t>Impairment of assets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2,979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ind w:left="40"/>
              <w:spacing w:after="0"/>
              <w:rPr>
                <w:sz w:val="20"/>
                <w:szCs w:val="20"/>
                <w:color w:val="auto"/>
              </w:rPr>
            </w:pPr>
            <w:r>
              <w:rPr>
                <w:rFonts w:ascii="Arial" w:cs="Arial" w:eastAsia="Arial" w:hAnsi="Arial"/>
                <w:sz w:val="18"/>
                <w:szCs w:val="18"/>
                <w:color w:val="auto"/>
              </w:rPr>
              <w:t>$</w:t>
            </w:r>
          </w:p>
        </w:tc>
        <w:tc>
          <w:tcPr>
            <w:tcW w:w="106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2,979</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10,128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7,864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317</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18,613</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Capitalized expenditures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504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12,854</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14,683</w:t>
            </w:r>
          </w:p>
        </w:tc>
        <w:tc>
          <w:tcPr>
            <w:tcW w:w="100" w:type="dxa"/>
            <w:vAlign w:val="bottom"/>
          </w:tcPr>
          <w:p>
            <w:pPr>
              <w:spacing w:after="0"/>
              <w:rPr>
                <w:sz w:val="21"/>
                <w:szCs w:val="21"/>
                <w:color w:val="auto"/>
              </w:rPr>
            </w:pPr>
          </w:p>
        </w:tc>
        <w:tc>
          <w:tcPr>
            <w:tcW w:w="340" w:type="dxa"/>
            <w:vAlign w:val="bottom"/>
          </w:tcPr>
          <w:p>
            <w:pPr>
              <w:ind w:left="40"/>
              <w:spacing w:after="0"/>
              <w:rPr>
                <w:sz w:val="20"/>
                <w:szCs w:val="20"/>
                <w:color w:val="auto"/>
              </w:rPr>
            </w:pPr>
            <w:r>
              <w:rPr>
                <w:rFonts w:ascii="Arial" w:cs="Arial" w:eastAsia="Arial" w:hAnsi="Arial"/>
                <w:sz w:val="18"/>
                <w:szCs w:val="18"/>
                <w:color w:val="auto"/>
              </w:rPr>
              <w:t>$</w:t>
            </w:r>
          </w:p>
        </w:tc>
        <w:tc>
          <w:tcPr>
            <w:tcW w:w="106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28,041</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 of March 31, 2014</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Real estate</w:t>
            </w: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Real estate, at cost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1,611,246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726,356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809,517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3,147,119</w:t>
            </w:r>
          </w:p>
        </w:tc>
        <w:tc>
          <w:tcPr>
            <w:tcW w:w="0" w:type="dxa"/>
            <w:vAlign w:val="bottom"/>
          </w:tcPr>
          <w:p>
            <w:pPr>
              <w:spacing w:after="0"/>
              <w:rPr>
                <w:sz w:val="1"/>
                <w:szCs w:val="1"/>
                <w:color w:val="auto"/>
              </w:rPr>
            </w:pPr>
          </w:p>
        </w:tc>
      </w:tr>
      <w:tr>
        <w:trPr>
          <w:trHeight w:val="243"/>
        </w:trPr>
        <w:tc>
          <w:tcPr>
            <w:tcW w:w="3700" w:type="dxa"/>
            <w:vAlign w:val="bottom"/>
          </w:tcPr>
          <w:p>
            <w:pPr>
              <w:ind w:left="280"/>
              <w:spacing w:after="0"/>
              <w:rPr>
                <w:sz w:val="20"/>
                <w:szCs w:val="20"/>
                <w:color w:val="auto"/>
              </w:rPr>
            </w:pPr>
            <w:r>
              <w:rPr>
                <w:rFonts w:ascii="Arial" w:cs="Arial" w:eastAsia="Arial" w:hAnsi="Arial"/>
                <w:sz w:val="18"/>
                <w:szCs w:val="18"/>
                <w:color w:val="auto"/>
              </w:rPr>
              <w:t>Less: accumulated depreciation</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(343,294)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(86,173)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(3,682)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(433,149)</w:t>
            </w:r>
          </w:p>
        </w:tc>
        <w:tc>
          <w:tcPr>
            <w:tcW w:w="0" w:type="dxa"/>
            <w:vAlign w:val="bottom"/>
          </w:tcPr>
          <w:p>
            <w:pPr>
              <w:spacing w:after="0"/>
              <w:rPr>
                <w:sz w:val="1"/>
                <w:szCs w:val="1"/>
                <w:color w:val="auto"/>
              </w:rPr>
            </w:pPr>
          </w:p>
        </w:tc>
      </w:tr>
      <w:tr>
        <w:trPr>
          <w:trHeight w:val="27"/>
        </w:trPr>
        <w:tc>
          <w:tcPr>
            <w:tcW w:w="3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Real estate, net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1,267,952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640,183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805,835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2,713,970</w:t>
            </w:r>
          </w:p>
        </w:tc>
        <w:tc>
          <w:tcPr>
            <w:tcW w:w="0" w:type="dxa"/>
            <w:vAlign w:val="bottom"/>
          </w:tcPr>
          <w:p>
            <w:pPr>
              <w:spacing w:after="0"/>
              <w:rPr>
                <w:sz w:val="1"/>
                <w:szCs w:val="1"/>
                <w:color w:val="auto"/>
              </w:rPr>
            </w:pPr>
          </w:p>
        </w:tc>
      </w:tr>
      <w:tr>
        <w:trPr>
          <w:trHeight w:val="243"/>
        </w:trPr>
        <w:tc>
          <w:tcPr>
            <w:tcW w:w="3700" w:type="dxa"/>
            <w:vAlign w:val="bottom"/>
          </w:tcPr>
          <w:p>
            <w:pPr>
              <w:ind w:left="280"/>
              <w:spacing w:after="0"/>
              <w:rPr>
                <w:sz w:val="20"/>
                <w:szCs w:val="20"/>
                <w:color w:val="auto"/>
              </w:rPr>
            </w:pPr>
            <w:r>
              <w:rPr>
                <w:rFonts w:ascii="Arial" w:cs="Arial" w:eastAsia="Arial" w:hAnsi="Arial"/>
                <w:sz w:val="18"/>
                <w:szCs w:val="18"/>
                <w:color w:val="auto"/>
              </w:rPr>
              <w:t>Real estate available and held for sale</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204,653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130,038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334,691</w:t>
            </w:r>
          </w:p>
        </w:tc>
        <w:tc>
          <w:tcPr>
            <w:tcW w:w="0" w:type="dxa"/>
            <w:vAlign w:val="bottom"/>
          </w:tcPr>
          <w:p>
            <w:pPr>
              <w:spacing w:after="0"/>
              <w:rPr>
                <w:sz w:val="1"/>
                <w:szCs w:val="1"/>
                <w:color w:val="auto"/>
              </w:rPr>
            </w:pPr>
          </w:p>
        </w:tc>
      </w:tr>
      <w:tr>
        <w:trPr>
          <w:trHeight w:val="27"/>
        </w:trPr>
        <w:tc>
          <w:tcPr>
            <w:tcW w:w="3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real estate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1,267,952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844,836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935,873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3,048,661</w:t>
            </w:r>
          </w:p>
        </w:tc>
        <w:tc>
          <w:tcPr>
            <w:tcW w:w="0" w:type="dxa"/>
            <w:vAlign w:val="bottom"/>
          </w:tcPr>
          <w:p>
            <w:pPr>
              <w:spacing w:after="0"/>
              <w:rPr>
                <w:sz w:val="1"/>
                <w:szCs w:val="1"/>
                <w:color w:val="auto"/>
              </w:rPr>
            </w:pPr>
          </w:p>
        </w:tc>
      </w:tr>
      <w:tr>
        <w:trPr>
          <w:trHeight w:val="229"/>
        </w:trPr>
        <w:tc>
          <w:tcPr>
            <w:tcW w:w="3700" w:type="dxa"/>
            <w:vAlign w:val="bottom"/>
          </w:tcPr>
          <w:p>
            <w:pPr>
              <w:ind w:left="40"/>
              <w:spacing w:after="0"/>
              <w:rPr>
                <w:sz w:val="20"/>
                <w:szCs w:val="20"/>
                <w:color w:val="auto"/>
              </w:rPr>
            </w:pPr>
            <w:r>
              <w:rPr>
                <w:rFonts w:ascii="Arial" w:cs="Arial" w:eastAsia="Arial" w:hAnsi="Arial"/>
                <w:sz w:val="18"/>
                <w:szCs w:val="18"/>
                <w:color w:val="auto"/>
                <w:w w:val="94"/>
              </w:rPr>
              <w:t>Loans receivable and other lending investments,</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tcPr>
          <w:p>
            <w:pPr>
              <w:ind w:left="40"/>
              <w:spacing w:after="0"/>
              <w:rPr>
                <w:sz w:val="20"/>
                <w:szCs w:val="20"/>
                <w:color w:val="auto"/>
              </w:rPr>
            </w:pPr>
            <w:r>
              <w:rPr>
                <w:rFonts w:ascii="Arial" w:cs="Arial" w:eastAsia="Arial" w:hAnsi="Arial"/>
                <w:sz w:val="18"/>
                <w:szCs w:val="18"/>
                <w:color w:val="auto"/>
              </w:rPr>
              <w:t>net</w:t>
            </w:r>
          </w:p>
        </w:tc>
        <w:tc>
          <w:tcPr>
            <w:tcW w:w="16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1,476,490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06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1,476,490</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investments</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33,441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15,794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33,312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122,550</w:t>
            </w:r>
          </w:p>
        </w:tc>
        <w:tc>
          <w:tcPr>
            <w:tcW w:w="140" w:type="dxa"/>
            <w:vAlign w:val="bottom"/>
            <w:tcBorders>
              <w:bottom w:val="single" w:sz="8" w:color="CCEEFF"/>
              <w:right w:val="single" w:sz="8" w:color="auto"/>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205,097</w:t>
            </w:r>
          </w:p>
        </w:tc>
        <w:tc>
          <w:tcPr>
            <w:tcW w:w="0" w:type="dxa"/>
            <w:vAlign w:val="bottom"/>
          </w:tcPr>
          <w:p>
            <w:pPr>
              <w:spacing w:after="0"/>
              <w:rPr>
                <w:sz w:val="1"/>
                <w:szCs w:val="1"/>
                <w:color w:val="auto"/>
              </w:rPr>
            </w:pPr>
          </w:p>
        </w:tc>
      </w:tr>
      <w:tr>
        <w:trPr>
          <w:trHeight w:val="297"/>
        </w:trPr>
        <w:tc>
          <w:tcPr>
            <w:tcW w:w="370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Total portfolio assets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1,476,490</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1,301,393</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860,630</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969,185</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122,550</w:t>
            </w:r>
          </w:p>
        </w:tc>
        <w:tc>
          <w:tcPr>
            <w:tcW w:w="140" w:type="dxa"/>
            <w:vAlign w:val="bottom"/>
            <w:tcBorders>
              <w:bottom w:val="single" w:sz="8" w:color="CCEEFF"/>
              <w:right w:val="single" w:sz="8" w:color="auto"/>
            </w:tcBorders>
          </w:tcPr>
          <w:p>
            <w:pPr>
              <w:spacing w:after="0"/>
              <w:rPr>
                <w:sz w:val="24"/>
                <w:szCs w:val="24"/>
                <w:color w:val="auto"/>
              </w:rPr>
            </w:pPr>
          </w:p>
        </w:tc>
        <w:tc>
          <w:tcPr>
            <w:tcW w:w="120" w:type="dxa"/>
            <w:vAlign w:val="bottom"/>
            <w:tcBorders>
              <w:top w:val="single" w:sz="8" w:color="auto"/>
              <w:bottom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CCEEFF"/>
            </w:tcBorders>
          </w:tcPr>
          <w:p>
            <w:pPr>
              <w:jc w:val="right"/>
              <w:ind w:right="11"/>
              <w:spacing w:after="0"/>
              <w:rPr>
                <w:sz w:val="20"/>
                <w:szCs w:val="20"/>
                <w:color w:val="auto"/>
              </w:rPr>
            </w:pPr>
            <w:r>
              <w:rPr>
                <w:rFonts w:ascii="Arial" w:cs="Arial" w:eastAsia="Arial" w:hAnsi="Arial"/>
                <w:sz w:val="18"/>
                <w:szCs w:val="18"/>
                <w:color w:val="auto"/>
              </w:rPr>
              <w:t>4,730,248</w:t>
            </w:r>
          </w:p>
        </w:tc>
        <w:tc>
          <w:tcPr>
            <w:tcW w:w="0" w:type="dxa"/>
            <w:vAlign w:val="bottom"/>
          </w:tcPr>
          <w:p>
            <w:pPr>
              <w:spacing w:after="0"/>
              <w:rPr>
                <w:sz w:val="1"/>
                <w:szCs w:val="1"/>
                <w:color w:val="auto"/>
              </w:rPr>
            </w:pPr>
          </w:p>
        </w:tc>
      </w:tr>
      <w:tr>
        <w:trPr>
          <w:trHeight w:val="257"/>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other assets</w:t>
            </w: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757,467</w:t>
            </w:r>
          </w:p>
        </w:tc>
        <w:tc>
          <w:tcPr>
            <w:tcW w:w="0" w:type="dxa"/>
            <w:vAlign w:val="bottom"/>
          </w:tcPr>
          <w:p>
            <w:pPr>
              <w:spacing w:after="0"/>
              <w:rPr>
                <w:sz w:val="1"/>
                <w:szCs w:val="1"/>
                <w:color w:val="auto"/>
              </w:rPr>
            </w:pPr>
          </w:p>
        </w:tc>
      </w:tr>
      <w:tr>
        <w:trPr>
          <w:trHeight w:val="257"/>
        </w:trPr>
        <w:tc>
          <w:tcPr>
            <w:tcW w:w="3700" w:type="dxa"/>
            <w:vAlign w:val="bottom"/>
          </w:tcPr>
          <w:p>
            <w:pPr>
              <w:ind w:left="280"/>
              <w:spacing w:after="0"/>
              <w:rPr>
                <w:sz w:val="20"/>
                <w:szCs w:val="20"/>
                <w:color w:val="auto"/>
              </w:rPr>
            </w:pPr>
            <w:r>
              <w:rPr>
                <w:rFonts w:ascii="Arial" w:cs="Arial" w:eastAsia="Arial" w:hAnsi="Arial"/>
                <w:sz w:val="18"/>
                <w:szCs w:val="18"/>
                <w:color w:val="auto"/>
              </w:rPr>
              <w:t>Total assets</w:t>
            </w: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5,487,715</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vMerge w:val="restart"/>
          </w:tcPr>
          <w:p>
            <w:pPr>
              <w:jc w:val="right"/>
              <w:ind w:right="191"/>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0"/>
        </w:trPr>
        <w:tc>
          <w:tcPr>
            <w:tcW w:w="3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31" w:name="page32"/>
    <w:bookmarkEnd w:id="31"/>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Real Estate</w:t>
            </w:r>
          </w:p>
        </w:tc>
        <w:tc>
          <w:tcPr>
            <w:tcW w:w="180" w:type="dxa"/>
            <w:vAlign w:val="bottom"/>
          </w:tcPr>
          <w:p>
            <w:pPr>
              <w:spacing w:after="0"/>
              <w:rPr>
                <w:sz w:val="14"/>
                <w:szCs w:val="14"/>
                <w:color w:val="auto"/>
              </w:rPr>
            </w:pPr>
          </w:p>
        </w:tc>
        <w:tc>
          <w:tcPr>
            <w:tcW w:w="10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Net Lease</w:t>
            </w:r>
          </w:p>
        </w:tc>
        <w:tc>
          <w:tcPr>
            <w:tcW w:w="180" w:type="dxa"/>
            <w:vAlign w:val="bottom"/>
          </w:tcPr>
          <w:p>
            <w:pPr>
              <w:spacing w:after="0"/>
              <w:rPr>
                <w:sz w:val="14"/>
                <w:szCs w:val="14"/>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rPr>
              <w:t>Operating</w:t>
            </w:r>
          </w:p>
        </w:tc>
        <w:tc>
          <w:tcPr>
            <w:tcW w:w="300" w:type="dxa"/>
            <w:vAlign w:val="bottom"/>
          </w:tcPr>
          <w:p>
            <w:pPr>
              <w:spacing w:after="0"/>
              <w:rPr>
                <w:sz w:val="14"/>
                <w:szCs w:val="14"/>
                <w:color w:val="auto"/>
              </w:rPr>
            </w:pPr>
          </w:p>
        </w:tc>
        <w:tc>
          <w:tcPr>
            <w:tcW w:w="10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Land</w:t>
            </w:r>
          </w:p>
        </w:tc>
        <w:tc>
          <w:tcPr>
            <w:tcW w:w="1400" w:type="dxa"/>
            <w:vAlign w:val="bottom"/>
            <w:tcBorders>
              <w:right w:val="single" w:sz="8" w:color="auto"/>
            </w:tcBorders>
            <w:gridSpan w:val="3"/>
            <w:vMerge w:val="restart"/>
          </w:tcPr>
          <w:p>
            <w:pPr>
              <w:ind w:left="40"/>
              <w:spacing w:after="0"/>
              <w:rPr>
                <w:sz w:val="20"/>
                <w:szCs w:val="20"/>
                <w:color w:val="auto"/>
              </w:rPr>
            </w:pPr>
            <w:r>
              <w:rPr>
                <w:rFonts w:ascii="Arial" w:cs="Arial" w:eastAsia="Arial" w:hAnsi="Arial"/>
                <w:sz w:val="14"/>
                <w:szCs w:val="14"/>
                <w:b w:val="1"/>
                <w:bCs w:val="1"/>
                <w:color w:val="auto"/>
              </w:rPr>
              <w:t>Corporate/Other(1)</w:t>
            </w:r>
          </w:p>
        </w:tc>
        <w:tc>
          <w:tcPr>
            <w:tcW w:w="120" w:type="dxa"/>
            <w:vAlign w:val="bottom"/>
          </w:tcPr>
          <w:p>
            <w:pPr>
              <w:spacing w:after="0"/>
              <w:rPr>
                <w:sz w:val="14"/>
                <w:szCs w:val="14"/>
                <w:color w:val="auto"/>
              </w:rPr>
            </w:pPr>
          </w:p>
        </w:tc>
        <w:tc>
          <w:tcPr>
            <w:tcW w:w="112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2"/>
              </w:rPr>
              <w:t>Company Total</w:t>
            </w:r>
          </w:p>
        </w:tc>
        <w:tc>
          <w:tcPr>
            <w:tcW w:w="0" w:type="dxa"/>
            <w:vAlign w:val="bottom"/>
          </w:tcPr>
          <w:p>
            <w:pPr>
              <w:spacing w:after="0"/>
              <w:rPr>
                <w:sz w:val="1"/>
                <w:szCs w:val="1"/>
                <w:color w:val="auto"/>
              </w:rPr>
            </w:pPr>
          </w:p>
        </w:tc>
      </w:tr>
      <w:tr>
        <w:trPr>
          <w:trHeight w:val="192"/>
        </w:trPr>
        <w:tc>
          <w:tcPr>
            <w:tcW w:w="3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Finance</w:t>
            </w:r>
          </w:p>
        </w:tc>
        <w:tc>
          <w:tcPr>
            <w:tcW w:w="18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ind w:left="60"/>
              <w:spacing w:after="0"/>
              <w:rPr>
                <w:sz w:val="20"/>
                <w:szCs w:val="20"/>
                <w:color w:val="auto"/>
              </w:rPr>
            </w:pPr>
            <w:r>
              <w:rPr>
                <w:rFonts w:ascii="Arial" w:cs="Arial" w:eastAsia="Arial" w:hAnsi="Arial"/>
                <w:sz w:val="14"/>
                <w:szCs w:val="14"/>
                <w:b w:val="1"/>
                <w:bCs w:val="1"/>
                <w:color w:val="auto"/>
              </w:rPr>
              <w:t>Properties</w:t>
            </w:r>
          </w:p>
        </w:tc>
        <w:tc>
          <w:tcPr>
            <w:tcW w:w="30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400" w:type="dxa"/>
            <w:vAlign w:val="bottom"/>
            <w:tcBorders>
              <w:right w:val="single" w:sz="8" w:color="auto"/>
            </w:tcBorders>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98"/>
              </w:rPr>
              <w:t>For the three months ended March 31, 2013</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right w:val="single" w:sz="8" w:color="auto"/>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Operating lease income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36,651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21,364</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ind w:left="40"/>
              <w:spacing w:after="0"/>
              <w:rPr>
                <w:sz w:val="20"/>
                <w:szCs w:val="20"/>
                <w:color w:val="auto"/>
              </w:rPr>
            </w:pPr>
            <w:r>
              <w:rPr>
                <w:rFonts w:ascii="Arial" w:cs="Arial" w:eastAsia="Arial" w:hAnsi="Arial"/>
                <w:sz w:val="18"/>
                <w:szCs w:val="18"/>
                <w:color w:val="auto"/>
              </w:rPr>
              <w:t>$</w:t>
            </w:r>
          </w:p>
        </w:tc>
        <w:tc>
          <w:tcPr>
            <w:tcW w:w="106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58,015</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24,667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24,667</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Other income</w:t>
            </w:r>
          </w:p>
        </w:tc>
        <w:tc>
          <w:tcPr>
            <w:tcW w:w="16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2,208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8,112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573</w:t>
            </w:r>
          </w:p>
        </w:tc>
        <w:tc>
          <w:tcPr>
            <w:tcW w:w="14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11,393</w:t>
            </w:r>
          </w:p>
        </w:tc>
        <w:tc>
          <w:tcPr>
            <w:tcW w:w="0" w:type="dxa"/>
            <w:vAlign w:val="bottom"/>
          </w:tcPr>
          <w:p>
            <w:pPr>
              <w:spacing w:after="0"/>
              <w:rPr>
                <w:sz w:val="1"/>
                <w:szCs w:val="1"/>
                <w:color w:val="auto"/>
              </w:rPr>
            </w:pPr>
          </w:p>
        </w:tc>
      </w:tr>
      <w:tr>
        <w:trPr>
          <w:trHeight w:val="27"/>
        </w:trPr>
        <w:tc>
          <w:tcPr>
            <w:tcW w:w="3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revenue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26,875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36,651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29,476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573</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94,075</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w w:val="95"/>
              </w:rPr>
              <w:t>Earnings (loss) from equity method investments</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686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2,657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(1,579)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19,914</w:t>
            </w:r>
          </w:p>
        </w:tc>
        <w:tc>
          <w:tcPr>
            <w:tcW w:w="14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21,678</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sales of residential property</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23,697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23,697</w:t>
            </w:r>
          </w:p>
        </w:tc>
        <w:tc>
          <w:tcPr>
            <w:tcW w:w="0" w:type="dxa"/>
            <w:vAlign w:val="bottom"/>
          </w:tcPr>
          <w:p>
            <w:pPr>
              <w:spacing w:after="0"/>
              <w:rPr>
                <w:sz w:val="1"/>
                <w:szCs w:val="1"/>
                <w:color w:val="auto"/>
              </w:rPr>
            </w:pPr>
          </w:p>
        </w:tc>
      </w:tr>
      <w:tr>
        <w:trPr>
          <w:trHeight w:val="229"/>
        </w:trPr>
        <w:tc>
          <w:tcPr>
            <w:tcW w:w="3700" w:type="dxa"/>
            <w:vAlign w:val="bottom"/>
          </w:tcPr>
          <w:p>
            <w:pPr>
              <w:ind w:left="40"/>
              <w:spacing w:after="0"/>
              <w:rPr>
                <w:sz w:val="20"/>
                <w:szCs w:val="20"/>
                <w:color w:val="auto"/>
              </w:rPr>
            </w:pPr>
            <w:r>
              <w:rPr>
                <w:rFonts w:ascii="Arial" w:cs="Arial" w:eastAsia="Arial" w:hAnsi="Arial"/>
                <w:sz w:val="18"/>
                <w:szCs w:val="18"/>
                <w:color w:val="auto"/>
              </w:rPr>
              <w:t>Net operating income from discontinued</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tcPr>
          <w:p>
            <w:pPr>
              <w:ind w:left="40"/>
              <w:spacing w:after="0"/>
              <w:rPr>
                <w:sz w:val="20"/>
                <w:szCs w:val="20"/>
                <w:color w:val="auto"/>
              </w:rPr>
            </w:pPr>
            <w:r>
              <w:rPr>
                <w:rFonts w:ascii="Arial" w:cs="Arial" w:eastAsia="Arial" w:hAnsi="Arial"/>
                <w:sz w:val="18"/>
                <w:szCs w:val="18"/>
                <w:color w:val="auto"/>
              </w:rPr>
              <w:t>operations(2)</w:t>
            </w:r>
          </w:p>
        </w:tc>
        <w:tc>
          <w:tcPr>
            <w:tcW w:w="1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610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734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06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1,344</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from discontinued operations</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5,015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5,044</w:t>
            </w:r>
          </w:p>
        </w:tc>
        <w:tc>
          <w:tcPr>
            <w:tcW w:w="0" w:type="dxa"/>
            <w:vAlign w:val="bottom"/>
          </w:tcPr>
          <w:p>
            <w:pPr>
              <w:spacing w:after="0"/>
              <w:rPr>
                <w:sz w:val="1"/>
                <w:szCs w:val="1"/>
                <w:color w:val="auto"/>
              </w:rPr>
            </w:pPr>
          </w:p>
        </w:tc>
      </w:tr>
      <w:tr>
        <w:trPr>
          <w:trHeight w:val="237"/>
        </w:trPr>
        <w:tc>
          <w:tcPr>
            <w:tcW w:w="3700" w:type="dxa"/>
            <w:vAlign w:val="bottom"/>
          </w:tcPr>
          <w:p>
            <w:pPr>
              <w:ind w:left="280"/>
              <w:spacing w:after="0"/>
              <w:rPr>
                <w:sz w:val="20"/>
                <w:szCs w:val="20"/>
                <w:color w:val="auto"/>
              </w:rPr>
            </w:pPr>
            <w:r>
              <w:rPr>
                <w:rFonts w:ascii="Arial" w:cs="Arial" w:eastAsia="Arial" w:hAnsi="Arial"/>
                <w:sz w:val="18"/>
                <w:szCs w:val="18"/>
                <w:color w:val="auto"/>
              </w:rPr>
              <w:t>Revenue and other earnings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26,875</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37,976</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61,579</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(1,079)</w:t>
            </w:r>
          </w:p>
        </w:tc>
        <w:tc>
          <w:tcPr>
            <w:tcW w:w="100" w:type="dxa"/>
            <w:vAlign w:val="bottom"/>
          </w:tcPr>
          <w:p>
            <w:pPr>
              <w:spacing w:after="0"/>
              <w:rPr>
                <w:sz w:val="20"/>
                <w:szCs w:val="20"/>
                <w:color w:val="auto"/>
              </w:rPr>
            </w:pPr>
          </w:p>
        </w:tc>
        <w:tc>
          <w:tcPr>
            <w:tcW w:w="3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20,487</w:t>
            </w:r>
          </w:p>
        </w:tc>
        <w:tc>
          <w:tcPr>
            <w:tcW w:w="140" w:type="dxa"/>
            <w:vAlign w:val="bottom"/>
            <w:tcBorders>
              <w:right w:val="single" w:sz="8" w:color="auto"/>
            </w:tcBorders>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145,838</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 estate expense</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(25,736)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(6,503)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(37,808)</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Other expense</w:t>
            </w: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(1,444)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(4,181)</w:t>
            </w:r>
          </w:p>
        </w:tc>
        <w:tc>
          <w:tcPr>
            <w:tcW w:w="14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(5,625)</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Allocated interest expense(3)</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(19,952)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(20,745)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(14,622)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(9,288)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(6,959)</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(71,566)</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Allocated general and administrative(2)</w:t>
            </w: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(3,074)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(3,052)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(2,231)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(1,849)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(6,440)</w:t>
            </w:r>
          </w:p>
        </w:tc>
        <w:tc>
          <w:tcPr>
            <w:tcW w:w="14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(16,646)</w:t>
            </w:r>
          </w:p>
        </w:tc>
        <w:tc>
          <w:tcPr>
            <w:tcW w:w="0" w:type="dxa"/>
            <w:vAlign w:val="bottom"/>
          </w:tcPr>
          <w:p>
            <w:pPr>
              <w:spacing w:after="0"/>
              <w:rPr>
                <w:sz w:val="1"/>
                <w:szCs w:val="1"/>
                <w:color w:val="auto"/>
              </w:rPr>
            </w:pPr>
          </w:p>
        </w:tc>
      </w:tr>
      <w:tr>
        <w:trPr>
          <w:trHeight w:val="27"/>
        </w:trPr>
        <w:tc>
          <w:tcPr>
            <w:tcW w:w="3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b w:val="1"/>
                <w:bCs w:val="1"/>
                <w:color w:val="auto"/>
              </w:rPr>
              <w:t>Segment profit (loss)(4)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2,405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8,610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18,990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(18,719)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2,907</w:t>
            </w: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14,193</w:t>
            </w:r>
          </w:p>
        </w:tc>
        <w:tc>
          <w:tcPr>
            <w:tcW w:w="0" w:type="dxa"/>
            <w:vAlign w:val="bottom"/>
          </w:tcPr>
          <w:p>
            <w:pPr>
              <w:spacing w:after="0"/>
              <w:rPr>
                <w:sz w:val="1"/>
                <w:szCs w:val="1"/>
                <w:color w:val="auto"/>
              </w:rPr>
            </w:pPr>
          </w:p>
        </w:tc>
      </w:tr>
      <w:tr>
        <w:trPr>
          <w:trHeight w:val="20"/>
        </w:trPr>
        <w:tc>
          <w:tcPr>
            <w:tcW w:w="3700" w:type="dxa"/>
            <w:vAlign w:val="bottom"/>
            <w:vMerge w:val="restart"/>
          </w:tcPr>
          <w:p>
            <w:pPr>
              <w:ind w:left="40"/>
              <w:spacing w:after="0"/>
              <w:rPr>
                <w:sz w:val="20"/>
                <w:szCs w:val="20"/>
                <w:color w:val="auto"/>
              </w:rPr>
            </w:pPr>
            <w:r>
              <w:rPr>
                <w:rFonts w:ascii="Arial" w:cs="Arial" w:eastAsia="Arial" w:hAnsi="Arial"/>
                <w:sz w:val="18"/>
                <w:szCs w:val="18"/>
                <w:color w:val="auto"/>
              </w:rPr>
              <w:t>Other significant non-cash items:</w:t>
            </w: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70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Provision for (recovery of) loan losses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10,206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10,206</w:t>
            </w:r>
          </w:p>
        </w:tc>
        <w:tc>
          <w:tcPr>
            <w:tcW w:w="0" w:type="dxa"/>
            <w:vAlign w:val="bottom"/>
          </w:tcPr>
          <w:p>
            <w:pPr>
              <w:spacing w:after="0"/>
              <w:rPr>
                <w:sz w:val="1"/>
                <w:szCs w:val="1"/>
                <w:color w:val="auto"/>
              </w:rPr>
            </w:pPr>
          </w:p>
        </w:tc>
      </w:tr>
      <w:tr>
        <w:trPr>
          <w:trHeight w:val="243"/>
        </w:trPr>
        <w:tc>
          <w:tcPr>
            <w:tcW w:w="3700" w:type="dxa"/>
            <w:vAlign w:val="bottom"/>
          </w:tcPr>
          <w:p>
            <w:pPr>
              <w:ind w:left="200"/>
              <w:spacing w:after="0"/>
              <w:rPr>
                <w:sz w:val="20"/>
                <w:szCs w:val="20"/>
                <w:color w:val="auto"/>
              </w:rPr>
            </w:pPr>
            <w:r>
              <w:rPr>
                <w:rFonts w:ascii="Arial" w:cs="Arial" w:eastAsia="Arial" w:hAnsi="Arial"/>
                <w:sz w:val="18"/>
                <w:szCs w:val="18"/>
                <w:color w:val="auto"/>
              </w:rPr>
              <w:t>Impairment of assets(3)</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ind w:left="40"/>
              <w:spacing w:after="0"/>
              <w:rPr>
                <w:sz w:val="20"/>
                <w:szCs w:val="20"/>
                <w:color w:val="auto"/>
              </w:rPr>
            </w:pPr>
            <w:r>
              <w:rPr>
                <w:rFonts w:ascii="Arial" w:cs="Arial" w:eastAsia="Arial" w:hAnsi="Arial"/>
                <w:sz w:val="18"/>
                <w:szCs w:val="18"/>
                <w:color w:val="auto"/>
              </w:rPr>
              <w:t>$</w:t>
            </w:r>
          </w:p>
        </w:tc>
        <w:tc>
          <w:tcPr>
            <w:tcW w:w="106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Depreciation and amortization(3)</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9,642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7,206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342</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17,454</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Capitalized expenditures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3,766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4,921</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7,627</w:t>
            </w:r>
          </w:p>
        </w:tc>
        <w:tc>
          <w:tcPr>
            <w:tcW w:w="100" w:type="dxa"/>
            <w:vAlign w:val="bottom"/>
          </w:tcPr>
          <w:p>
            <w:pPr>
              <w:spacing w:after="0"/>
              <w:rPr>
                <w:sz w:val="21"/>
                <w:szCs w:val="21"/>
                <w:color w:val="auto"/>
              </w:rPr>
            </w:pPr>
          </w:p>
        </w:tc>
        <w:tc>
          <w:tcPr>
            <w:tcW w:w="340" w:type="dxa"/>
            <w:vAlign w:val="bottom"/>
          </w:tcPr>
          <w:p>
            <w:pPr>
              <w:ind w:left="40"/>
              <w:spacing w:after="0"/>
              <w:rPr>
                <w:sz w:val="20"/>
                <w:szCs w:val="20"/>
                <w:color w:val="auto"/>
              </w:rPr>
            </w:pPr>
            <w:r>
              <w:rPr>
                <w:rFonts w:ascii="Arial" w:cs="Arial" w:eastAsia="Arial" w:hAnsi="Arial"/>
                <w:sz w:val="18"/>
                <w:szCs w:val="18"/>
                <w:color w:val="auto"/>
              </w:rPr>
              <w:t>$</w:t>
            </w:r>
          </w:p>
        </w:tc>
        <w:tc>
          <w:tcPr>
            <w:tcW w:w="106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16,314</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 of December 31, 2013</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Real estate</w:t>
            </w: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Real estate, at cost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1,696,888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720,508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803,238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3,220,634</w:t>
            </w:r>
          </w:p>
        </w:tc>
        <w:tc>
          <w:tcPr>
            <w:tcW w:w="0" w:type="dxa"/>
            <w:vAlign w:val="bottom"/>
          </w:tcPr>
          <w:p>
            <w:pPr>
              <w:spacing w:after="0"/>
              <w:rPr>
                <w:sz w:val="1"/>
                <w:szCs w:val="1"/>
                <w:color w:val="auto"/>
              </w:rPr>
            </w:pPr>
          </w:p>
        </w:tc>
      </w:tr>
      <w:tr>
        <w:trPr>
          <w:trHeight w:val="243"/>
        </w:trPr>
        <w:tc>
          <w:tcPr>
            <w:tcW w:w="3700" w:type="dxa"/>
            <w:vAlign w:val="bottom"/>
          </w:tcPr>
          <w:p>
            <w:pPr>
              <w:ind w:left="280"/>
              <w:spacing w:after="0"/>
              <w:rPr>
                <w:sz w:val="20"/>
                <w:szCs w:val="20"/>
                <w:color w:val="auto"/>
              </w:rPr>
            </w:pPr>
            <w:r>
              <w:rPr>
                <w:rFonts w:ascii="Arial" w:cs="Arial" w:eastAsia="Arial" w:hAnsi="Arial"/>
                <w:sz w:val="18"/>
                <w:szCs w:val="18"/>
                <w:color w:val="auto"/>
              </w:rPr>
              <w:t>Less: accumulated depreciation</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(338,640)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(82,420)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(3,393)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(424,453)</w:t>
            </w:r>
          </w:p>
        </w:tc>
        <w:tc>
          <w:tcPr>
            <w:tcW w:w="0" w:type="dxa"/>
            <w:vAlign w:val="bottom"/>
          </w:tcPr>
          <w:p>
            <w:pPr>
              <w:spacing w:after="0"/>
              <w:rPr>
                <w:sz w:val="1"/>
                <w:szCs w:val="1"/>
                <w:color w:val="auto"/>
              </w:rPr>
            </w:pPr>
          </w:p>
        </w:tc>
      </w:tr>
      <w:tr>
        <w:trPr>
          <w:trHeight w:val="27"/>
        </w:trPr>
        <w:tc>
          <w:tcPr>
            <w:tcW w:w="3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Real estate, net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1,358,248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638,088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799,845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2,796,181</w:t>
            </w:r>
          </w:p>
        </w:tc>
        <w:tc>
          <w:tcPr>
            <w:tcW w:w="0" w:type="dxa"/>
            <w:vAlign w:val="bottom"/>
          </w:tcPr>
          <w:p>
            <w:pPr>
              <w:spacing w:after="0"/>
              <w:rPr>
                <w:sz w:val="1"/>
                <w:szCs w:val="1"/>
                <w:color w:val="auto"/>
              </w:rPr>
            </w:pPr>
          </w:p>
        </w:tc>
      </w:tr>
      <w:tr>
        <w:trPr>
          <w:trHeight w:val="243"/>
        </w:trPr>
        <w:tc>
          <w:tcPr>
            <w:tcW w:w="3700" w:type="dxa"/>
            <w:vAlign w:val="bottom"/>
          </w:tcPr>
          <w:p>
            <w:pPr>
              <w:ind w:left="280"/>
              <w:spacing w:after="0"/>
              <w:rPr>
                <w:sz w:val="20"/>
                <w:szCs w:val="20"/>
                <w:color w:val="auto"/>
              </w:rPr>
            </w:pPr>
            <w:r>
              <w:rPr>
                <w:rFonts w:ascii="Arial" w:cs="Arial" w:eastAsia="Arial" w:hAnsi="Arial"/>
                <w:sz w:val="18"/>
                <w:szCs w:val="18"/>
                <w:color w:val="auto"/>
              </w:rPr>
              <w:t>Real estate available and held for sale</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228,328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132,189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360,517</w:t>
            </w:r>
          </w:p>
        </w:tc>
        <w:tc>
          <w:tcPr>
            <w:tcW w:w="0" w:type="dxa"/>
            <w:vAlign w:val="bottom"/>
          </w:tcPr>
          <w:p>
            <w:pPr>
              <w:spacing w:after="0"/>
              <w:rPr>
                <w:sz w:val="1"/>
                <w:szCs w:val="1"/>
                <w:color w:val="auto"/>
              </w:rPr>
            </w:pPr>
          </w:p>
        </w:tc>
      </w:tr>
      <w:tr>
        <w:trPr>
          <w:trHeight w:val="27"/>
        </w:trPr>
        <w:tc>
          <w:tcPr>
            <w:tcW w:w="3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Total real estate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1,358,248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866,416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932,034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3,156,698</w:t>
            </w:r>
          </w:p>
        </w:tc>
        <w:tc>
          <w:tcPr>
            <w:tcW w:w="0" w:type="dxa"/>
            <w:vAlign w:val="bottom"/>
          </w:tcPr>
          <w:p>
            <w:pPr>
              <w:spacing w:after="0"/>
              <w:rPr>
                <w:sz w:val="1"/>
                <w:szCs w:val="1"/>
                <w:color w:val="auto"/>
              </w:rPr>
            </w:pPr>
          </w:p>
        </w:tc>
      </w:tr>
      <w:tr>
        <w:trPr>
          <w:trHeight w:val="229"/>
        </w:trPr>
        <w:tc>
          <w:tcPr>
            <w:tcW w:w="3700" w:type="dxa"/>
            <w:vAlign w:val="bottom"/>
          </w:tcPr>
          <w:p>
            <w:pPr>
              <w:ind w:left="40"/>
              <w:spacing w:after="0"/>
              <w:rPr>
                <w:sz w:val="20"/>
                <w:szCs w:val="20"/>
                <w:color w:val="auto"/>
              </w:rPr>
            </w:pPr>
            <w:r>
              <w:rPr>
                <w:rFonts w:ascii="Arial" w:cs="Arial" w:eastAsia="Arial" w:hAnsi="Arial"/>
                <w:sz w:val="18"/>
                <w:szCs w:val="18"/>
                <w:color w:val="auto"/>
                <w:w w:val="94"/>
              </w:rPr>
              <w:t>Loans receivable and other lending investments,</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tcPr>
          <w:p>
            <w:pPr>
              <w:ind w:left="40"/>
              <w:spacing w:after="0"/>
              <w:rPr>
                <w:sz w:val="20"/>
                <w:szCs w:val="20"/>
                <w:color w:val="auto"/>
              </w:rPr>
            </w:pPr>
            <w:r>
              <w:rPr>
                <w:rFonts w:ascii="Arial" w:cs="Arial" w:eastAsia="Arial" w:hAnsi="Arial"/>
                <w:sz w:val="18"/>
                <w:szCs w:val="18"/>
                <w:color w:val="auto"/>
              </w:rPr>
              <w:t>net</w:t>
            </w:r>
          </w:p>
        </w:tc>
        <w:tc>
          <w:tcPr>
            <w:tcW w:w="16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1,370,109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06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1,370,109</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investments</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16,408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16,032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29,765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145,004</w:t>
            </w:r>
          </w:p>
        </w:tc>
        <w:tc>
          <w:tcPr>
            <w:tcW w:w="140" w:type="dxa"/>
            <w:vAlign w:val="bottom"/>
            <w:tcBorders>
              <w:bottom w:val="single" w:sz="8" w:color="CCEEFF"/>
              <w:right w:val="single" w:sz="8" w:color="auto"/>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207,209</w:t>
            </w:r>
          </w:p>
        </w:tc>
        <w:tc>
          <w:tcPr>
            <w:tcW w:w="0" w:type="dxa"/>
            <w:vAlign w:val="bottom"/>
          </w:tcPr>
          <w:p>
            <w:pPr>
              <w:spacing w:after="0"/>
              <w:rPr>
                <w:sz w:val="1"/>
                <w:szCs w:val="1"/>
                <w:color w:val="auto"/>
              </w:rPr>
            </w:pPr>
          </w:p>
        </w:tc>
      </w:tr>
      <w:tr>
        <w:trPr>
          <w:trHeight w:val="297"/>
        </w:trPr>
        <w:tc>
          <w:tcPr>
            <w:tcW w:w="370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Total portfolio assets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1,370,109</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1,374,656</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882,448</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961,799</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145,004</w:t>
            </w:r>
          </w:p>
        </w:tc>
        <w:tc>
          <w:tcPr>
            <w:tcW w:w="140" w:type="dxa"/>
            <w:vAlign w:val="bottom"/>
            <w:tcBorders>
              <w:bottom w:val="single" w:sz="8" w:color="CCEEFF"/>
              <w:right w:val="single" w:sz="8" w:color="auto"/>
            </w:tcBorders>
          </w:tcPr>
          <w:p>
            <w:pPr>
              <w:spacing w:after="0"/>
              <w:rPr>
                <w:sz w:val="24"/>
                <w:szCs w:val="24"/>
                <w:color w:val="auto"/>
              </w:rPr>
            </w:pPr>
          </w:p>
        </w:tc>
        <w:tc>
          <w:tcPr>
            <w:tcW w:w="120" w:type="dxa"/>
            <w:vAlign w:val="bottom"/>
            <w:tcBorders>
              <w:top w:val="single" w:sz="8" w:color="auto"/>
              <w:bottom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CCEEFF"/>
            </w:tcBorders>
          </w:tcPr>
          <w:p>
            <w:pPr>
              <w:jc w:val="right"/>
              <w:ind w:right="11"/>
              <w:spacing w:after="0"/>
              <w:rPr>
                <w:sz w:val="20"/>
                <w:szCs w:val="20"/>
                <w:color w:val="auto"/>
              </w:rPr>
            </w:pPr>
            <w:r>
              <w:rPr>
                <w:rFonts w:ascii="Arial" w:cs="Arial" w:eastAsia="Arial" w:hAnsi="Arial"/>
                <w:sz w:val="18"/>
                <w:szCs w:val="18"/>
                <w:color w:val="auto"/>
              </w:rPr>
              <w:t>4,734,016</w:t>
            </w:r>
          </w:p>
        </w:tc>
        <w:tc>
          <w:tcPr>
            <w:tcW w:w="0" w:type="dxa"/>
            <w:vAlign w:val="bottom"/>
          </w:tcPr>
          <w:p>
            <w:pPr>
              <w:spacing w:after="0"/>
              <w:rPr>
                <w:sz w:val="1"/>
                <w:szCs w:val="1"/>
                <w:color w:val="auto"/>
              </w:rPr>
            </w:pPr>
          </w:p>
        </w:tc>
      </w:tr>
      <w:tr>
        <w:trPr>
          <w:trHeight w:val="257"/>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other assets</w:t>
            </w: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907,995</w:t>
            </w:r>
          </w:p>
        </w:tc>
        <w:tc>
          <w:tcPr>
            <w:tcW w:w="0" w:type="dxa"/>
            <w:vAlign w:val="bottom"/>
          </w:tcPr>
          <w:p>
            <w:pPr>
              <w:spacing w:after="0"/>
              <w:rPr>
                <w:sz w:val="1"/>
                <w:szCs w:val="1"/>
                <w:color w:val="auto"/>
              </w:rPr>
            </w:pPr>
          </w:p>
        </w:tc>
      </w:tr>
      <w:tr>
        <w:trPr>
          <w:trHeight w:val="257"/>
        </w:trPr>
        <w:tc>
          <w:tcPr>
            <w:tcW w:w="3700" w:type="dxa"/>
            <w:vAlign w:val="bottom"/>
          </w:tcPr>
          <w:p>
            <w:pPr>
              <w:ind w:left="280"/>
              <w:spacing w:after="0"/>
              <w:rPr>
                <w:sz w:val="20"/>
                <w:szCs w:val="20"/>
                <w:color w:val="auto"/>
              </w:rPr>
            </w:pPr>
            <w:r>
              <w:rPr>
                <w:rFonts w:ascii="Arial" w:cs="Arial" w:eastAsia="Arial" w:hAnsi="Arial"/>
                <w:sz w:val="18"/>
                <w:szCs w:val="18"/>
                <w:color w:val="auto"/>
              </w:rPr>
              <w:t>Total assets</w:t>
            </w: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5,642,011</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Notes:</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51" w:lineRule="exact"/>
        <w:rPr>
          <w:sz w:val="20"/>
          <w:szCs w:val="20"/>
          <w:color w:val="auto"/>
        </w:rPr>
      </w:pPr>
    </w:p>
    <w:p>
      <w:pPr>
        <w:jc w:val="both"/>
        <w:ind w:left="660" w:hanging="652"/>
        <w:spacing w:after="0" w:line="246" w:lineRule="auto"/>
        <w:tabs>
          <w:tab w:leader="none" w:pos="6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Corporate/Other represents all corporate level and unallocated items including any intercompany eliminations necessary to reconcile to consolidated Company totals. This caption also includes the Company's joint venture investments and strategic investments that are not related to the other reportable segments above, including the Company's share of equity in earnings from LNR of $14.7 million for the three months ended March 31, 2013. See Note 6 for further details on the Company's investment in LNR and summarized financial information of LNR.</w:t>
      </w:r>
    </w:p>
    <w:p>
      <w:pPr>
        <w:ind w:left="660" w:hanging="652"/>
        <w:spacing w:after="0"/>
        <w:tabs>
          <w:tab w:leader="none" w:pos="6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General and administrative excludes stock-based compensation expense of $2.1 million and $5.2 million for the three months ended March 31, 2014 and 2013, respectively.</w:t>
      </w:r>
    </w:p>
    <w:p>
      <w:pPr>
        <w:spacing w:after="0" w:line="1" w:lineRule="exact"/>
        <w:rPr>
          <w:rFonts w:ascii="Arial" w:cs="Arial" w:eastAsia="Arial" w:hAnsi="Arial"/>
          <w:sz w:val="14"/>
          <w:szCs w:val="14"/>
          <w:color w:val="auto"/>
        </w:rPr>
      </w:pPr>
    </w:p>
    <w:p>
      <w:pPr>
        <w:ind w:left="660" w:hanging="652"/>
        <w:spacing w:after="0"/>
        <w:tabs>
          <w:tab w:leader="none" w:pos="6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Includes related amounts reclassified to discontinued operations on the Company's Consolidated Statements of Operations.</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1" w:right="239" w:bottom="1440" w:gutter="0" w:footer="0" w:header="0"/>
        </w:sectPr>
      </w:pPr>
    </w:p>
    <w:bookmarkStart w:id="32" w:name="page33"/>
    <w:bookmarkEnd w:id="32"/>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ind w:right="-819"/>
        <w:spacing w:after="0"/>
        <w:rPr>
          <w:sz w:val="20"/>
          <w:szCs w:val="20"/>
          <w:color w:val="auto"/>
        </w:rPr>
      </w:pPr>
      <w:r>
        <w:rPr>
          <w:rFonts w:ascii="Arial" w:cs="Arial" w:eastAsia="Arial" w:hAnsi="Arial"/>
          <w:sz w:val="18"/>
          <w:szCs w:val="18"/>
          <w:b w:val="1"/>
          <w:bCs w:val="1"/>
          <w:color w:val="auto"/>
        </w:rPr>
        <w:t>iStar Financial Inc.</w:t>
      </w:r>
    </w:p>
    <w:p>
      <w:pPr>
        <w:spacing w:after="0" w:line="117" w:lineRule="exact"/>
        <w:rPr>
          <w:sz w:val="20"/>
          <w:szCs w:val="20"/>
          <w:color w:val="auto"/>
        </w:rPr>
      </w:pPr>
    </w:p>
    <w:p>
      <w:pPr>
        <w:jc w:val="center"/>
        <w:ind w:right="-8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ind w:right="-8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68" w:lineRule="exact"/>
        <w:rPr>
          <w:sz w:val="20"/>
          <w:szCs w:val="20"/>
          <w:color w:val="auto"/>
        </w:rPr>
      </w:pPr>
    </w:p>
    <w:p>
      <w:pPr>
        <w:ind w:left="660" w:hanging="652"/>
        <w:spacing w:after="0"/>
        <w:tabs>
          <w:tab w:leader="none" w:pos="6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following is a reconciliation of segment profit (loss) to net income (loss) ($ in thousands):</w:t>
      </w:r>
    </w:p>
    <w:p>
      <w:pPr>
        <w:spacing w:after="0" w:line="159" w:lineRule="exact"/>
        <w:rPr>
          <w:sz w:val="20"/>
          <w:szCs w:val="20"/>
          <w:color w:val="auto"/>
        </w:rPr>
      </w:pPr>
    </w:p>
    <w:p>
      <w:pPr>
        <w:jc w:val="center"/>
        <w:ind w:left="5540"/>
        <w:spacing w:after="0"/>
        <w:rPr>
          <w:sz w:val="20"/>
          <w:szCs w:val="20"/>
          <w:color w:val="auto"/>
        </w:rPr>
      </w:pPr>
      <w:r>
        <w:rPr>
          <w:rFonts w:ascii="Arial" w:cs="Arial" w:eastAsia="Arial" w:hAnsi="Arial"/>
          <w:sz w:val="14"/>
          <w:szCs w:val="14"/>
          <w:b w:val="1"/>
          <w:bCs w:val="1"/>
          <w:color w:val="auto"/>
        </w:rPr>
        <w:t>For the Three Months Ended</w:t>
      </w:r>
    </w:p>
    <w:p>
      <w:pPr>
        <w:spacing w:after="0" w:line="4" w:lineRule="exact"/>
        <w:rPr>
          <w:sz w:val="20"/>
          <w:szCs w:val="20"/>
          <w:color w:val="auto"/>
        </w:rPr>
      </w:pPr>
    </w:p>
    <w:p>
      <w:pPr>
        <w:jc w:val="center"/>
        <w:ind w:left="558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4053205</wp:posOffset>
            </wp:positionH>
            <wp:positionV relativeFrom="paragraph">
              <wp:posOffset>13335</wp:posOffset>
            </wp:positionV>
            <wp:extent cx="26758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87" w:lineRule="exact"/>
        <w:rPr>
          <w:sz w:val="20"/>
          <w:szCs w:val="20"/>
          <w:color w:val="auto"/>
        </w:rPr>
      </w:pPr>
    </w:p>
    <w:tbl>
      <w:tblPr>
        <w:tblLayout w:type="fixed"/>
        <w:tblInd w:w="840" w:type="dxa"/>
        <w:tblCellMar>
          <w:top w:w="0" w:type="dxa"/>
          <w:left w:w="0" w:type="dxa"/>
          <w:bottom w:w="0" w:type="dxa"/>
          <w:right w:w="0" w:type="dxa"/>
        </w:tblCellMar>
      </w:tblPr>
      <w:tr>
        <w:trPr>
          <w:trHeight w:val="192"/>
        </w:trPr>
        <w:tc>
          <w:tcPr>
            <w:tcW w:w="554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2014</w:t>
            </w: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808"/>
              <w:spacing w:after="0"/>
              <w:rPr>
                <w:sz w:val="20"/>
                <w:szCs w:val="20"/>
                <w:color w:val="auto"/>
              </w:rPr>
            </w:pPr>
            <w:r>
              <w:rPr>
                <w:rFonts w:ascii="Arial" w:cs="Arial" w:eastAsia="Arial" w:hAnsi="Arial"/>
                <w:sz w:val="14"/>
                <w:szCs w:val="14"/>
                <w:b w:val="1"/>
                <w:bCs w:val="1"/>
                <w:color w:val="auto"/>
              </w:rPr>
              <w:t>2013</w:t>
            </w:r>
          </w:p>
        </w:tc>
      </w:tr>
      <w:tr>
        <w:trPr>
          <w:trHeight w:val="256"/>
        </w:trPr>
        <w:tc>
          <w:tcPr>
            <w:tcW w:w="5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Segment profit (loss)</w:t>
            </w:r>
          </w:p>
        </w:tc>
        <w:tc>
          <w:tcPr>
            <w:tcW w:w="1340" w:type="dxa"/>
            <w:vAlign w:val="bottom"/>
            <w:shd w:val="clear" w:color="auto" w:fill="CCEEFF"/>
          </w:tcPr>
          <w:p>
            <w:pPr>
              <w:jc w:val="right"/>
              <w:ind w:right="116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6,763</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1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14,193</w:t>
            </w:r>
          </w:p>
        </w:tc>
      </w:tr>
      <w:tr>
        <w:trPr>
          <w:trHeight w:val="264"/>
        </w:trPr>
        <w:tc>
          <w:tcPr>
            <w:tcW w:w="5540" w:type="dxa"/>
            <w:vAlign w:val="bottom"/>
          </w:tcPr>
          <w:p>
            <w:pPr>
              <w:ind w:left="20"/>
              <w:spacing w:after="0"/>
              <w:rPr>
                <w:sz w:val="20"/>
                <w:szCs w:val="20"/>
                <w:color w:val="auto"/>
              </w:rPr>
            </w:pPr>
            <w:r>
              <w:rPr>
                <w:rFonts w:ascii="Arial" w:cs="Arial" w:eastAsia="Arial" w:hAnsi="Arial"/>
                <w:sz w:val="14"/>
                <w:szCs w:val="14"/>
                <w:color w:val="auto"/>
              </w:rPr>
              <w:t>Less: (Provision for) recovery of loan losses</w:t>
            </w:r>
          </w:p>
        </w:tc>
        <w:tc>
          <w:tcPr>
            <w:tcW w:w="134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3,400</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(10,206)</w:t>
            </w:r>
          </w:p>
        </w:tc>
      </w:tr>
      <w:tr>
        <w:trPr>
          <w:trHeight w:val="276"/>
        </w:trPr>
        <w:tc>
          <w:tcPr>
            <w:tcW w:w="5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Impairment of assets(3)</w:t>
            </w:r>
          </w:p>
        </w:tc>
        <w:tc>
          <w:tcPr>
            <w:tcW w:w="134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(2,979)</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w:t>
            </w:r>
          </w:p>
        </w:tc>
      </w:tr>
      <w:tr>
        <w:trPr>
          <w:trHeight w:val="264"/>
        </w:trPr>
        <w:tc>
          <w:tcPr>
            <w:tcW w:w="5540" w:type="dxa"/>
            <w:vAlign w:val="bottom"/>
          </w:tcPr>
          <w:p>
            <w:pPr>
              <w:ind w:left="20"/>
              <w:spacing w:after="0"/>
              <w:rPr>
                <w:sz w:val="20"/>
                <w:szCs w:val="20"/>
                <w:color w:val="auto"/>
              </w:rPr>
            </w:pPr>
            <w:r>
              <w:rPr>
                <w:rFonts w:ascii="Arial" w:cs="Arial" w:eastAsia="Arial" w:hAnsi="Arial"/>
                <w:sz w:val="14"/>
                <w:szCs w:val="14"/>
                <w:color w:val="auto"/>
              </w:rPr>
              <w:t>Less: Stock-based compensation expense</w:t>
            </w:r>
          </w:p>
        </w:tc>
        <w:tc>
          <w:tcPr>
            <w:tcW w:w="134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(2,075)</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(5,202)</w:t>
            </w:r>
          </w:p>
        </w:tc>
      </w:tr>
      <w:tr>
        <w:trPr>
          <w:trHeight w:val="276"/>
        </w:trPr>
        <w:tc>
          <w:tcPr>
            <w:tcW w:w="5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Depreciation and amortization(3)</w:t>
            </w:r>
          </w:p>
        </w:tc>
        <w:tc>
          <w:tcPr>
            <w:tcW w:w="134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(18,613)</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(17,454)</w:t>
            </w:r>
          </w:p>
        </w:tc>
      </w:tr>
      <w:tr>
        <w:trPr>
          <w:trHeight w:val="264"/>
        </w:trPr>
        <w:tc>
          <w:tcPr>
            <w:tcW w:w="5540" w:type="dxa"/>
            <w:vAlign w:val="bottom"/>
          </w:tcPr>
          <w:p>
            <w:pPr>
              <w:ind w:left="20"/>
              <w:spacing w:after="0"/>
              <w:rPr>
                <w:sz w:val="20"/>
                <w:szCs w:val="20"/>
                <w:color w:val="auto"/>
              </w:rPr>
            </w:pPr>
            <w:r>
              <w:rPr>
                <w:rFonts w:ascii="Arial" w:cs="Arial" w:eastAsia="Arial" w:hAnsi="Arial"/>
                <w:sz w:val="14"/>
                <w:szCs w:val="14"/>
                <w:color w:val="auto"/>
              </w:rPr>
              <w:t>Less: Income tax (expense) benefit(3)</w:t>
            </w:r>
          </w:p>
        </w:tc>
        <w:tc>
          <w:tcPr>
            <w:tcW w:w="134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507</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(4,075)</w:t>
            </w:r>
          </w:p>
        </w:tc>
      </w:tr>
      <w:tr>
        <w:trPr>
          <w:trHeight w:val="270"/>
        </w:trPr>
        <w:tc>
          <w:tcPr>
            <w:tcW w:w="5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Gain (loss) on early extinguishment of debt, net</w:t>
            </w:r>
          </w:p>
        </w:tc>
        <w:tc>
          <w:tcPr>
            <w:tcW w:w="134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(1,180)</w:t>
            </w:r>
          </w:p>
        </w:tc>
        <w:tc>
          <w:tcPr>
            <w:tcW w:w="100" w:type="dxa"/>
            <w:vAlign w:val="bottom"/>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(9,541)</w:t>
            </w:r>
          </w:p>
        </w:tc>
      </w:tr>
      <w:tr>
        <w:trPr>
          <w:trHeight w:val="243"/>
        </w:trPr>
        <w:tc>
          <w:tcPr>
            <w:tcW w:w="554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1340" w:type="dxa"/>
            <w:vAlign w:val="bottom"/>
            <w:tcBorders>
              <w:bottom w:val="single" w:sz="8" w:color="auto"/>
            </w:tcBorders>
          </w:tcPr>
          <w:p>
            <w:pPr>
              <w:jc w:val="right"/>
              <w:ind w:right="116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(14,177)</w:t>
            </w:r>
          </w:p>
        </w:tc>
        <w:tc>
          <w:tcPr>
            <w:tcW w:w="100" w:type="dxa"/>
            <w:vAlign w:val="bottom"/>
          </w:tcPr>
          <w:p>
            <w:pPr>
              <w:spacing w:after="0"/>
              <w:rPr>
                <w:sz w:val="21"/>
                <w:szCs w:val="21"/>
                <w:color w:val="auto"/>
              </w:rPr>
            </w:pPr>
          </w:p>
        </w:tc>
        <w:tc>
          <w:tcPr>
            <w:tcW w:w="5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(32,253)</w:t>
            </w:r>
          </w:p>
        </w:tc>
      </w:tr>
      <w:tr>
        <w:trPr>
          <w:trHeight w:val="20"/>
        </w:trPr>
        <w:tc>
          <w:tcPr>
            <w:tcW w:w="55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600"/>
          </w:cols>
          <w:pgMar w:left="240" w:top="121" w:right="105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89"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6"/>
          <w:szCs w:val="16"/>
          <w:color w:val="auto"/>
        </w:rPr>
        <w:t>Certain statements in this report, other than purely historical information, including estimates, projections, statements relating to our business plans, objectives and expected operating results, and the assumptions upon which those statements are based, are "forward-looking statements" within the meaning of the Private Securities Litigation Reform Act of 1995, Section 27A of the Securities Act of 1933, as amended (the "Securities Act"), and Section 21E of the Securities Exchange Act of 1934, as amended (the "Exchange Act"). Forward-looking statements are included with respect to, among other things, iStar Financial Inc.'s (the "Company's") current business plan, business strategy, portfolio management, prospects and liquidity. These forward-looking statements generally are identified by the words "believe," "project," "expect," "anticipate," "estimate," "intend," "strategy," "plan," "may," "should," "will," "would," "will be," "will continue," "will likely result," and similar expressions. Forward-looking statements are based on current expectations and assumptions that are subject to risks and uncertainties which may cause actual results or outcomes to differ materially from those contained in the forward-looking statements. We undertake no obligation to update or revise publicly any forward-looking statements, whether as a result of new information, future events or otherwise. In assessing all forward-looking statements, readers are urged to read carefully all cautionary statements contained in this Form 10-Q and the uncertainties and risks described in Item 1A—"Risk Factors" in our 2013 Annual Report (as defined below), all of which could affect our future results of operations, financial condition and liquidity. For purposes of Management's Discussion and Analysis of Financial Condition and Results of Operations, the terms "we," "our" and "us" refer to iStar Financial Inc. and its consolidated subsidiaries, unless the context indicates otherwise.</w:t>
      </w:r>
    </w:p>
    <w:p>
      <w:pPr>
        <w:spacing w:after="0" w:line="13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discussion below should be read in conjunction with our consolidated financial statements and related notes in this quarterly report on Form 10-Q and our annual report on Form 10-K for the year ended December 31, 2013 (the "2013 Annual Report"). These historical financial statements may not be indicative of our future performance. We have reclassified certain items in our consolidated financial statements of prior periods to conform to our current financial statements presentation.</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Introduction</w:t>
      </w:r>
    </w:p>
    <w:p>
      <w:pPr>
        <w:spacing w:after="0" w:line="14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iStar Financial Inc. is a fully-integrated finance and investment company focused on the commercial real estate industry. We provide custom-tailored investment capital to high-end private and corporate owners of real estate and invest directly across a range of real estate sectors. We are taxed as a real estate investment trust, or "REIT," and have invested more than $35 billion over the past two decades. Our primary business segments are real estate finance, net lease, operating properties and land.</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Overview</w:t>
      </w:r>
    </w:p>
    <w:p>
      <w:pPr>
        <w:spacing w:after="0" w:line="225"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In conjunction with improving economic and commercial real estate market conditions, we have made meaningful progress towards achieving a number of our strategic corporate objectives. Broad access to the capital markets has allowed us to extend our debt maturity profile while also lowering our cost of capital. We have significantly reduced our level of nonperforming loans and non-core assets over the past year. In addition, through strategic ventures, we have partnered with other providers of capital within our net lease segment and have also partnered with other developers with homebuilding expertise within our land segment. These transactions and resulting benefits to liquidity have allowed us to increase new investment activity within our various business segments, which we anticipate should drive future revenue growth. We originated and funded $229.5 million of investments this quarter and had $409.6 million of cash at quarter end which will be used primarily to fund future investment activities. These positive corporate developments have been recognized and resulted in an upgrade in our credit ratings by one of the rating agencies during the period.</w:t>
      </w:r>
    </w:p>
    <w:p>
      <w:pPr>
        <w:spacing w:after="0" w:line="138"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During the three months ended March 31, 2014, three of our four business segments, including real estate finance, net lease and operating properties contributed positively to our earnings. We continue to work on repositioning or redeveloping our transitional operating properties and progressing on the entitlement and development of our land assets in order to maximize their value. We intend to continue these efforts, with the objective of having these assets contribute positively to earnings in the future. For the quarter ended March 31, 2014, we recorded a net loss allocable to common shareholders of $(26.6) million, compared to a loss of $(41.3) million during the same period in the prior year. Adjusted income (loss) allocable to common shareholders for the quarter ended March 31, 2014 was $(5.5) million, compared to $(0.3) million during the same period in the prior year.</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Three Months Ended March 31, 2014 compared to the Three Months Ended March 31, 2013</w:t>
      </w:r>
    </w:p>
    <w:p>
      <w:pPr>
        <w:spacing w:after="0" w:line="342" w:lineRule="exact"/>
        <w:rPr>
          <w:sz w:val="20"/>
          <w:szCs w:val="20"/>
          <w:color w:val="auto"/>
        </w:rPr>
      </w:pPr>
    </w:p>
    <w:p>
      <w:pPr>
        <w:jc w:val="center"/>
        <w:ind w:left="1780"/>
        <w:spacing w:after="0"/>
        <w:rPr>
          <w:sz w:val="20"/>
          <w:szCs w:val="20"/>
          <w:color w:val="auto"/>
        </w:rPr>
      </w:pPr>
      <w:r>
        <w:rPr>
          <w:rFonts w:ascii="Arial" w:cs="Arial" w:eastAsia="Arial" w:hAnsi="Arial"/>
          <w:sz w:val="14"/>
          <w:szCs w:val="14"/>
          <w:b w:val="1"/>
          <w:bCs w:val="1"/>
          <w:color w:val="auto"/>
        </w:rPr>
        <w:t>For the Three Months Ended</w:t>
      </w:r>
    </w:p>
    <w:p>
      <w:pPr>
        <w:spacing w:after="0" w:line="4" w:lineRule="exact"/>
        <w:rPr>
          <w:sz w:val="20"/>
          <w:szCs w:val="20"/>
          <w:color w:val="auto"/>
        </w:rPr>
      </w:pPr>
    </w:p>
    <w:p>
      <w:pPr>
        <w:jc w:val="center"/>
        <w:ind w:left="178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3212465</wp:posOffset>
            </wp:positionH>
            <wp:positionV relativeFrom="paragraph">
              <wp:posOffset>13335</wp:posOffset>
            </wp:positionV>
            <wp:extent cx="19380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938020" cy="8890"/>
                    </a:xfrm>
                    <a:prstGeom prst="rect">
                      <a:avLst/>
                    </a:prstGeom>
                    <a:noFill/>
                  </pic:spPr>
                </pic:pic>
              </a:graphicData>
            </a:graphic>
          </wp:anchor>
        </w:drawing>
      </w:r>
    </w:p>
    <w:p>
      <w:pPr>
        <w:spacing w:after="0" w:line="87"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6"/>
                <w:szCs w:val="16"/>
                <w:color w:val="auto"/>
              </w:rPr>
            </w:pPr>
          </w:p>
        </w:tc>
        <w:tc>
          <w:tcPr>
            <w:tcW w:w="16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 Change</w:t>
            </w:r>
          </w:p>
        </w:tc>
      </w:tr>
      <w:tr>
        <w:trPr>
          <w:trHeight w:val="250"/>
        </w:trPr>
        <w:tc>
          <w:tcPr>
            <w:tcW w:w="50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ind w:left="10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56"/>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income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62,108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58,015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4,093</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7 %</w:t>
            </w:r>
          </w:p>
        </w:tc>
      </w:tr>
      <w:tr>
        <w:trPr>
          <w:trHeight w:val="243"/>
        </w:trPr>
        <w:tc>
          <w:tcPr>
            <w:tcW w:w="504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27,914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24,667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3,247</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13 %</w:t>
            </w:r>
          </w:p>
        </w:tc>
      </w:tr>
      <w:tr>
        <w:trPr>
          <w:trHeight w:val="27"/>
        </w:trPr>
        <w:tc>
          <w:tcPr>
            <w:tcW w:w="5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14,584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11,393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3,191</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28 %</w:t>
            </w:r>
          </w:p>
        </w:tc>
      </w:tr>
      <w:tr>
        <w:trPr>
          <w:trHeight w:val="243"/>
        </w:trPr>
        <w:tc>
          <w:tcPr>
            <w:tcW w:w="5040" w:type="dxa"/>
            <w:vAlign w:val="bottom"/>
          </w:tcPr>
          <w:p>
            <w:pPr>
              <w:ind w:left="20"/>
              <w:spacing w:after="0"/>
              <w:rPr>
                <w:sz w:val="20"/>
                <w:szCs w:val="20"/>
                <w:color w:val="auto"/>
              </w:rPr>
            </w:pPr>
            <w:r>
              <w:rPr>
                <w:rFonts w:ascii="Arial" w:cs="Arial" w:eastAsia="Arial" w:hAnsi="Arial"/>
                <w:sz w:val="18"/>
                <w:szCs w:val="18"/>
                <w:color w:val="auto"/>
              </w:rPr>
              <w:t>Land sales revenue</w:t>
            </w: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4,143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4,143</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100 %</w:t>
            </w:r>
          </w:p>
        </w:tc>
      </w:tr>
      <w:tr>
        <w:trPr>
          <w:trHeight w:val="27"/>
        </w:trPr>
        <w:tc>
          <w:tcPr>
            <w:tcW w:w="50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r>
      <w:tr>
        <w:trPr>
          <w:trHeight w:val="264"/>
        </w:trPr>
        <w:tc>
          <w:tcPr>
            <w:tcW w:w="50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revenue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108,749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94,075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14,674</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16 %</w:t>
            </w:r>
          </w:p>
        </w:tc>
      </w:tr>
      <w:tr>
        <w:trPr>
          <w:trHeight w:val="237"/>
        </w:trPr>
        <w:tc>
          <w:tcPr>
            <w:tcW w:w="504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57,456</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71,566</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(14,110)</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(20)%</w:t>
            </w:r>
          </w:p>
        </w:tc>
      </w:tr>
      <w:tr>
        <w:trPr>
          <w:trHeight w:val="27"/>
        </w:trPr>
        <w:tc>
          <w:tcPr>
            <w:tcW w:w="5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Real estate expenses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42,613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37,808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4,805</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13 %</w:t>
            </w:r>
          </w:p>
        </w:tc>
      </w:tr>
      <w:tr>
        <w:trPr>
          <w:trHeight w:val="243"/>
        </w:trPr>
        <w:tc>
          <w:tcPr>
            <w:tcW w:w="5040" w:type="dxa"/>
            <w:vAlign w:val="bottom"/>
          </w:tcPr>
          <w:p>
            <w:pPr>
              <w:ind w:left="20"/>
              <w:spacing w:after="0"/>
              <w:rPr>
                <w:sz w:val="20"/>
                <w:szCs w:val="20"/>
                <w:color w:val="auto"/>
              </w:rPr>
            </w:pPr>
            <w:r>
              <w:rPr>
                <w:rFonts w:ascii="Arial" w:cs="Arial" w:eastAsia="Arial" w:hAnsi="Arial"/>
                <w:sz w:val="18"/>
                <w:szCs w:val="18"/>
                <w:color w:val="auto"/>
              </w:rPr>
              <w:t>Cost of land sales</w:t>
            </w: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3,654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3,654</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100 %</w:t>
            </w:r>
          </w:p>
        </w:tc>
      </w:tr>
      <w:tr>
        <w:trPr>
          <w:trHeight w:val="27"/>
        </w:trPr>
        <w:tc>
          <w:tcPr>
            <w:tcW w:w="5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18,613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17,324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1,289</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7 %</w:t>
            </w:r>
          </w:p>
        </w:tc>
      </w:tr>
      <w:tr>
        <w:trPr>
          <w:trHeight w:val="243"/>
        </w:trPr>
        <w:tc>
          <w:tcPr>
            <w:tcW w:w="504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19,788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21,848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(2,060)</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(9)%</w:t>
            </w:r>
          </w:p>
        </w:tc>
      </w:tr>
      <w:tr>
        <w:trPr>
          <w:trHeight w:val="27"/>
        </w:trPr>
        <w:tc>
          <w:tcPr>
            <w:tcW w:w="5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(recovery of) loan losses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10,206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(13,606)</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(133)%</w:t>
            </w:r>
          </w:p>
        </w:tc>
      </w:tr>
      <w:tr>
        <w:trPr>
          <w:trHeight w:val="243"/>
        </w:trPr>
        <w:tc>
          <w:tcPr>
            <w:tcW w:w="5040" w:type="dxa"/>
            <w:vAlign w:val="bottom"/>
          </w:tcPr>
          <w:p>
            <w:pPr>
              <w:ind w:left="20"/>
              <w:spacing w:after="0"/>
              <w:rPr>
                <w:sz w:val="20"/>
                <w:szCs w:val="20"/>
                <w:color w:val="auto"/>
              </w:rPr>
            </w:pPr>
            <w:r>
              <w:rPr>
                <w:rFonts w:ascii="Arial" w:cs="Arial" w:eastAsia="Arial" w:hAnsi="Arial"/>
                <w:sz w:val="18"/>
                <w:szCs w:val="18"/>
                <w:color w:val="auto"/>
              </w:rPr>
              <w:t>Impairment of assets</w:t>
            </w: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2,979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2,979</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100 %</w:t>
            </w:r>
          </w:p>
        </w:tc>
      </w:tr>
      <w:tr>
        <w:trPr>
          <w:trHeight w:val="27"/>
        </w:trPr>
        <w:tc>
          <w:tcPr>
            <w:tcW w:w="5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expense</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5,625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(5,404)</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(96)%</w:t>
            </w:r>
          </w:p>
        </w:tc>
      </w:tr>
      <w:tr>
        <w:trPr>
          <w:trHeight w:val="237"/>
        </w:trPr>
        <w:tc>
          <w:tcPr>
            <w:tcW w:w="5040" w:type="dxa"/>
            <w:vAlign w:val="bottom"/>
          </w:tcPr>
          <w:p>
            <w:pPr>
              <w:ind w:left="160"/>
              <w:spacing w:after="0"/>
              <w:rPr>
                <w:sz w:val="20"/>
                <w:szCs w:val="20"/>
                <w:color w:val="auto"/>
              </w:rPr>
            </w:pPr>
            <w:r>
              <w:rPr>
                <w:rFonts w:ascii="Arial" w:cs="Arial" w:eastAsia="Arial" w:hAnsi="Arial"/>
                <w:sz w:val="18"/>
                <w:szCs w:val="18"/>
                <w:color w:val="auto"/>
              </w:rPr>
              <w:t>Total costs and expenses</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141,924</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164,377</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(22,453)</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(14)%</w:t>
            </w:r>
          </w:p>
        </w:tc>
      </w:tr>
      <w:tr>
        <w:trPr>
          <w:trHeight w:val="27"/>
        </w:trPr>
        <w:tc>
          <w:tcPr>
            <w:tcW w:w="50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r>
      <w:tr>
        <w:trPr>
          <w:trHeight w:val="244"/>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on early extinguishment of debt, net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(9,541)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8,361</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(88)%</w:t>
            </w:r>
          </w:p>
        </w:tc>
      </w:tr>
      <w:tr>
        <w:trPr>
          <w:trHeight w:val="243"/>
        </w:trPr>
        <w:tc>
          <w:tcPr>
            <w:tcW w:w="5040" w:type="dxa"/>
            <w:vAlign w:val="bottom"/>
          </w:tcPr>
          <w:p>
            <w:pPr>
              <w:ind w:left="20"/>
              <w:spacing w:after="0"/>
              <w:rPr>
                <w:sz w:val="20"/>
                <w:szCs w:val="20"/>
                <w:color w:val="auto"/>
              </w:rPr>
            </w:pPr>
            <w:r>
              <w:rPr>
                <w:rFonts w:ascii="Arial" w:cs="Arial" w:eastAsia="Arial" w:hAnsi="Arial"/>
                <w:sz w:val="18"/>
                <w:szCs w:val="18"/>
                <w:color w:val="auto"/>
              </w:rPr>
              <w:t>Earnings from equity method investments</w:t>
            </w: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3,177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21,678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(18,501)</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(85)%</w:t>
            </w:r>
          </w:p>
        </w:tc>
      </w:tr>
      <w:tr>
        <w:trPr>
          <w:trHeight w:val="27"/>
        </w:trPr>
        <w:tc>
          <w:tcPr>
            <w:tcW w:w="5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 benefit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(4,075)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4,582</w:t>
            </w:r>
          </w:p>
        </w:tc>
        <w:tc>
          <w:tcPr>
            <w:tcW w:w="1700" w:type="dxa"/>
            <w:vAlign w:val="bottom"/>
            <w:tcBorders>
              <w:bottom w:val="single" w:sz="8" w:color="CCEEFF"/>
            </w:tcBorders>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&gt;100%</w:t>
            </w:r>
          </w:p>
        </w:tc>
      </w:tr>
      <w:tr>
        <w:trPr>
          <w:trHeight w:val="243"/>
        </w:trPr>
        <w:tc>
          <w:tcPr>
            <w:tcW w:w="5040" w:type="dxa"/>
            <w:vAlign w:val="bottom"/>
          </w:tcPr>
          <w:p>
            <w:pPr>
              <w:ind w:left="20"/>
              <w:spacing w:after="0"/>
              <w:rPr>
                <w:sz w:val="20"/>
                <w:szCs w:val="20"/>
                <w:color w:val="auto"/>
              </w:rPr>
            </w:pPr>
            <w:r>
              <w:rPr>
                <w:rFonts w:ascii="Arial" w:cs="Arial" w:eastAsia="Arial" w:hAnsi="Arial"/>
                <w:sz w:val="18"/>
                <w:szCs w:val="18"/>
                <w:color w:val="auto"/>
              </w:rPr>
              <w:t>Income (loss) from discontinued operations</w:t>
            </w:r>
          </w:p>
        </w:tc>
        <w:tc>
          <w:tcPr>
            <w:tcW w:w="3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1,246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(1,246)</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5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Gain from discontinued operations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5,044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(5,044)</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43"/>
        </w:trPr>
        <w:tc>
          <w:tcPr>
            <w:tcW w:w="5040" w:type="dxa"/>
            <w:vAlign w:val="bottom"/>
          </w:tcPr>
          <w:p>
            <w:pPr>
              <w:ind w:left="20"/>
              <w:spacing w:after="0"/>
              <w:rPr>
                <w:sz w:val="20"/>
                <w:szCs w:val="20"/>
                <w:color w:val="auto"/>
              </w:rPr>
            </w:pPr>
            <w:r>
              <w:rPr>
                <w:rFonts w:ascii="Arial" w:cs="Arial" w:eastAsia="Arial" w:hAnsi="Arial"/>
                <w:sz w:val="18"/>
                <w:szCs w:val="18"/>
                <w:color w:val="auto"/>
              </w:rPr>
              <w:t>Income from sales of residential property</w:t>
            </w: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16,494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23,697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(7,203)</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(30)%</w:t>
            </w:r>
          </w:p>
        </w:tc>
      </w:tr>
      <w:tr>
        <w:trPr>
          <w:trHeight w:val="27"/>
        </w:trPr>
        <w:tc>
          <w:tcPr>
            <w:tcW w:w="50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r>
      <w:tr>
        <w:trPr>
          <w:trHeight w:val="257"/>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(14,177)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(32,253)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18,076</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0"/>
        </w:trPr>
        <w:tc>
          <w:tcPr>
            <w:tcW w:w="50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b w:val="1"/>
          <w:bCs w:val="1"/>
          <w:i w:val="1"/>
          <w:iCs w:val="1"/>
          <w:color w:val="auto"/>
        </w:rPr>
        <w:t>Revenue</w:t>
      </w:r>
      <w:r>
        <w:rPr>
          <w:rFonts w:ascii="Arial" w:cs="Arial" w:eastAsia="Arial" w:hAnsi="Arial"/>
          <w:sz w:val="18"/>
          <w:szCs w:val="18"/>
          <w:color w:val="auto"/>
        </w:rPr>
        <w:t>—Operating lease income, which includes income from net lease assets and commercial operating properties, increased to $62.1 million during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three months ended March 31, 2014 from $58.0 million for the same period in 2013.</w:t>
      </w:r>
    </w:p>
    <w:p>
      <w:pPr>
        <w:spacing w:after="0" w:line="170"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Operating lease income from commercial operating properties increased to $21.7 million during the three months ended March 31, 2014 from $21.4 million for the same period in 2013 primarily due to new leasing activity and an increase in tenant cost recoveries. For the three months ended March 31, 2014, the commercial operating properties generated a weighted average effective yield of 5.95% compared to 4.40% during the same period in 2013 based on gross carrying value. As of March 31, 2014, commercial operating properties, excluding hotels, were 64.5% leased compared to 60.7% leased as of March 31, 2013.</w:t>
      </w:r>
    </w:p>
    <w:p>
      <w:pPr>
        <w:spacing w:after="0" w:line="148"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Operating lease income from net lease assets increased to $38.9 million during the three months ended March 31, 2014 from $36.7 million for the same period in 2013 primarily due to new leasing activity and a new net lease asset acquired at the end of 2013, offset by lease terminations since March 31, 2013. As of March 31, 2014, net lease assets were 94.4% leased compared to 95.0% leased as of March 31, 2013. For the three months ended March 31, 2014, the net lease portfolio generated a weighted average effective yield of 7.53% compared to 7.47% during the same period in 2013 based on gross carrying value.</w:t>
      </w:r>
    </w:p>
    <w:p>
      <w:pPr>
        <w:spacing w:after="0" w:line="11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Interest income increased to $27.9 million during the three months ended March 31, 2014 as compared to $24.7 million for the same period in 2013 primarily due to new investment originations with a higher weighted average effective yield as well as a reduction in lower yielding loans that paid off since March 31, 2013. The weighted average effective yield of our performing loans increased to 8.6% for the three months ended March 31, 2014 from 7.2% for the same period in 2013.</w:t>
      </w:r>
    </w:p>
    <w:p>
      <w:pPr>
        <w:spacing w:after="0" w:line="146"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Other income increased to $14.6 million during the three months ended March 31, 2014 as compared to $11.4 million for the same period in 2013. The increase was due to $5.3 million of income related to a lease modification fee received. The increase was offset by a decline of $2.4 million in loan related income received during the same period in 2013.</w:t>
      </w:r>
    </w:p>
    <w:p>
      <w:pPr>
        <w:spacing w:after="0" w:line="14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b w:val="1"/>
          <w:bCs w:val="1"/>
          <w:i w:val="1"/>
          <w:iCs w:val="1"/>
          <w:color w:val="auto"/>
        </w:rPr>
        <w:t>Land sales and costs</w:t>
      </w:r>
      <w:r>
        <w:rPr>
          <w:rFonts w:ascii="Arial" w:cs="Arial" w:eastAsia="Arial" w:hAnsi="Arial"/>
          <w:sz w:val="18"/>
          <w:szCs w:val="18"/>
          <w:color w:val="auto"/>
        </w:rPr>
        <w:t>—During the three months ended March 31, 2014, we sold residential lots from two of our master planned community properties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proceeds of $4.1 million and which had cost of sales of $3.7 million.</w:t>
      </w:r>
    </w:p>
    <w:p>
      <w:pPr>
        <w:sectPr>
          <w:pgSz w:w="11900" w:h="16838" w:orient="portrait"/>
          <w:cols w:equalWidth="0" w:num="1">
            <w:col w:w="11420"/>
          </w:cols>
          <w:pgMar w:left="240" w:top="125" w:right="239"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420"/>
          </w:cols>
          <w:pgMar w:left="240" w:top="125" w:right="239" w:bottom="1440" w:gutter="0" w:footer="0" w:header="0"/>
          <w:type w:val="continuous"/>
        </w:sectPr>
      </w:pPr>
    </w:p>
    <w:bookmarkStart w:id="35" w:name="page36"/>
    <w:bookmarkEnd w:id="3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b w:val="1"/>
          <w:bCs w:val="1"/>
          <w:i w:val="1"/>
          <w:iCs w:val="1"/>
          <w:color w:val="auto"/>
        </w:rPr>
        <w:t>Costs and expenses</w:t>
      </w:r>
      <w:r>
        <w:rPr>
          <w:rFonts w:ascii="Arial" w:cs="Arial" w:eastAsia="Arial" w:hAnsi="Arial"/>
          <w:sz w:val="18"/>
          <w:szCs w:val="18"/>
          <w:color w:val="auto"/>
        </w:rPr>
        <w:t>—Interest expense decreased by $14.1 million to $57.5 million during the three months ended March 31, 2014 as compared to $71.6</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for the same period in 2013 due to a lower average outstanding debt balance and a lower weighted average cost of debt. The average outstanding balance of our debt declined to $4.13 billion for the three months ended March 31, 2014 from $4.60 billion for the same period in 2013. Our weighted average effective cost of debt decreased to 5.6% for the three months ended March 31, 2014 from 6.2% for the same period in 2013. The decline was a result of the refinancing of our largest senior secured credit facility at a lower interest rate as well as the refinancing of higher interest rate senior unsecured notes with lower interest rate senior unsecured notes during 2013.</w:t>
      </w:r>
    </w:p>
    <w:p>
      <w:pPr>
        <w:spacing w:after="0" w:line="153"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Real estate expenses increased to $42.6 million during the three months ended March 31, 2014 as compared to $37.8 million for the same period in 2013. Expenses for commercial operating properties increased to $22.3 million during the three months ended March 31, 2014 from $20.3 million for the same period in 2013, primarily driven by increased snow removal costs. Carrying costs and other expenses on our land assets increased to $8.3 million during the three months ended March 31, 2014 from $6.5 million for the same period in 2013, primarily related to an increase in costs incurred on certain land assets prior to development.</w:t>
      </w:r>
    </w:p>
    <w:p>
      <w:pPr>
        <w:spacing w:after="0" w:line="148"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Depreciation and amortization increased to $18.6 million during the three months ended March 31, 2014 from $17.3 million for the same period in 2013 primarily due to the acquisition of a net lease asset during 2013, a build to suit net lease asset being placed in service and accelerated amortization of tenant improvements related to a modified lease.</w:t>
      </w:r>
    </w:p>
    <w:p>
      <w:pPr>
        <w:spacing w:after="0" w:line="14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General and administrative expenses decreased to $19.8 million during the three months ended March 31, 2014 as compared to $21.8 million for the same period in 2013 primarily due to a reduction in stock-based compensation expenses.</w:t>
      </w:r>
    </w:p>
    <w:p>
      <w:pPr>
        <w:spacing w:after="0" w:line="130"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The net recovery of loan losses was $3.4 million during the three months ended March 31, 2014 as compared to a net provision for loan losses of $10.2 million for the same period in 2013. Included in the provision for the three months ended March 31, 2014 were recoveries of previously recorded loan loss reserves of $5.2 million offset by an increase of $1.8 million in the general reserve due primarily to new investment originations.</w:t>
      </w:r>
    </w:p>
    <w:p>
      <w:pPr>
        <w:spacing w:after="0" w:line="125"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During the three months ended March 31, 2014, the Company recorded impairments on real estate assets totaling $3.0 million in connection with the sale of a net lease asset. During the three months ended March 31, 2013, the Company recorded no impairments on real estate assets.</w:t>
      </w:r>
    </w:p>
    <w:p>
      <w:pPr>
        <w:spacing w:after="0" w:line="14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Other expense decreased to $0.2 million during the three months ended March 31, 2014 as compared to $5.6 million for the same period in 2013 due primarily to $3.6 million of third party expenses incurred during the three months ended March 31, 2013 in connection with the refinancing of our October 2012 Secured Credit Facility with our February 2013 Credit Facility (see Liquidity and Capital Resources below).</w:t>
      </w:r>
    </w:p>
    <w:p>
      <w:pPr>
        <w:spacing w:after="0" w:line="141"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b w:val="1"/>
          <w:bCs w:val="1"/>
          <w:i w:val="1"/>
          <w:iCs w:val="1"/>
          <w:color w:val="auto"/>
        </w:rPr>
        <w:t>Loss on early extinguishment of debt, net</w:t>
      </w:r>
      <w:r>
        <w:rPr>
          <w:rFonts w:ascii="Arial" w:cs="Arial" w:eastAsia="Arial" w:hAnsi="Arial"/>
          <w:sz w:val="16"/>
          <w:szCs w:val="16"/>
          <w:color w:val="auto"/>
        </w:rPr>
        <w:t>—During the three months ended March 31, 2014, we incurred losses on early extinguishment of debt of $1.2</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million relating to accelerated amortization of discount and fees associated with repayments on our March 2012 and February 2013 Secured Credit Facilities.</w:t>
      </w:r>
    </w:p>
    <w:p>
      <w:pPr>
        <w:spacing w:after="0" w:line="124"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During the three months ended March 31, 2013, we incurred $4.9 million of net losses on the early extinguishment of debt primarily related to accelerated amortization of discounts and fees in connection with the refinancing of our October 2012 Secured Credit Facility with our February 2013 Secured Credit Facility. We also recorded $4.6 million of losses related to the accelerated amortization of discounts and fees in connection with amortization payments that we made on our 2012 and 2013 Secured Credit Facilities (see Liquidity and Capital Resources below).</w:t>
      </w:r>
    </w:p>
    <w:p>
      <w:pPr>
        <w:spacing w:after="0" w:line="131"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b w:val="1"/>
          <w:bCs w:val="1"/>
          <w:i w:val="1"/>
          <w:iCs w:val="1"/>
          <w:color w:val="auto"/>
        </w:rPr>
        <w:t>Earnings from equity method investments</w:t>
      </w:r>
      <w:r>
        <w:rPr>
          <w:rFonts w:ascii="Arial" w:cs="Arial" w:eastAsia="Arial" w:hAnsi="Arial"/>
          <w:sz w:val="17"/>
          <w:szCs w:val="17"/>
          <w:color w:val="auto"/>
        </w:rPr>
        <w:t>—Earnings from equity method investments decreased to $3.2 million in during the three months ended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March 31, 2014 as compared to $21.7 million for the same period in 2013. Due to the sale of our interest in LNR in April 2013, we had no equity in earnings from LNR during the three months ended March 31, 2014 as compared to equity in earnings of $45.4 million, which was offset by an other than temporary impairment of $30.9 million arising from the terms of the sale of our investment in LNR, for the same period in 2013. The Company and other owners of LNR entered into negotiations with potential purchasers of LNR beginning in September 2012. After an extensive due diligence and negotiation process, the LNR owners entered into a definitive contract to sell LNR in January 2013 at a fixed sale price which, from the Company's perspective, reflected in part the Company's then-current expectations about the future results of LNR and potential volatility in its business. The definitive sale contract provided that LNR would not make cash distributions to its owners during the fourth quarter of 2012 through the closing of the sale. Notwithstanding the fixed terms of the contract, our investment balance in LNR increased due to equity in earnings recorded which resulted in our recognition of other than temporary impairment on our investment during 2013.</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b w:val="1"/>
          <w:bCs w:val="1"/>
          <w:i w:val="1"/>
          <w:iCs w:val="1"/>
          <w:color w:val="auto"/>
        </w:rPr>
        <w:t>Income tax (expense) benefit</w:t>
      </w:r>
      <w:r>
        <w:rPr>
          <w:rFonts w:ascii="Arial" w:cs="Arial" w:eastAsia="Arial" w:hAnsi="Arial"/>
          <w:sz w:val="17"/>
          <w:szCs w:val="17"/>
          <w:color w:val="auto"/>
        </w:rPr>
        <w:t>—Income taxes are primarily generated by assets held in our taxable REIT subsidiaries (“TRS's”). Income taxes decreased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 a net tax benefit of $0.5 million during the three months ended March 31, 2014 as compared to $4.1 million for the same period in 2013. The period to period difference was due primarily to a tax benefit generated by certain property level expenses as well as lower taxable income from sales of condominium units and earnings from equity method investments in the quarter ended March 31, 2014 compared to the same period in 2013.</w:t>
      </w:r>
    </w:p>
    <w:p>
      <w:pPr>
        <w:spacing w:after="0" w:line="17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b w:val="1"/>
          <w:bCs w:val="1"/>
          <w:i w:val="1"/>
          <w:iCs w:val="1"/>
          <w:color w:val="auto"/>
        </w:rPr>
        <w:t>Discontinued operations</w:t>
      </w:r>
      <w:r>
        <w:rPr>
          <w:rFonts w:ascii="Arial" w:cs="Arial" w:eastAsia="Arial" w:hAnsi="Arial"/>
          <w:sz w:val="18"/>
          <w:szCs w:val="18"/>
          <w:color w:val="auto"/>
        </w:rPr>
        <w:t>—During the three months ended March 31, 2014, we adopted ASU 2014-08 (see Note 3), which raises the threshold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discontinued operations reporting to disposals of components that are considered strategic shifts in a company's business. There were no disposals that met this threshold during the quarter. Income (loss) from discontinued operations includes operating results from net lease assets and commercial operating properties held for sale or sold as of December 31, 2013. During the three months ended March 31, 2013, we sold a commercial property with a carrying value of $24.1 million which resulted in a net gain of $5.0 million.</w:t>
      </w:r>
    </w:p>
    <w:p>
      <w:pPr>
        <w:spacing w:after="0" w:line="18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b w:val="1"/>
          <w:bCs w:val="1"/>
          <w:i w:val="1"/>
          <w:iCs w:val="1"/>
          <w:color w:val="auto"/>
        </w:rPr>
        <w:t>Income from sales of residential property</w:t>
      </w:r>
      <w:r>
        <w:rPr>
          <w:rFonts w:ascii="Arial" w:cs="Arial" w:eastAsia="Arial" w:hAnsi="Arial"/>
          <w:sz w:val="18"/>
          <w:szCs w:val="18"/>
          <w:color w:val="auto"/>
        </w:rPr>
        <w:t>—During the three months ended March 31, 2014 and 2013, we sold residential condominiums for total net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proceeds of $47.7 million and $75.2 million, respectively, that resulted in income from sales of residential properties totaling $16.5 million and $23.7 million,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income and Adjusted EBITDA</w:t>
      </w:r>
    </w:p>
    <w:p>
      <w:pPr>
        <w:spacing w:after="0" w:line="229"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In addition to net income (loss), we use Adjusted income and Adjusted EBITDA to measure our operating performance. Adjusted income represents net income (loss) allocable to common shareholders, prior to the effect of depreciation and amortization, provision for loan losses, impairment of assets, loss on transfer of interest to unconsolidated subsidiary, stock-based compensation expense, and the non-cash portion of gain (loss) on early extinguishment of debt. Adjusted EBITDA represents net income (loss) plus the sum of interest expense, income taxes, depreciation and amortization, provision for loan losses, impairment of assets, stock-based compensation expense and loss on transfer of interest to unconsolidated subsidiary, adjusted for gain (loss) on early extinguishment of debt.</w:t>
      </w:r>
    </w:p>
    <w:p>
      <w:pPr>
        <w:spacing w:after="0" w:line="193"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We believe Adjusted income and Adjusted EBITDA are useful measures to consider, in addition to net income (loss), as they may help investors evaluate our core operating performance prior to certain non-cash items.</w:t>
      </w:r>
    </w:p>
    <w:p>
      <w:pPr>
        <w:spacing w:after="0" w:line="170"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Adjusted income and Adjusted EBITDA should be examined in conjunction with net income (loss) as shown in our Consolidated Statements of Operations. Adjusted income and Adjusted EBITDA should not be considered as an alternative to net income (loss) (determined in accordance with GAAP), as an indicator of our performance, or to cash flows from operating activities (determined in accordance with GAAP) as a measure of our liquidity, nor are Adjusted income and Adjusted EBITDA indicative of funds available to fund our cash needs or available for distribution to shareholders. Rather, Adjusted income and Adjusted EBITDA are additional measures for us to use to analyze how our business is performing. It should be noted that our manner of calculating Adjusted income and Adjusted EBITDA may differ from the calculations of similarly-titled measures by other companies.</w:t>
      </w:r>
    </w:p>
    <w:p>
      <w:pPr>
        <w:spacing w:after="0" w:line="184" w:lineRule="exact"/>
        <w:rPr>
          <w:sz w:val="20"/>
          <w:szCs w:val="20"/>
          <w:color w:val="auto"/>
        </w:rPr>
      </w:pPr>
    </w:p>
    <w:tbl>
      <w:tblPr>
        <w:tblLayout w:type="fixed"/>
        <w:tblInd w:w="280" w:type="dxa"/>
        <w:tblCellMar>
          <w:top w:w="0" w:type="dxa"/>
          <w:left w:w="0" w:type="dxa"/>
          <w:bottom w:w="0" w:type="dxa"/>
          <w:right w:w="0" w:type="dxa"/>
        </w:tblCellMar>
      </w:tblPr>
      <w:tr>
        <w:trPr>
          <w:trHeight w:val="192"/>
        </w:trPr>
        <w:tc>
          <w:tcPr>
            <w:tcW w:w="6840" w:type="dxa"/>
            <w:vAlign w:val="bottom"/>
          </w:tcPr>
          <w:p>
            <w:pPr>
              <w:spacing w:after="0"/>
              <w:rPr>
                <w:sz w:val="16"/>
                <w:szCs w:val="16"/>
                <w:color w:val="auto"/>
              </w:rPr>
            </w:pPr>
          </w:p>
        </w:tc>
        <w:tc>
          <w:tcPr>
            <w:tcW w:w="33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For the Three Months Ended March 31,</w:t>
            </w:r>
          </w:p>
        </w:tc>
        <w:tc>
          <w:tcPr>
            <w:tcW w:w="700" w:type="dxa"/>
            <w:vAlign w:val="bottom"/>
            <w:tcBorders>
              <w:bottom w:val="single" w:sz="8" w:color="auto"/>
            </w:tcBorders>
          </w:tcPr>
          <w:p>
            <w:pPr>
              <w:spacing w:after="0"/>
              <w:rPr>
                <w:sz w:val="16"/>
                <w:szCs w:val="16"/>
                <w:color w:val="auto"/>
              </w:rPr>
            </w:pPr>
          </w:p>
        </w:tc>
      </w:tr>
      <w:tr>
        <w:trPr>
          <w:trHeight w:val="264"/>
        </w:trPr>
        <w:tc>
          <w:tcPr>
            <w:tcW w:w="6840" w:type="dxa"/>
            <w:vAlign w:val="bottom"/>
          </w:tcPr>
          <w:p>
            <w:pPr>
              <w:spacing w:after="0"/>
              <w:rPr>
                <w:sz w:val="22"/>
                <w:szCs w:val="22"/>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2014</w:t>
            </w:r>
          </w:p>
        </w:tc>
        <w:tc>
          <w:tcPr>
            <w:tcW w:w="7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2013</w:t>
            </w:r>
          </w:p>
        </w:tc>
        <w:tc>
          <w:tcPr>
            <w:tcW w:w="700" w:type="dxa"/>
            <w:vAlign w:val="bottom"/>
            <w:tcBorders>
              <w:bottom w:val="single" w:sz="8" w:color="auto"/>
            </w:tcBorders>
          </w:tcPr>
          <w:p>
            <w:pPr>
              <w:spacing w:after="0"/>
              <w:rPr>
                <w:sz w:val="22"/>
                <w:szCs w:val="22"/>
                <w:color w:val="auto"/>
              </w:rPr>
            </w:pPr>
          </w:p>
        </w:tc>
      </w:tr>
      <w:tr>
        <w:trPr>
          <w:trHeight w:val="250"/>
        </w:trPr>
        <w:tc>
          <w:tcPr>
            <w:tcW w:w="68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100" w:type="dxa"/>
            <w:vAlign w:val="bottom"/>
            <w:gridSpan w:val="3"/>
          </w:tcPr>
          <w:p>
            <w:pPr>
              <w:jc w:val="right"/>
              <w:ind w:right="776"/>
              <w:spacing w:after="0"/>
              <w:rPr>
                <w:sz w:val="20"/>
                <w:szCs w:val="20"/>
                <w:color w:val="auto"/>
              </w:rPr>
            </w:pPr>
            <w:r>
              <w:rPr>
                <w:rFonts w:ascii="Arial" w:cs="Arial" w:eastAsia="Arial" w:hAnsi="Arial"/>
                <w:sz w:val="14"/>
                <w:szCs w:val="14"/>
                <w:b w:val="1"/>
                <w:bCs w:val="1"/>
                <w:color w:val="auto"/>
              </w:rPr>
              <w:t>(in thousands)</w:t>
            </w:r>
          </w:p>
        </w:tc>
        <w:tc>
          <w:tcPr>
            <w:tcW w:w="700" w:type="dxa"/>
            <w:vAlign w:val="bottom"/>
          </w:tcPr>
          <w:p>
            <w:pPr>
              <w:spacing w:after="0"/>
              <w:rPr>
                <w:sz w:val="21"/>
                <w:szCs w:val="21"/>
                <w:color w:val="auto"/>
              </w:rPr>
            </w:pPr>
          </w:p>
        </w:tc>
      </w:tr>
      <w:tr>
        <w:trPr>
          <w:trHeight w:val="256"/>
        </w:trPr>
        <w:tc>
          <w:tcPr>
            <w:tcW w:w="6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income</w:t>
            </w:r>
          </w:p>
        </w:tc>
        <w:tc>
          <w:tcPr>
            <w:tcW w:w="12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r>
      <w:tr>
        <w:trPr>
          <w:trHeight w:val="243"/>
        </w:trPr>
        <w:tc>
          <w:tcPr>
            <w:tcW w:w="6840" w:type="dxa"/>
            <w:vAlign w:val="bottom"/>
          </w:tcPr>
          <w:p>
            <w:pPr>
              <w:ind w:left="180"/>
              <w:spacing w:after="0"/>
              <w:rPr>
                <w:sz w:val="20"/>
                <w:szCs w:val="20"/>
                <w:color w:val="auto"/>
              </w:rPr>
            </w:pPr>
            <w:r>
              <w:rPr>
                <w:rFonts w:ascii="Arial" w:cs="Arial" w:eastAsia="Arial" w:hAnsi="Arial"/>
                <w:sz w:val="18"/>
                <w:szCs w:val="18"/>
                <w:color w:val="auto"/>
              </w:rPr>
              <w:t>Net income (loss) allocable to common shareholders</w:t>
            </w:r>
          </w:p>
        </w:tc>
        <w:tc>
          <w:tcPr>
            <w:tcW w:w="1220" w:type="dxa"/>
            <w:vAlign w:val="bottom"/>
          </w:tcPr>
          <w:p>
            <w:pPr>
              <w:jc w:val="right"/>
              <w:ind w:right="1019"/>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(26,572)</w:t>
            </w:r>
          </w:p>
        </w:tc>
        <w:tc>
          <w:tcPr>
            <w:tcW w:w="120" w:type="dxa"/>
            <w:vAlign w:val="bottom"/>
          </w:tcPr>
          <w:p>
            <w:pPr>
              <w:spacing w:after="0"/>
              <w:rPr>
                <w:sz w:val="21"/>
                <w:szCs w:val="21"/>
                <w:color w:val="auto"/>
              </w:rPr>
            </w:pPr>
          </w:p>
        </w:tc>
        <w:tc>
          <w:tcPr>
            <w:tcW w:w="1240" w:type="dxa"/>
            <w:vAlign w:val="bottom"/>
          </w:tcPr>
          <w:p>
            <w:pPr>
              <w:jc w:val="right"/>
              <w:ind w:right="1056"/>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5"/>
              </w:rPr>
              <w:t>(41,263)</w:t>
            </w:r>
          </w:p>
        </w:tc>
      </w:tr>
      <w:tr>
        <w:trPr>
          <w:trHeight w:val="27"/>
        </w:trPr>
        <w:tc>
          <w:tcPr>
            <w:tcW w:w="68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6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 Depreciation and amortization(1)</w:t>
            </w:r>
          </w:p>
        </w:tc>
        <w:tc>
          <w:tcPr>
            <w:tcW w:w="1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18,895</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17,454</w:t>
            </w:r>
          </w:p>
        </w:tc>
      </w:tr>
      <w:tr>
        <w:trPr>
          <w:trHeight w:val="243"/>
        </w:trPr>
        <w:tc>
          <w:tcPr>
            <w:tcW w:w="6840" w:type="dxa"/>
            <w:vAlign w:val="bottom"/>
          </w:tcPr>
          <w:p>
            <w:pPr>
              <w:ind w:left="180"/>
              <w:spacing w:after="0"/>
              <w:rPr>
                <w:sz w:val="20"/>
                <w:szCs w:val="20"/>
                <w:color w:val="auto"/>
              </w:rPr>
            </w:pPr>
            <w:r>
              <w:rPr>
                <w:rFonts w:ascii="Arial" w:cs="Arial" w:eastAsia="Arial" w:hAnsi="Arial"/>
                <w:sz w:val="18"/>
                <w:szCs w:val="18"/>
                <w:color w:val="auto"/>
              </w:rPr>
              <w:t>Add: Provision for (recovery of) loan losses</w:t>
            </w:r>
          </w:p>
        </w:tc>
        <w:tc>
          <w:tcPr>
            <w:tcW w:w="1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(3,400)</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10,206</w:t>
            </w:r>
          </w:p>
        </w:tc>
      </w:tr>
      <w:tr>
        <w:trPr>
          <w:trHeight w:val="27"/>
        </w:trPr>
        <w:tc>
          <w:tcPr>
            <w:tcW w:w="68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6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 Impairment of assets(2)</w:t>
            </w:r>
          </w:p>
        </w:tc>
        <w:tc>
          <w:tcPr>
            <w:tcW w:w="1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2,979</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43"/>
        </w:trPr>
        <w:tc>
          <w:tcPr>
            <w:tcW w:w="6840" w:type="dxa"/>
            <w:vAlign w:val="bottom"/>
          </w:tcPr>
          <w:p>
            <w:pPr>
              <w:ind w:left="180"/>
              <w:spacing w:after="0"/>
              <w:rPr>
                <w:sz w:val="20"/>
                <w:szCs w:val="20"/>
                <w:color w:val="auto"/>
              </w:rPr>
            </w:pPr>
            <w:r>
              <w:rPr>
                <w:rFonts w:ascii="Arial" w:cs="Arial" w:eastAsia="Arial" w:hAnsi="Arial"/>
                <w:sz w:val="18"/>
                <w:szCs w:val="18"/>
                <w:color w:val="auto"/>
              </w:rPr>
              <w:t>Add: Stock-based compensation expense</w:t>
            </w:r>
          </w:p>
        </w:tc>
        <w:tc>
          <w:tcPr>
            <w:tcW w:w="122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2,075</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5,202</w:t>
            </w:r>
          </w:p>
        </w:tc>
      </w:tr>
      <w:tr>
        <w:trPr>
          <w:trHeight w:val="27"/>
        </w:trPr>
        <w:tc>
          <w:tcPr>
            <w:tcW w:w="68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6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 Loss on early extinguishment of debt, net</w:t>
            </w:r>
          </w:p>
        </w:tc>
        <w:tc>
          <w:tcPr>
            <w:tcW w:w="1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1,180</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9,541</w:t>
            </w:r>
          </w:p>
        </w:tc>
      </w:tr>
      <w:tr>
        <w:trPr>
          <w:trHeight w:val="243"/>
        </w:trPr>
        <w:tc>
          <w:tcPr>
            <w:tcW w:w="6840" w:type="dxa"/>
            <w:vAlign w:val="bottom"/>
          </w:tcPr>
          <w:p>
            <w:pPr>
              <w:ind w:left="180"/>
              <w:spacing w:after="0"/>
              <w:rPr>
                <w:sz w:val="20"/>
                <w:szCs w:val="20"/>
                <w:color w:val="auto"/>
              </w:rPr>
            </w:pPr>
            <w:r>
              <w:rPr>
                <w:rFonts w:ascii="Arial" w:cs="Arial" w:eastAsia="Arial" w:hAnsi="Arial"/>
                <w:sz w:val="18"/>
                <w:szCs w:val="18"/>
                <w:color w:val="auto"/>
              </w:rPr>
              <w:t>Less: HPU/Participating Security allocation</w:t>
            </w:r>
          </w:p>
        </w:tc>
        <w:tc>
          <w:tcPr>
            <w:tcW w:w="1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(703)</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(1,372)</w:t>
            </w:r>
          </w:p>
        </w:tc>
      </w:tr>
      <w:tr>
        <w:trPr>
          <w:trHeight w:val="27"/>
        </w:trPr>
        <w:tc>
          <w:tcPr>
            <w:tcW w:w="684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57"/>
        </w:trPr>
        <w:tc>
          <w:tcPr>
            <w:tcW w:w="6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income (loss) allocable to common shareholders</w:t>
            </w:r>
          </w:p>
        </w:tc>
        <w:tc>
          <w:tcPr>
            <w:tcW w:w="1220" w:type="dxa"/>
            <w:vAlign w:val="bottom"/>
            <w:tcBorders>
              <w:bottom w:val="single" w:sz="8" w:color="auto"/>
            </w:tcBorders>
            <w:shd w:val="clear" w:color="auto" w:fill="CCEEFF"/>
          </w:tcPr>
          <w:p>
            <w:pPr>
              <w:jc w:val="right"/>
              <w:ind w:right="1019"/>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(5,546)</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056"/>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w:t>
            </w:r>
          </w:p>
        </w:tc>
      </w:tr>
      <w:tr>
        <w:trPr>
          <w:trHeight w:val="20"/>
        </w:trPr>
        <w:tc>
          <w:tcPr>
            <w:tcW w:w="68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Notes:</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11" w:lineRule="exact"/>
        <w:rPr>
          <w:sz w:val="20"/>
          <w:szCs w:val="20"/>
          <w:color w:val="auto"/>
        </w:rPr>
      </w:pPr>
    </w:p>
    <w:p>
      <w:pPr>
        <w:jc w:val="both"/>
        <w:ind w:left="660" w:hanging="652"/>
        <w:spacing w:after="0" w:line="247" w:lineRule="auto"/>
        <w:tabs>
          <w:tab w:leader="none" w:pos="6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For the three months ended March 31, 2013, depreciation and amortization includes $130 of depreciation and amortization reclassified to discontinued operations. Depreciation and amortization also includes our proportionate share of depreciation and amortization expense for equity method investments and excludes the portion of depreciation and amortization expense allocable to noncontrolling interests.</w:t>
      </w:r>
    </w:p>
    <w:p>
      <w:pPr>
        <w:spacing w:after="0" w:line="1" w:lineRule="exact"/>
        <w:rPr>
          <w:rFonts w:ascii="Arial" w:cs="Arial" w:eastAsia="Arial" w:hAnsi="Arial"/>
          <w:sz w:val="14"/>
          <w:szCs w:val="14"/>
          <w:color w:val="auto"/>
        </w:rPr>
      </w:pPr>
    </w:p>
    <w:p>
      <w:pPr>
        <w:ind w:left="660" w:hanging="652"/>
        <w:spacing w:after="0"/>
        <w:tabs>
          <w:tab w:leader="none" w:pos="6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For the three months ended March 31, 2013, impairment of assets includes $(32) of impairment of assets reclassified to discontinued operations.</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00" w:type="dxa"/>
            <w:vAlign w:val="bottom"/>
          </w:tcPr>
          <w:p>
            <w:pPr>
              <w:spacing w:after="0"/>
              <w:rPr>
                <w:sz w:val="16"/>
                <w:szCs w:val="16"/>
                <w:color w:val="auto"/>
              </w:rPr>
            </w:pPr>
          </w:p>
        </w:tc>
        <w:tc>
          <w:tcPr>
            <w:tcW w:w="3460" w:type="dxa"/>
            <w:vAlign w:val="bottom"/>
            <w:tcBorders>
              <w:bottom w:val="single" w:sz="8" w:color="auto"/>
            </w:tcBorders>
            <w:gridSpan w:val="4"/>
          </w:tcPr>
          <w:p>
            <w:pPr>
              <w:jc w:val="right"/>
              <w:ind w:right="14"/>
              <w:spacing w:after="0"/>
              <w:rPr>
                <w:sz w:val="20"/>
                <w:szCs w:val="20"/>
                <w:color w:val="auto"/>
              </w:rPr>
            </w:pPr>
            <w:r>
              <w:rPr>
                <w:rFonts w:ascii="Arial" w:cs="Arial" w:eastAsia="Arial" w:hAnsi="Arial"/>
                <w:sz w:val="14"/>
                <w:szCs w:val="14"/>
                <w:b w:val="1"/>
                <w:bCs w:val="1"/>
                <w:color w:val="auto"/>
              </w:rPr>
              <w:t>For the Three Months Ended March 31,</w:t>
            </w:r>
          </w:p>
        </w:tc>
        <w:tc>
          <w:tcPr>
            <w:tcW w:w="760" w:type="dxa"/>
            <w:vAlign w:val="bottom"/>
            <w:tcBorders>
              <w:bottom w:val="single" w:sz="8" w:color="auto"/>
            </w:tcBorders>
          </w:tcPr>
          <w:p>
            <w:pPr>
              <w:spacing w:after="0"/>
              <w:rPr>
                <w:sz w:val="16"/>
                <w:szCs w:val="16"/>
                <w:color w:val="auto"/>
              </w:rPr>
            </w:pPr>
          </w:p>
        </w:tc>
      </w:tr>
      <w:tr>
        <w:trPr>
          <w:trHeight w:val="264"/>
        </w:trPr>
        <w:tc>
          <w:tcPr>
            <w:tcW w:w="7200" w:type="dxa"/>
            <w:vAlign w:val="bottom"/>
          </w:tcPr>
          <w:p>
            <w:pPr>
              <w:spacing w:after="0"/>
              <w:rPr>
                <w:sz w:val="22"/>
                <w:szCs w:val="22"/>
                <w:color w:val="auto"/>
              </w:rPr>
            </w:pPr>
          </w:p>
        </w:tc>
        <w:tc>
          <w:tcPr>
            <w:tcW w:w="128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b w:val="1"/>
                <w:bCs w:val="1"/>
                <w:color w:val="auto"/>
              </w:rPr>
              <w:t>2014</w:t>
            </w:r>
          </w:p>
        </w:tc>
        <w:tc>
          <w:tcPr>
            <w:tcW w:w="7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2013</w:t>
            </w:r>
          </w:p>
        </w:tc>
        <w:tc>
          <w:tcPr>
            <w:tcW w:w="760" w:type="dxa"/>
            <w:vAlign w:val="bottom"/>
            <w:tcBorders>
              <w:bottom w:val="single" w:sz="8" w:color="auto"/>
            </w:tcBorders>
          </w:tcPr>
          <w:p>
            <w:pPr>
              <w:spacing w:after="0"/>
              <w:rPr>
                <w:sz w:val="22"/>
                <w:szCs w:val="22"/>
                <w:color w:val="auto"/>
              </w:rPr>
            </w:pPr>
          </w:p>
        </w:tc>
      </w:tr>
      <w:tr>
        <w:trPr>
          <w:trHeight w:val="196"/>
        </w:trPr>
        <w:tc>
          <w:tcPr>
            <w:tcW w:w="7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180" w:type="dxa"/>
            <w:vAlign w:val="bottom"/>
            <w:gridSpan w:val="3"/>
          </w:tcPr>
          <w:p>
            <w:pPr>
              <w:jc w:val="right"/>
              <w:ind w:right="814"/>
              <w:spacing w:after="0"/>
              <w:rPr>
                <w:sz w:val="20"/>
                <w:szCs w:val="20"/>
                <w:color w:val="auto"/>
              </w:rPr>
            </w:pPr>
            <w:r>
              <w:rPr>
                <w:rFonts w:ascii="Arial" w:cs="Arial" w:eastAsia="Arial" w:hAnsi="Arial"/>
                <w:sz w:val="14"/>
                <w:szCs w:val="14"/>
                <w:b w:val="1"/>
                <w:bCs w:val="1"/>
                <w:color w:val="auto"/>
              </w:rPr>
              <w:t>(in thousands)</w:t>
            </w:r>
          </w:p>
        </w:tc>
        <w:tc>
          <w:tcPr>
            <w:tcW w:w="760" w:type="dxa"/>
            <w:vAlign w:val="bottom"/>
          </w:tcPr>
          <w:p>
            <w:pPr>
              <w:spacing w:after="0"/>
              <w:rPr>
                <w:sz w:val="17"/>
                <w:szCs w:val="17"/>
                <w:color w:val="auto"/>
              </w:rPr>
            </w:pPr>
          </w:p>
        </w:tc>
      </w:tr>
      <w:tr>
        <w:trPr>
          <w:trHeight w:val="256"/>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Adjusted EBITDA</w:t>
            </w:r>
          </w:p>
        </w:tc>
        <w:tc>
          <w:tcPr>
            <w:tcW w:w="12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r>
      <w:tr>
        <w:trPr>
          <w:trHeight w:val="243"/>
        </w:trPr>
        <w:tc>
          <w:tcPr>
            <w:tcW w:w="7200" w:type="dxa"/>
            <w:vAlign w:val="bottom"/>
          </w:tcPr>
          <w:p>
            <w:pPr>
              <w:ind w:left="180"/>
              <w:spacing w:after="0"/>
              <w:rPr>
                <w:sz w:val="20"/>
                <w:szCs w:val="20"/>
                <w:color w:val="auto"/>
              </w:rPr>
            </w:pPr>
            <w:r>
              <w:rPr>
                <w:rFonts w:ascii="Arial" w:cs="Arial" w:eastAsia="Arial" w:hAnsi="Arial"/>
                <w:sz w:val="18"/>
                <w:szCs w:val="18"/>
                <w:color w:val="auto"/>
              </w:rPr>
              <w:t>Net income (loss)</w:t>
            </w:r>
          </w:p>
        </w:tc>
        <w:tc>
          <w:tcPr>
            <w:tcW w:w="1280" w:type="dxa"/>
            <w:vAlign w:val="bottom"/>
          </w:tcPr>
          <w:p>
            <w:pPr>
              <w:jc w:val="right"/>
              <w:ind w:right="1077"/>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(14,177)</w:t>
            </w:r>
          </w:p>
        </w:tc>
        <w:tc>
          <w:tcPr>
            <w:tcW w:w="100" w:type="dxa"/>
            <w:vAlign w:val="bottom"/>
          </w:tcPr>
          <w:p>
            <w:pPr>
              <w:spacing w:after="0"/>
              <w:rPr>
                <w:sz w:val="21"/>
                <w:szCs w:val="21"/>
                <w:color w:val="auto"/>
              </w:rPr>
            </w:pPr>
          </w:p>
        </w:tc>
        <w:tc>
          <w:tcPr>
            <w:tcW w:w="1300" w:type="dxa"/>
            <w:vAlign w:val="bottom"/>
          </w:tcPr>
          <w:p>
            <w:pPr>
              <w:jc w:val="right"/>
              <w:ind w:right="1094"/>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(32,253)</w:t>
            </w:r>
          </w:p>
        </w:tc>
      </w:tr>
      <w:tr>
        <w:trPr>
          <w:trHeight w:val="27"/>
        </w:trPr>
        <w:tc>
          <w:tcPr>
            <w:tcW w:w="7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 Interest expense(1)</w:t>
            </w:r>
          </w:p>
        </w:tc>
        <w:tc>
          <w:tcPr>
            <w:tcW w:w="12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58,469</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71,566</w:t>
            </w:r>
          </w:p>
        </w:tc>
      </w:tr>
      <w:tr>
        <w:trPr>
          <w:trHeight w:val="243"/>
        </w:trPr>
        <w:tc>
          <w:tcPr>
            <w:tcW w:w="7200" w:type="dxa"/>
            <w:vAlign w:val="bottom"/>
          </w:tcPr>
          <w:p>
            <w:pPr>
              <w:ind w:left="180"/>
              <w:spacing w:after="0"/>
              <w:rPr>
                <w:sz w:val="20"/>
                <w:szCs w:val="20"/>
                <w:color w:val="auto"/>
              </w:rPr>
            </w:pPr>
            <w:r>
              <w:rPr>
                <w:rFonts w:ascii="Arial" w:cs="Arial" w:eastAsia="Arial" w:hAnsi="Arial"/>
                <w:sz w:val="18"/>
                <w:szCs w:val="18"/>
                <w:color w:val="auto"/>
              </w:rPr>
              <w:t>Less: Income tax expense (benefit)</w:t>
            </w:r>
          </w:p>
        </w:tc>
        <w:tc>
          <w:tcPr>
            <w:tcW w:w="12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(507)</w:t>
            </w: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4,075</w:t>
            </w:r>
          </w:p>
        </w:tc>
      </w:tr>
      <w:tr>
        <w:trPr>
          <w:trHeight w:val="27"/>
        </w:trPr>
        <w:tc>
          <w:tcPr>
            <w:tcW w:w="7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 Depreciation and amortization(2)</w:t>
            </w:r>
          </w:p>
        </w:tc>
        <w:tc>
          <w:tcPr>
            <w:tcW w:w="12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19,541</w:t>
            </w:r>
          </w:p>
        </w:tc>
        <w:tc>
          <w:tcPr>
            <w:tcW w:w="1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17,454</w:t>
            </w:r>
          </w:p>
        </w:tc>
      </w:tr>
      <w:tr>
        <w:trPr>
          <w:trHeight w:val="237"/>
        </w:trPr>
        <w:tc>
          <w:tcPr>
            <w:tcW w:w="7200" w:type="dxa"/>
            <w:vAlign w:val="bottom"/>
          </w:tcPr>
          <w:p>
            <w:pPr>
              <w:ind w:left="180"/>
              <w:spacing w:after="0"/>
              <w:rPr>
                <w:sz w:val="20"/>
                <w:szCs w:val="20"/>
                <w:color w:val="auto"/>
              </w:rPr>
            </w:pPr>
            <w:r>
              <w:rPr>
                <w:rFonts w:ascii="Arial" w:cs="Arial" w:eastAsia="Arial" w:hAnsi="Arial"/>
                <w:sz w:val="18"/>
                <w:szCs w:val="18"/>
                <w:color w:val="auto"/>
              </w:rPr>
              <w:t>EBITDA</w:t>
            </w:r>
          </w:p>
        </w:tc>
        <w:tc>
          <w:tcPr>
            <w:tcW w:w="1280" w:type="dxa"/>
            <w:vAlign w:val="bottom"/>
            <w:tcBorders>
              <w:top w:val="single" w:sz="8" w:color="auto"/>
            </w:tcBorders>
          </w:tcPr>
          <w:p>
            <w:pPr>
              <w:jc w:val="right"/>
              <w:ind w:right="1077"/>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63,326</w:t>
            </w:r>
          </w:p>
        </w:tc>
        <w:tc>
          <w:tcPr>
            <w:tcW w:w="100" w:type="dxa"/>
            <w:vAlign w:val="bottom"/>
          </w:tcPr>
          <w:p>
            <w:pPr>
              <w:spacing w:after="0"/>
              <w:rPr>
                <w:sz w:val="20"/>
                <w:szCs w:val="20"/>
                <w:color w:val="auto"/>
              </w:rPr>
            </w:pPr>
          </w:p>
        </w:tc>
        <w:tc>
          <w:tcPr>
            <w:tcW w:w="1300" w:type="dxa"/>
            <w:vAlign w:val="bottom"/>
            <w:tcBorders>
              <w:top w:val="single" w:sz="8" w:color="auto"/>
            </w:tcBorders>
          </w:tcPr>
          <w:p>
            <w:pPr>
              <w:jc w:val="right"/>
              <w:ind w:right="1094"/>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60,842</w:t>
            </w:r>
          </w:p>
        </w:tc>
      </w:tr>
      <w:tr>
        <w:trPr>
          <w:trHeight w:val="27"/>
        </w:trPr>
        <w:tc>
          <w:tcPr>
            <w:tcW w:w="7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 Provision for (recovery of) loan losses</w:t>
            </w:r>
          </w:p>
        </w:tc>
        <w:tc>
          <w:tcPr>
            <w:tcW w:w="12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(3,400)</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10,206</w:t>
            </w:r>
          </w:p>
        </w:tc>
      </w:tr>
      <w:tr>
        <w:trPr>
          <w:trHeight w:val="243"/>
        </w:trPr>
        <w:tc>
          <w:tcPr>
            <w:tcW w:w="7200" w:type="dxa"/>
            <w:vAlign w:val="bottom"/>
          </w:tcPr>
          <w:p>
            <w:pPr>
              <w:ind w:left="180"/>
              <w:spacing w:after="0"/>
              <w:rPr>
                <w:sz w:val="20"/>
                <w:szCs w:val="20"/>
                <w:color w:val="auto"/>
              </w:rPr>
            </w:pPr>
            <w:r>
              <w:rPr>
                <w:rFonts w:ascii="Arial" w:cs="Arial" w:eastAsia="Arial" w:hAnsi="Arial"/>
                <w:sz w:val="18"/>
                <w:szCs w:val="18"/>
                <w:color w:val="auto"/>
              </w:rPr>
              <w:t>Add: Impairment of assets(3)</w:t>
            </w:r>
          </w:p>
        </w:tc>
        <w:tc>
          <w:tcPr>
            <w:tcW w:w="128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2,979</w:t>
            </w: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7"/>
        </w:trPr>
        <w:tc>
          <w:tcPr>
            <w:tcW w:w="7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 Stock-based compensation expense</w:t>
            </w:r>
          </w:p>
        </w:tc>
        <w:tc>
          <w:tcPr>
            <w:tcW w:w="12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2,075</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5,202</w:t>
            </w:r>
          </w:p>
        </w:tc>
      </w:tr>
      <w:tr>
        <w:trPr>
          <w:trHeight w:val="243"/>
        </w:trPr>
        <w:tc>
          <w:tcPr>
            <w:tcW w:w="7200" w:type="dxa"/>
            <w:vAlign w:val="bottom"/>
          </w:tcPr>
          <w:p>
            <w:pPr>
              <w:ind w:left="180"/>
              <w:spacing w:after="0"/>
              <w:rPr>
                <w:sz w:val="20"/>
                <w:szCs w:val="20"/>
                <w:color w:val="auto"/>
              </w:rPr>
            </w:pPr>
            <w:r>
              <w:rPr>
                <w:rFonts w:ascii="Arial" w:cs="Arial" w:eastAsia="Arial" w:hAnsi="Arial"/>
                <w:sz w:val="18"/>
                <w:szCs w:val="18"/>
                <w:color w:val="auto"/>
              </w:rPr>
              <w:t>Add: Loss on early extinguishment of debt, net</w:t>
            </w:r>
          </w:p>
        </w:tc>
        <w:tc>
          <w:tcPr>
            <w:tcW w:w="128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1,180</w:t>
            </w: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9,541</w:t>
            </w:r>
          </w:p>
        </w:tc>
      </w:tr>
      <w:tr>
        <w:trPr>
          <w:trHeight w:val="27"/>
        </w:trPr>
        <w:tc>
          <w:tcPr>
            <w:tcW w:w="72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57"/>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EBITDA</w:t>
            </w:r>
          </w:p>
        </w:tc>
        <w:tc>
          <w:tcPr>
            <w:tcW w:w="1280" w:type="dxa"/>
            <w:vAlign w:val="bottom"/>
            <w:tcBorders>
              <w:bottom w:val="single" w:sz="8" w:color="auto"/>
            </w:tcBorders>
            <w:shd w:val="clear" w:color="auto" w:fill="CCEEFF"/>
          </w:tcPr>
          <w:p>
            <w:pPr>
              <w:jc w:val="right"/>
              <w:ind w:right="1077"/>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66,160</w:t>
            </w:r>
          </w:p>
        </w:tc>
        <w:tc>
          <w:tcPr>
            <w:tcW w:w="1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1094"/>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85,759</w:t>
            </w:r>
          </w:p>
        </w:tc>
      </w:tr>
      <w:tr>
        <w:trPr>
          <w:trHeight w:val="20"/>
        </w:trPr>
        <w:tc>
          <w:tcPr>
            <w:tcW w:w="72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Notes:</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51" w:lineRule="exact"/>
        <w:rPr>
          <w:sz w:val="20"/>
          <w:szCs w:val="20"/>
          <w:color w:val="auto"/>
        </w:rPr>
      </w:pPr>
    </w:p>
    <w:p>
      <w:pPr>
        <w:ind w:left="660" w:hanging="652"/>
        <w:spacing w:after="0"/>
        <w:tabs>
          <w:tab w:leader="none" w:pos="660" w:val="left"/>
        </w:tabs>
        <w:numPr>
          <w:ilvl w:val="0"/>
          <w:numId w:val="21"/>
        </w:numPr>
        <w:rPr>
          <w:rFonts w:ascii="Arial" w:cs="Arial" w:eastAsia="Arial" w:hAnsi="Arial"/>
          <w:sz w:val="14"/>
          <w:szCs w:val="14"/>
          <w:color w:val="auto"/>
        </w:rPr>
      </w:pPr>
      <w:r>
        <w:rPr>
          <w:rFonts w:ascii="Arial" w:cs="Arial" w:eastAsia="Arial" w:hAnsi="Arial"/>
          <w:sz w:val="14"/>
          <w:szCs w:val="14"/>
          <w:color w:val="auto"/>
        </w:rPr>
        <w:t>Interest expense includes our proportionate share of interest for equity method investments.</w:t>
      </w:r>
    </w:p>
    <w:p>
      <w:pPr>
        <w:spacing w:after="0" w:line="13" w:lineRule="exact"/>
        <w:rPr>
          <w:rFonts w:ascii="Arial" w:cs="Arial" w:eastAsia="Arial" w:hAnsi="Arial"/>
          <w:sz w:val="14"/>
          <w:szCs w:val="14"/>
          <w:color w:val="auto"/>
        </w:rPr>
      </w:pPr>
    </w:p>
    <w:p>
      <w:pPr>
        <w:ind w:left="660" w:hanging="652"/>
        <w:spacing w:after="0" w:line="241" w:lineRule="auto"/>
        <w:tabs>
          <w:tab w:leader="none" w:pos="660" w:val="left"/>
        </w:tabs>
        <w:numPr>
          <w:ilvl w:val="0"/>
          <w:numId w:val="21"/>
        </w:numPr>
        <w:rPr>
          <w:rFonts w:ascii="Arial" w:cs="Arial" w:eastAsia="Arial" w:hAnsi="Arial"/>
          <w:sz w:val="14"/>
          <w:szCs w:val="14"/>
          <w:color w:val="auto"/>
        </w:rPr>
      </w:pPr>
      <w:r>
        <w:rPr>
          <w:rFonts w:ascii="Arial" w:cs="Arial" w:eastAsia="Arial" w:hAnsi="Arial"/>
          <w:sz w:val="14"/>
          <w:szCs w:val="14"/>
          <w:color w:val="auto"/>
        </w:rPr>
        <w:t>For the three months ended March 31, 2013, depreciation and amortization includes $130 of depreciation and amortization reclassified to discontinued operations. Depreciation and amortization also includes our proportionate share of depreciation and amortization expense for equity method investments.</w:t>
      </w:r>
    </w:p>
    <w:p>
      <w:pPr>
        <w:ind w:left="660" w:hanging="652"/>
        <w:spacing w:after="0"/>
        <w:tabs>
          <w:tab w:leader="none" w:pos="660" w:val="left"/>
        </w:tabs>
        <w:numPr>
          <w:ilvl w:val="0"/>
          <w:numId w:val="21"/>
        </w:numPr>
        <w:rPr>
          <w:rFonts w:ascii="Arial" w:cs="Arial" w:eastAsia="Arial" w:hAnsi="Arial"/>
          <w:sz w:val="14"/>
          <w:szCs w:val="14"/>
          <w:color w:val="auto"/>
        </w:rPr>
      </w:pPr>
      <w:r>
        <w:rPr>
          <w:rFonts w:ascii="Arial" w:cs="Arial" w:eastAsia="Arial" w:hAnsi="Arial"/>
          <w:sz w:val="14"/>
          <w:szCs w:val="14"/>
          <w:color w:val="auto"/>
        </w:rPr>
        <w:t>For the three months ended March 31, 2013, impairment of assets includes $(32) of impairment of assets reclassified to discontinued operations.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22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b w:val="1"/>
          <w:bCs w:val="1"/>
          <w:i w:val="1"/>
          <w:iCs w:val="1"/>
          <w:color w:val="auto"/>
        </w:rPr>
        <w:t>Loan Credit Statistics</w:t>
      </w:r>
      <w:r>
        <w:rPr>
          <w:rFonts w:ascii="Arial" w:cs="Arial" w:eastAsia="Arial" w:hAnsi="Arial"/>
          <w:sz w:val="18"/>
          <w:szCs w:val="18"/>
          <w:color w:val="auto"/>
        </w:rPr>
        <w:t>—The table below summarizes our non-performing loans and the reserves for loan losses associated with our loans ($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thousands):</w:t>
      </w:r>
    </w:p>
    <w:p>
      <w:pPr>
        <w:spacing w:after="0" w:line="176"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7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w:t>
            </w:r>
          </w:p>
        </w:tc>
        <w:tc>
          <w:tcPr>
            <w:tcW w:w="1560" w:type="dxa"/>
            <w:vAlign w:val="bottom"/>
            <w:tcBorders>
              <w:bottom w:val="single" w:sz="8" w:color="auto"/>
            </w:tcBorders>
          </w:tcPr>
          <w:p>
            <w:pPr>
              <w:spacing w:after="0"/>
              <w:rPr>
                <w:sz w:val="16"/>
                <w:szCs w:val="16"/>
                <w:color w:val="auto"/>
              </w:rPr>
            </w:pPr>
          </w:p>
        </w:tc>
      </w:tr>
      <w:tr>
        <w:trPr>
          <w:trHeight w:val="264"/>
        </w:trPr>
        <w:tc>
          <w:tcPr>
            <w:tcW w:w="77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2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 2014</w:t>
            </w:r>
          </w:p>
        </w:tc>
        <w:tc>
          <w:tcPr>
            <w:tcW w:w="200" w:type="dxa"/>
            <w:vAlign w:val="bottom"/>
          </w:tcPr>
          <w:p>
            <w:pPr>
              <w:spacing w:after="0"/>
              <w:rPr>
                <w:sz w:val="22"/>
                <w:szCs w:val="22"/>
                <w:color w:val="auto"/>
              </w:rPr>
            </w:pPr>
          </w:p>
        </w:tc>
        <w:tc>
          <w:tcPr>
            <w:tcW w:w="1560" w:type="dxa"/>
            <w:vAlign w:val="bottom"/>
          </w:tcPr>
          <w:p>
            <w:pPr>
              <w:jc w:val="right"/>
              <w:ind w:right="213"/>
              <w:spacing w:after="0"/>
              <w:rPr>
                <w:sz w:val="20"/>
                <w:szCs w:val="20"/>
                <w:color w:val="auto"/>
              </w:rPr>
            </w:pPr>
            <w:r>
              <w:rPr>
                <w:rFonts w:ascii="Arial" w:cs="Arial" w:eastAsia="Arial" w:hAnsi="Arial"/>
                <w:sz w:val="14"/>
                <w:szCs w:val="14"/>
                <w:b w:val="1"/>
                <w:bCs w:val="1"/>
                <w:color w:val="auto"/>
                <w:w w:val="98"/>
              </w:rPr>
              <w:t>December 31, 2013</w:t>
            </w:r>
          </w:p>
        </w:tc>
      </w:tr>
      <w:tr>
        <w:trPr>
          <w:trHeight w:val="250"/>
        </w:trPr>
        <w:tc>
          <w:tcPr>
            <w:tcW w:w="7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Non-performing loans</w:t>
            </w: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7740" w:type="dxa"/>
            <w:vAlign w:val="bottom"/>
          </w:tcPr>
          <w:p>
            <w:pPr>
              <w:ind w:left="20"/>
              <w:spacing w:after="0"/>
              <w:rPr>
                <w:sz w:val="20"/>
                <w:szCs w:val="20"/>
                <w:color w:val="auto"/>
              </w:rPr>
            </w:pPr>
            <w:r>
              <w:rPr>
                <w:rFonts w:ascii="Arial" w:cs="Arial" w:eastAsia="Arial" w:hAnsi="Arial"/>
                <w:sz w:val="18"/>
                <w:szCs w:val="18"/>
                <w:color w:val="auto"/>
              </w:rPr>
              <w:t>Carrying value(1)</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94"/>
              <w:spacing w:after="0"/>
              <w:rPr>
                <w:sz w:val="20"/>
                <w:szCs w:val="20"/>
                <w:color w:val="auto"/>
              </w:rPr>
            </w:pPr>
            <w:r>
              <w:rPr>
                <w:rFonts w:ascii="Arial" w:cs="Arial" w:eastAsia="Arial" w:hAnsi="Arial"/>
                <w:sz w:val="18"/>
                <w:szCs w:val="18"/>
                <w:color w:val="auto"/>
              </w:rPr>
              <w:t>203,174</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93"/>
              <w:spacing w:after="0"/>
              <w:rPr>
                <w:sz w:val="20"/>
                <w:szCs w:val="20"/>
                <w:color w:val="auto"/>
              </w:rPr>
            </w:pPr>
            <w:r>
              <w:rPr>
                <w:rFonts w:ascii="Arial" w:cs="Arial" w:eastAsia="Arial" w:hAnsi="Arial"/>
                <w:sz w:val="18"/>
                <w:szCs w:val="18"/>
                <w:color w:val="auto"/>
              </w:rPr>
              <w:t>203,604</w:t>
            </w:r>
          </w:p>
        </w:tc>
      </w:tr>
      <w:tr>
        <w:trPr>
          <w:trHeight w:val="27"/>
        </w:trPr>
        <w:tc>
          <w:tcPr>
            <w:tcW w:w="7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 a percentage of total carrying value of loans</w:t>
            </w:r>
          </w:p>
        </w:tc>
        <w:tc>
          <w:tcPr>
            <w:tcW w:w="2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w:t>
            </w:r>
          </w:p>
        </w:tc>
      </w:tr>
      <w:tr>
        <w:trPr>
          <w:trHeight w:val="243"/>
        </w:trPr>
        <w:tc>
          <w:tcPr>
            <w:tcW w:w="7740" w:type="dxa"/>
            <w:vAlign w:val="bottom"/>
          </w:tcPr>
          <w:p>
            <w:pPr>
              <w:ind w:left="20"/>
              <w:spacing w:after="0"/>
              <w:rPr>
                <w:sz w:val="20"/>
                <w:szCs w:val="20"/>
                <w:color w:val="auto"/>
              </w:rPr>
            </w:pPr>
            <w:r>
              <w:rPr>
                <w:rFonts w:ascii="Arial" w:cs="Arial" w:eastAsia="Arial" w:hAnsi="Arial"/>
                <w:sz w:val="18"/>
                <w:szCs w:val="18"/>
                <w:b w:val="1"/>
                <w:bCs w:val="1"/>
                <w:color w:val="auto"/>
              </w:rPr>
              <w:t>Reserve for loan losses</w:t>
            </w:r>
          </w:p>
        </w:tc>
        <w:tc>
          <w:tcPr>
            <w:tcW w:w="2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7"/>
        </w:trPr>
        <w:tc>
          <w:tcPr>
            <w:tcW w:w="7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Impaired loan asset-specific reserves for loan losses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339,076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348,004</w:t>
            </w:r>
          </w:p>
        </w:tc>
      </w:tr>
      <w:tr>
        <w:trPr>
          <w:trHeight w:val="243"/>
        </w:trPr>
        <w:tc>
          <w:tcPr>
            <w:tcW w:w="7740" w:type="dxa"/>
            <w:vAlign w:val="bottom"/>
          </w:tcPr>
          <w:p>
            <w:pPr>
              <w:ind w:left="160"/>
              <w:spacing w:after="0"/>
              <w:rPr>
                <w:sz w:val="20"/>
                <w:szCs w:val="20"/>
                <w:color w:val="auto"/>
              </w:rPr>
            </w:pPr>
            <w:r>
              <w:rPr>
                <w:rFonts w:ascii="Arial" w:cs="Arial" w:eastAsia="Arial" w:hAnsi="Arial"/>
                <w:sz w:val="18"/>
                <w:szCs w:val="18"/>
                <w:color w:val="auto"/>
              </w:rPr>
              <w:t>As a percentage of gross carrying value of impaired loans</w:t>
            </w:r>
          </w:p>
        </w:tc>
        <w:tc>
          <w:tcPr>
            <w:tcW w:w="2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49.3%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46.3%</w:t>
            </w:r>
          </w:p>
        </w:tc>
      </w:tr>
      <w:tr>
        <w:trPr>
          <w:trHeight w:val="27"/>
        </w:trPr>
        <w:tc>
          <w:tcPr>
            <w:tcW w:w="7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reserve for loan losses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370,076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377,204</w:t>
            </w:r>
          </w:p>
        </w:tc>
      </w:tr>
      <w:tr>
        <w:trPr>
          <w:trHeight w:val="243"/>
        </w:trPr>
        <w:tc>
          <w:tcPr>
            <w:tcW w:w="7740" w:type="dxa"/>
            <w:vAlign w:val="bottom"/>
          </w:tcPr>
          <w:p>
            <w:pPr>
              <w:ind w:left="160"/>
              <w:spacing w:after="0"/>
              <w:rPr>
                <w:sz w:val="20"/>
                <w:szCs w:val="20"/>
                <w:color w:val="auto"/>
              </w:rPr>
            </w:pPr>
            <w:r>
              <w:rPr>
                <w:rFonts w:ascii="Arial" w:cs="Arial" w:eastAsia="Arial" w:hAnsi="Arial"/>
                <w:sz w:val="18"/>
                <w:szCs w:val="18"/>
                <w:color w:val="auto"/>
              </w:rPr>
              <w:t>As a percentage of total loans before loan loss reserves</w:t>
            </w:r>
          </w:p>
        </w:tc>
        <w:tc>
          <w:tcPr>
            <w:tcW w:w="2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21.9%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23.5%</w:t>
            </w:r>
          </w:p>
        </w:tc>
      </w:tr>
    </w:tbl>
    <w:p>
      <w:pPr>
        <w:spacing w:after="0" w:line="16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51" w:lineRule="exact"/>
        <w:rPr>
          <w:sz w:val="20"/>
          <w:szCs w:val="20"/>
          <w:color w:val="auto"/>
        </w:rPr>
      </w:pPr>
    </w:p>
    <w:p>
      <w:pPr>
        <w:ind w:left="660" w:right="720" w:hanging="652"/>
        <w:spacing w:after="0" w:line="273" w:lineRule="auto"/>
        <w:tabs>
          <w:tab w:leader="none" w:pos="6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As of March 31, 2014 and December 31, 2013, carrying values of non-performing loans are net of asset-specific reserves for loan losses of $317.0 million and $317.0 million, respectively.</w:t>
      </w:r>
    </w:p>
    <w:p>
      <w:pPr>
        <w:spacing w:after="0" w:line="124"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b w:val="1"/>
          <w:bCs w:val="1"/>
          <w:i w:val="1"/>
          <w:iCs w:val="1"/>
          <w:color w:val="auto"/>
        </w:rPr>
        <w:t>Non-Performing Loans</w:t>
      </w:r>
      <w:r>
        <w:rPr>
          <w:rFonts w:ascii="Arial" w:cs="Arial" w:eastAsia="Arial" w:hAnsi="Arial"/>
          <w:sz w:val="18"/>
          <w:szCs w:val="18"/>
          <w:color w:val="auto"/>
        </w:rPr>
        <w:t>—We designate loans as non-performing at such time as: (1) the loan becomes 90 days delinquent; (2) the loan has a maturity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default; or (3) management determines it is probable that it will be unable to collect all amounts due according to the contractual terms of the loan. All non-performing loans are placed on non-accrual status and income is only recognized in certain cases upon actual cash receipt. As of March 31, 2014, we had non-performing loans with an aggregate carrying value of $203.2 million compared to non-performing loans of $203.6 million at December 31, 2013. We expect that our level of non-performing loans will fluctuate from period to period.</w:t>
      </w:r>
    </w:p>
    <w:p>
      <w:pPr>
        <w:spacing w:after="0" w:line="18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b w:val="1"/>
          <w:bCs w:val="1"/>
          <w:i w:val="1"/>
          <w:iCs w:val="1"/>
          <w:color w:val="auto"/>
        </w:rPr>
        <w:t>Reserve for Loan Losses</w:t>
      </w:r>
      <w:r>
        <w:rPr>
          <w:rFonts w:ascii="Arial" w:cs="Arial" w:eastAsia="Arial" w:hAnsi="Arial"/>
          <w:sz w:val="18"/>
          <w:szCs w:val="18"/>
          <w:color w:val="auto"/>
        </w:rPr>
        <w:t>—The reserve for loan losses was $370.1 million as of March 31, 2014, or 21.9% of the gross carrying value of total loans,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$377.2 million or 23.5% at December 31, 2013. The change in the balance of the reserve was the result of $3.4 million of net recoveries of loan losses and a reduction associated with $3.7 million of charge-offs during the three months ended March 31, 2014. During the three months ended March 31, 2014, the provision for loan losses includes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recoveries of previously recorded loan loss reserves of $5.2 million offset by an increase of $1.8 million in the general reserve due primarily to new investment originations. We expect that our level of reserve for loan losses will fluctuate from period to period. Due to the volatility of the commercial real estate market, the process of estimating collateral values and reserves requires the use of significant judgment. In addition, the process of estimating values and reserves for our European loan assets (which had a carrying value of $93.8 million as of March 31, 2014), is subject to additional risks related to the economic uncertainty in the Eurozone. We currently believe there are adequate collateral and reserves to support the carrying values of the loans.</w:t>
      </w:r>
    </w:p>
    <w:p>
      <w:pPr>
        <w:spacing w:after="0" w:line="15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reserve for loan losses includes an asset-specific component and a formula-based component. An asset-specific reserve is established for an impaired loan when the estimated fair value of the loan's collateral less costs to sell is lower than the carrying value of the loan. As of March 31, 2014, asset-specific reserves decreased to $339.1 million compared to $348.0 million at December 31, 2013, primarily due to recoveries of previously recorded loan loss reserves and charge-offs on loans that were paid off.</w:t>
      </w:r>
    </w:p>
    <w:p>
      <w:pPr>
        <w:spacing w:after="0" w:line="187"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6"/>
          <w:szCs w:val="16"/>
          <w:color w:val="auto"/>
        </w:rPr>
        <w:t>The formula-based general reserve is derived from estimated principal default probabilities and loss severities applied to groups of performing loans based upon risk ratings assigned to loans with similar risk characteristics during our quarterly loan portfolio assessment. During this assessment, we perform a comprehensive analysis of our loan portfolio and assign risk ratings to loans that incorporate management's current judgments about their credit quality based on all known and relevant factors that may affect collectability. We consider, among other things, payment status, lien position, borrower financial resources and investment in collateral, collateral type, project economics and geographical location as well as national and regional economic factors. This methodology results in loans being segmented by risk classification into risk rating categories that are associated with estimated probabilities of default and principal loss. We estimate loss rates based on historical realized losses experienced within our portfolio and take into account current economic conditions affecting the commercial real estate market when establishing appropriate time frames to evaluate loss experience.</w:t>
      </w:r>
    </w:p>
    <w:p>
      <w:pPr>
        <w:spacing w:after="0" w:line="166"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general reserve increased to $31.0 million or 2.6% of the gross carrying value of performing loans as of March 31, 2014, compared to $29.2 million or 2.7% of the gross carrying value of performing loans at December 31, 2013. This increase was primarily attributable to the increase in the balance of performing loans, which was due to new investment originations.</w:t>
      </w:r>
    </w:p>
    <w:p>
      <w:pPr>
        <w:spacing w:after="0" w:line="18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b w:val="1"/>
          <w:bCs w:val="1"/>
          <w:i w:val="1"/>
          <w:iCs w:val="1"/>
          <w:color w:val="auto"/>
        </w:rPr>
        <w:t>Risk concentrations</w:t>
      </w:r>
      <w:r>
        <w:rPr>
          <w:rFonts w:ascii="Arial" w:cs="Arial" w:eastAsia="Arial" w:hAnsi="Arial"/>
          <w:sz w:val="18"/>
          <w:szCs w:val="18"/>
          <w:color w:val="auto"/>
        </w:rPr>
        <w:t>—As of March 31, 2014, our total investment portfolio, consisting of real estate, loans receivable and other lending investments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other investments, was comprised of the following property and collateral types ($ in thousands)(1):</w:t>
      </w:r>
    </w:p>
    <w:p>
      <w:pPr>
        <w:spacing w:after="0" w:line="150"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29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Property/Collateral Types</w:t>
            </w:r>
          </w:p>
        </w:tc>
        <w:tc>
          <w:tcPr>
            <w:tcW w:w="12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2"/>
          </w:tcPr>
          <w:p>
            <w:pPr>
              <w:ind w:left="80"/>
              <w:spacing w:after="0"/>
              <w:rPr>
                <w:sz w:val="20"/>
                <w:szCs w:val="20"/>
                <w:color w:val="auto"/>
              </w:rPr>
            </w:pPr>
            <w:r>
              <w:rPr>
                <w:rFonts w:ascii="Arial" w:cs="Arial" w:eastAsia="Arial" w:hAnsi="Arial"/>
                <w:sz w:val="14"/>
                <w:szCs w:val="14"/>
                <w:b w:val="1"/>
                <w:bCs w:val="1"/>
                <w:color w:val="auto"/>
              </w:rPr>
              <w:t>Real Estate</w:t>
            </w:r>
          </w:p>
        </w:tc>
        <w:tc>
          <w:tcPr>
            <w:tcW w:w="220" w:type="dxa"/>
            <w:vAlign w:val="bottom"/>
          </w:tcPr>
          <w:p>
            <w:pPr>
              <w:spacing w:after="0"/>
              <w:rPr>
                <w:sz w:val="14"/>
                <w:szCs w:val="14"/>
                <w:color w:val="auto"/>
              </w:rPr>
            </w:pPr>
          </w:p>
        </w:tc>
        <w:tc>
          <w:tcPr>
            <w:tcW w:w="1000" w:type="dxa"/>
            <w:vAlign w:val="bottom"/>
            <w:vMerge w:val="restart"/>
          </w:tcPr>
          <w:p>
            <w:pPr>
              <w:jc w:val="right"/>
              <w:ind w:right="231"/>
              <w:spacing w:after="0"/>
              <w:rPr>
                <w:sz w:val="20"/>
                <w:szCs w:val="20"/>
                <w:color w:val="auto"/>
              </w:rPr>
            </w:pPr>
            <w:r>
              <w:rPr>
                <w:rFonts w:ascii="Arial" w:cs="Arial" w:eastAsia="Arial" w:hAnsi="Arial"/>
                <w:sz w:val="14"/>
                <w:szCs w:val="14"/>
                <w:b w:val="1"/>
                <w:bCs w:val="1"/>
                <w:color w:val="auto"/>
                <w:w w:val="99"/>
              </w:rPr>
              <w:t>Net Lease</w:t>
            </w:r>
          </w:p>
        </w:tc>
        <w:tc>
          <w:tcPr>
            <w:tcW w:w="10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2"/>
          </w:tcPr>
          <w:p>
            <w:pPr>
              <w:ind w:left="100"/>
              <w:spacing w:after="0"/>
              <w:rPr>
                <w:sz w:val="20"/>
                <w:szCs w:val="20"/>
                <w:color w:val="auto"/>
              </w:rPr>
            </w:pPr>
            <w:r>
              <w:rPr>
                <w:rFonts w:ascii="Arial" w:cs="Arial" w:eastAsia="Arial" w:hAnsi="Arial"/>
                <w:sz w:val="14"/>
                <w:szCs w:val="14"/>
                <w:b w:val="1"/>
                <w:bCs w:val="1"/>
                <w:color w:val="auto"/>
              </w:rPr>
              <w:t>Operating</w:t>
            </w:r>
          </w:p>
        </w:tc>
        <w:tc>
          <w:tcPr>
            <w:tcW w:w="280" w:type="dxa"/>
            <w:vAlign w:val="bottom"/>
          </w:tcPr>
          <w:p>
            <w:pPr>
              <w:spacing w:after="0"/>
              <w:rPr>
                <w:sz w:val="14"/>
                <w:szCs w:val="14"/>
                <w:color w:val="auto"/>
              </w:rPr>
            </w:pPr>
          </w:p>
        </w:tc>
        <w:tc>
          <w:tcPr>
            <w:tcW w:w="940" w:type="dxa"/>
            <w:vAlign w:val="bottom"/>
            <w:vMerge w:val="restart"/>
          </w:tcPr>
          <w:p>
            <w:pPr>
              <w:jc w:val="right"/>
              <w:ind w:right="351"/>
              <w:spacing w:after="0"/>
              <w:rPr>
                <w:sz w:val="20"/>
                <w:szCs w:val="20"/>
                <w:color w:val="auto"/>
              </w:rPr>
            </w:pPr>
            <w:r>
              <w:rPr>
                <w:rFonts w:ascii="Arial" w:cs="Arial" w:eastAsia="Arial" w:hAnsi="Arial"/>
                <w:sz w:val="14"/>
                <w:szCs w:val="14"/>
                <w:b w:val="1"/>
                <w:bCs w:val="1"/>
                <w:color w:val="auto"/>
              </w:rPr>
              <w:t>Land</w:t>
            </w:r>
          </w:p>
        </w:tc>
        <w:tc>
          <w:tcPr>
            <w:tcW w:w="120" w:type="dxa"/>
            <w:vAlign w:val="bottom"/>
            <w:vMerge w:val="restart"/>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vMerge w:val="restart"/>
          </w:tcPr>
          <w:p>
            <w:pPr>
              <w:jc w:val="right"/>
              <w:ind w:right="351"/>
              <w:spacing w:after="0"/>
              <w:rPr>
                <w:sz w:val="20"/>
                <w:szCs w:val="20"/>
                <w:color w:val="auto"/>
              </w:rPr>
            </w:pPr>
            <w:r>
              <w:rPr>
                <w:rFonts w:ascii="Arial" w:cs="Arial" w:eastAsia="Arial" w:hAnsi="Arial"/>
                <w:sz w:val="14"/>
                <w:szCs w:val="14"/>
                <w:b w:val="1"/>
                <w:bCs w:val="1"/>
                <w:color w:val="auto"/>
              </w:rPr>
              <w:t>Total</w:t>
            </w:r>
          </w:p>
        </w:tc>
        <w:tc>
          <w:tcPr>
            <w:tcW w:w="120" w:type="dxa"/>
            <w:vAlign w:val="bottom"/>
            <w:vMerge w:val="restart"/>
          </w:tcPr>
          <w:p>
            <w:pPr>
              <w:spacing w:after="0"/>
              <w:rPr>
                <w:sz w:val="14"/>
                <w:szCs w:val="14"/>
                <w:color w:val="auto"/>
              </w:rPr>
            </w:pPr>
          </w:p>
        </w:tc>
        <w:tc>
          <w:tcPr>
            <w:tcW w:w="1260" w:type="dxa"/>
            <w:vAlign w:val="bottom"/>
          </w:tcPr>
          <w:p>
            <w:pPr>
              <w:jc w:val="right"/>
              <w:ind w:right="413"/>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92"/>
        </w:trPr>
        <w:tc>
          <w:tcPr>
            <w:tcW w:w="29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Finance</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Properties</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3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96,818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972,867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1,069,685</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43"/>
        </w:trPr>
        <w:tc>
          <w:tcPr>
            <w:tcW w:w="3100" w:type="dxa"/>
            <w:vAlign w:val="bottom"/>
            <w:gridSpan w:val="2"/>
          </w:tcPr>
          <w:p>
            <w:pPr>
              <w:ind w:left="40"/>
              <w:spacing w:after="0"/>
              <w:rPr>
                <w:sz w:val="20"/>
                <w:szCs w:val="20"/>
                <w:color w:val="auto"/>
              </w:rPr>
            </w:pPr>
            <w:r>
              <w:rPr>
                <w:rFonts w:ascii="Arial" w:cs="Arial" w:eastAsia="Arial" w:hAnsi="Arial"/>
                <w:sz w:val="18"/>
                <w:szCs w:val="18"/>
                <w:color w:val="auto"/>
              </w:rPr>
              <w:t>Office</w:t>
            </w:r>
          </w:p>
        </w:tc>
        <w:tc>
          <w:tcPr>
            <w:tcW w:w="18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9,586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432,346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295,467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737,399</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Industrial / R&amp;D</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104,682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533,993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52,308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690,983</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43"/>
        </w:trPr>
        <w:tc>
          <w:tcPr>
            <w:tcW w:w="3100" w:type="dxa"/>
            <w:vAlign w:val="bottom"/>
            <w:gridSpan w:val="2"/>
          </w:tcPr>
          <w:p>
            <w:pPr>
              <w:ind w:left="40"/>
              <w:spacing w:after="0"/>
              <w:rPr>
                <w:sz w:val="20"/>
                <w:szCs w:val="20"/>
                <w:color w:val="auto"/>
              </w:rPr>
            </w:pPr>
            <w:r>
              <w:rPr>
                <w:rFonts w:ascii="Arial" w:cs="Arial" w:eastAsia="Arial" w:hAnsi="Arial"/>
                <w:sz w:val="18"/>
                <w:szCs w:val="18"/>
                <w:color w:val="auto"/>
              </w:rPr>
              <w:t>Mixed Use / Mixed Collateral</w:t>
            </w:r>
          </w:p>
        </w:tc>
        <w:tc>
          <w:tcPr>
            <w:tcW w:w="18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417,428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168,943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586,371</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Entertainment / Leisure</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77,540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475,437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552,977</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43"/>
        </w:trPr>
        <w:tc>
          <w:tcPr>
            <w:tcW w:w="3100" w:type="dxa"/>
            <w:vAlign w:val="bottom"/>
            <w:gridSpan w:val="2"/>
          </w:tcPr>
          <w:p>
            <w:pPr>
              <w:ind w:left="40"/>
              <w:spacing w:after="0"/>
              <w:rPr>
                <w:sz w:val="20"/>
                <w:szCs w:val="20"/>
                <w:color w:val="auto"/>
              </w:rPr>
            </w:pPr>
            <w:r>
              <w:rPr>
                <w:rFonts w:ascii="Arial" w:cs="Arial" w:eastAsia="Arial" w:hAnsi="Arial"/>
                <w:sz w:val="18"/>
                <w:szCs w:val="18"/>
                <w:color w:val="auto"/>
              </w:rPr>
              <w:t>Hotel</w:t>
            </w:r>
          </w:p>
        </w:tc>
        <w:tc>
          <w:tcPr>
            <w:tcW w:w="18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249,784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136,080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100,101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485,965</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Retail</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196,311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57,348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130,127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383,786</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43"/>
        </w:trPr>
        <w:tc>
          <w:tcPr>
            <w:tcW w:w="3100" w:type="dxa"/>
            <w:vAlign w:val="bottom"/>
            <w:gridSpan w:val="2"/>
          </w:tcPr>
          <w:p>
            <w:pPr>
              <w:ind w:left="40"/>
              <w:spacing w:after="0"/>
              <w:rPr>
                <w:sz w:val="20"/>
                <w:szCs w:val="20"/>
                <w:color w:val="auto"/>
              </w:rPr>
            </w:pPr>
            <w:r>
              <w:rPr>
                <w:rFonts w:ascii="Arial" w:cs="Arial" w:eastAsia="Arial" w:hAnsi="Arial"/>
                <w:sz w:val="18"/>
                <w:szCs w:val="18"/>
                <w:color w:val="auto"/>
              </w:rPr>
              <w:t>Condominium</w:t>
            </w:r>
          </w:p>
        </w:tc>
        <w:tc>
          <w:tcPr>
            <w:tcW w:w="18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98,191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199,856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298,047</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Property Types</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257,150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9,483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266,633</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43"/>
        </w:trPr>
        <w:tc>
          <w:tcPr>
            <w:tcW w:w="3100" w:type="dxa"/>
            <w:vAlign w:val="bottom"/>
            <w:gridSpan w:val="2"/>
          </w:tcPr>
          <w:p>
            <w:pPr>
              <w:ind w:left="40"/>
              <w:spacing w:after="0"/>
              <w:rPr>
                <w:sz w:val="20"/>
                <w:szCs w:val="20"/>
                <w:color w:val="auto"/>
              </w:rPr>
            </w:pPr>
            <w:r>
              <w:rPr>
                <w:rFonts w:ascii="Arial" w:cs="Arial" w:eastAsia="Arial" w:hAnsi="Arial"/>
                <w:sz w:val="18"/>
                <w:szCs w:val="18"/>
                <w:color w:val="auto"/>
              </w:rPr>
              <w:t>Strategic Investments</w:t>
            </w:r>
          </w:p>
        </w:tc>
        <w:tc>
          <w:tcPr>
            <w:tcW w:w="18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122,551</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2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1,507,490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1,644,687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946,802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972,867</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5,194,397</w:t>
            </w: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0"/>
        </w:trPr>
        <w:tc>
          <w:tcPr>
            <w:tcW w:w="2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7"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29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Geographic Region</w:t>
            </w:r>
          </w:p>
        </w:tc>
        <w:tc>
          <w:tcPr>
            <w:tcW w:w="12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2"/>
          </w:tcPr>
          <w:p>
            <w:pPr>
              <w:ind w:left="80"/>
              <w:spacing w:after="0"/>
              <w:rPr>
                <w:sz w:val="20"/>
                <w:szCs w:val="20"/>
                <w:color w:val="auto"/>
              </w:rPr>
            </w:pPr>
            <w:r>
              <w:rPr>
                <w:rFonts w:ascii="Arial" w:cs="Arial" w:eastAsia="Arial" w:hAnsi="Arial"/>
                <w:sz w:val="14"/>
                <w:szCs w:val="14"/>
                <w:b w:val="1"/>
                <w:bCs w:val="1"/>
                <w:color w:val="auto"/>
              </w:rPr>
              <w:t>Real Estate</w:t>
            </w:r>
          </w:p>
        </w:tc>
        <w:tc>
          <w:tcPr>
            <w:tcW w:w="220" w:type="dxa"/>
            <w:vAlign w:val="bottom"/>
          </w:tcPr>
          <w:p>
            <w:pPr>
              <w:spacing w:after="0"/>
              <w:rPr>
                <w:sz w:val="14"/>
                <w:szCs w:val="14"/>
                <w:color w:val="auto"/>
              </w:rPr>
            </w:pPr>
          </w:p>
        </w:tc>
        <w:tc>
          <w:tcPr>
            <w:tcW w:w="1000" w:type="dxa"/>
            <w:vAlign w:val="bottom"/>
            <w:vMerge w:val="restart"/>
          </w:tcPr>
          <w:p>
            <w:pPr>
              <w:jc w:val="right"/>
              <w:ind w:right="231"/>
              <w:spacing w:after="0"/>
              <w:rPr>
                <w:sz w:val="20"/>
                <w:szCs w:val="20"/>
                <w:color w:val="auto"/>
              </w:rPr>
            </w:pPr>
            <w:r>
              <w:rPr>
                <w:rFonts w:ascii="Arial" w:cs="Arial" w:eastAsia="Arial" w:hAnsi="Arial"/>
                <w:sz w:val="14"/>
                <w:szCs w:val="14"/>
                <w:b w:val="1"/>
                <w:bCs w:val="1"/>
                <w:color w:val="auto"/>
                <w:w w:val="99"/>
              </w:rPr>
              <w:t>Net Lease</w:t>
            </w:r>
          </w:p>
        </w:tc>
        <w:tc>
          <w:tcPr>
            <w:tcW w:w="10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2"/>
          </w:tcPr>
          <w:p>
            <w:pPr>
              <w:ind w:left="100"/>
              <w:spacing w:after="0"/>
              <w:rPr>
                <w:sz w:val="20"/>
                <w:szCs w:val="20"/>
                <w:color w:val="auto"/>
              </w:rPr>
            </w:pPr>
            <w:r>
              <w:rPr>
                <w:rFonts w:ascii="Arial" w:cs="Arial" w:eastAsia="Arial" w:hAnsi="Arial"/>
                <w:sz w:val="14"/>
                <w:szCs w:val="14"/>
                <w:b w:val="1"/>
                <w:bCs w:val="1"/>
                <w:color w:val="auto"/>
              </w:rPr>
              <w:t>Operating</w:t>
            </w:r>
          </w:p>
        </w:tc>
        <w:tc>
          <w:tcPr>
            <w:tcW w:w="280" w:type="dxa"/>
            <w:vAlign w:val="bottom"/>
          </w:tcPr>
          <w:p>
            <w:pPr>
              <w:spacing w:after="0"/>
              <w:rPr>
                <w:sz w:val="14"/>
                <w:szCs w:val="14"/>
                <w:color w:val="auto"/>
              </w:rPr>
            </w:pPr>
          </w:p>
        </w:tc>
        <w:tc>
          <w:tcPr>
            <w:tcW w:w="940" w:type="dxa"/>
            <w:vAlign w:val="bottom"/>
            <w:vMerge w:val="restart"/>
          </w:tcPr>
          <w:p>
            <w:pPr>
              <w:jc w:val="right"/>
              <w:ind w:right="351"/>
              <w:spacing w:after="0"/>
              <w:rPr>
                <w:sz w:val="20"/>
                <w:szCs w:val="20"/>
                <w:color w:val="auto"/>
              </w:rPr>
            </w:pPr>
            <w:r>
              <w:rPr>
                <w:rFonts w:ascii="Arial" w:cs="Arial" w:eastAsia="Arial" w:hAnsi="Arial"/>
                <w:sz w:val="14"/>
                <w:szCs w:val="14"/>
                <w:b w:val="1"/>
                <w:bCs w:val="1"/>
                <w:color w:val="auto"/>
              </w:rPr>
              <w:t>Land</w:t>
            </w:r>
          </w:p>
        </w:tc>
        <w:tc>
          <w:tcPr>
            <w:tcW w:w="120" w:type="dxa"/>
            <w:vAlign w:val="bottom"/>
            <w:vMerge w:val="restart"/>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vMerge w:val="restart"/>
          </w:tcPr>
          <w:p>
            <w:pPr>
              <w:jc w:val="right"/>
              <w:ind w:right="351"/>
              <w:spacing w:after="0"/>
              <w:rPr>
                <w:sz w:val="20"/>
                <w:szCs w:val="20"/>
                <w:color w:val="auto"/>
              </w:rPr>
            </w:pPr>
            <w:r>
              <w:rPr>
                <w:rFonts w:ascii="Arial" w:cs="Arial" w:eastAsia="Arial" w:hAnsi="Arial"/>
                <w:sz w:val="14"/>
                <w:szCs w:val="14"/>
                <w:b w:val="1"/>
                <w:bCs w:val="1"/>
                <w:color w:val="auto"/>
              </w:rPr>
              <w:t>Total</w:t>
            </w:r>
          </w:p>
        </w:tc>
        <w:tc>
          <w:tcPr>
            <w:tcW w:w="120" w:type="dxa"/>
            <w:vAlign w:val="bottom"/>
            <w:vMerge w:val="restart"/>
          </w:tcPr>
          <w:p>
            <w:pPr>
              <w:spacing w:after="0"/>
              <w:rPr>
                <w:sz w:val="14"/>
                <w:szCs w:val="14"/>
                <w:color w:val="auto"/>
              </w:rPr>
            </w:pPr>
          </w:p>
        </w:tc>
        <w:tc>
          <w:tcPr>
            <w:tcW w:w="1260" w:type="dxa"/>
            <w:vAlign w:val="bottom"/>
          </w:tcPr>
          <w:p>
            <w:pPr>
              <w:jc w:val="right"/>
              <w:ind w:right="413"/>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92"/>
        </w:trPr>
        <w:tc>
          <w:tcPr>
            <w:tcW w:w="29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Finance</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Properties</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3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Northeast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579,866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374,478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153,636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193,475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1,301,455</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43"/>
        </w:trPr>
        <w:tc>
          <w:tcPr>
            <w:tcW w:w="3100" w:type="dxa"/>
            <w:vAlign w:val="bottom"/>
            <w:gridSpan w:val="2"/>
          </w:tcPr>
          <w:p>
            <w:pPr>
              <w:ind w:left="40"/>
              <w:spacing w:after="0"/>
              <w:rPr>
                <w:sz w:val="20"/>
                <w:szCs w:val="20"/>
                <w:color w:val="auto"/>
              </w:rPr>
            </w:pPr>
            <w:r>
              <w:rPr>
                <w:rFonts w:ascii="Arial" w:cs="Arial" w:eastAsia="Arial" w:hAnsi="Arial"/>
                <w:sz w:val="18"/>
                <w:szCs w:val="18"/>
                <w:color w:val="auto"/>
              </w:rPr>
              <w:t>West</w:t>
            </w:r>
          </w:p>
        </w:tc>
        <w:tc>
          <w:tcPr>
            <w:tcW w:w="18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140,704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411,995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181,721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351,672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1,086,092</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Southeast</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262,851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237,433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224,049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90,246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814,579</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43"/>
        </w:trPr>
        <w:tc>
          <w:tcPr>
            <w:tcW w:w="3100" w:type="dxa"/>
            <w:vAlign w:val="bottom"/>
            <w:gridSpan w:val="2"/>
          </w:tcPr>
          <w:p>
            <w:pPr>
              <w:ind w:left="40"/>
              <w:spacing w:after="0"/>
              <w:rPr>
                <w:sz w:val="20"/>
                <w:szCs w:val="20"/>
                <w:color w:val="auto"/>
              </w:rPr>
            </w:pPr>
            <w:r>
              <w:rPr>
                <w:rFonts w:ascii="Arial" w:cs="Arial" w:eastAsia="Arial" w:hAnsi="Arial"/>
                <w:sz w:val="18"/>
                <w:szCs w:val="18"/>
                <w:color w:val="auto"/>
              </w:rPr>
              <w:t>Mid-Atlantic</w:t>
            </w:r>
          </w:p>
        </w:tc>
        <w:tc>
          <w:tcPr>
            <w:tcW w:w="18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171,570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176,872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153,730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182,808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684,980</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Southwest</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119,305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219,593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180,863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127,212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646,973</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43"/>
        </w:trPr>
        <w:tc>
          <w:tcPr>
            <w:tcW w:w="3100" w:type="dxa"/>
            <w:vAlign w:val="bottom"/>
            <w:gridSpan w:val="2"/>
          </w:tcPr>
          <w:p>
            <w:pPr>
              <w:ind w:left="40"/>
              <w:spacing w:after="0"/>
              <w:rPr>
                <w:sz w:val="20"/>
                <w:szCs w:val="20"/>
                <w:color w:val="auto"/>
              </w:rPr>
            </w:pPr>
            <w:r>
              <w:rPr>
                <w:rFonts w:ascii="Arial" w:cs="Arial" w:eastAsia="Arial" w:hAnsi="Arial"/>
                <w:sz w:val="18"/>
                <w:szCs w:val="18"/>
                <w:color w:val="auto"/>
              </w:rPr>
              <w:t>Central</w:t>
            </w:r>
          </w:p>
        </w:tc>
        <w:tc>
          <w:tcPr>
            <w:tcW w:w="18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87,977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67,239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48,115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9,804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213,135</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Northwest</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24,167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80,858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4,688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17,650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127,363</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43"/>
        </w:trPr>
        <w:tc>
          <w:tcPr>
            <w:tcW w:w="3100" w:type="dxa"/>
            <w:vAlign w:val="bottom"/>
            <w:gridSpan w:val="2"/>
          </w:tcPr>
          <w:p>
            <w:pPr>
              <w:ind w:left="40"/>
              <w:spacing w:after="0"/>
              <w:rPr>
                <w:sz w:val="20"/>
                <w:szCs w:val="20"/>
                <w:color w:val="auto"/>
              </w:rPr>
            </w:pPr>
            <w:r>
              <w:rPr>
                <w:rFonts w:ascii="Arial" w:cs="Arial" w:eastAsia="Arial" w:hAnsi="Arial"/>
                <w:sz w:val="18"/>
                <w:szCs w:val="18"/>
                <w:color w:val="auto"/>
              </w:rPr>
              <w:t>International(2)</w:t>
            </w:r>
          </w:p>
        </w:tc>
        <w:tc>
          <w:tcPr>
            <w:tcW w:w="18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110,909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110,909</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Various</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10,141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76,219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86,360</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3"/>
        </w:trPr>
        <w:tc>
          <w:tcPr>
            <w:tcW w:w="3100" w:type="dxa"/>
            <w:vAlign w:val="bottom"/>
            <w:gridSpan w:val="2"/>
          </w:tcPr>
          <w:p>
            <w:pPr>
              <w:ind w:left="40"/>
              <w:spacing w:after="0"/>
              <w:rPr>
                <w:sz w:val="20"/>
                <w:szCs w:val="20"/>
                <w:color w:val="auto"/>
              </w:rPr>
            </w:pPr>
            <w:r>
              <w:rPr>
                <w:rFonts w:ascii="Arial" w:cs="Arial" w:eastAsia="Arial" w:hAnsi="Arial"/>
                <w:sz w:val="18"/>
                <w:szCs w:val="18"/>
                <w:color w:val="auto"/>
              </w:rPr>
              <w:t>Strategic Investments(2)</w:t>
            </w:r>
          </w:p>
        </w:tc>
        <w:tc>
          <w:tcPr>
            <w:tcW w:w="18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122,551</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2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1,507,490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1,644,687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946,802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972,867</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5,194,397</w:t>
            </w: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Notes:</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51" w:lineRule="exact"/>
        <w:rPr>
          <w:sz w:val="20"/>
          <w:szCs w:val="20"/>
          <w:color w:val="auto"/>
        </w:rPr>
      </w:pPr>
    </w:p>
    <w:p>
      <w:pPr>
        <w:ind w:left="660" w:hanging="652"/>
        <w:spacing w:after="0"/>
        <w:tabs>
          <w:tab w:leader="none" w:pos="660" w:val="left"/>
        </w:tabs>
        <w:numPr>
          <w:ilvl w:val="0"/>
          <w:numId w:val="23"/>
        </w:numPr>
        <w:rPr>
          <w:rFonts w:ascii="Arial" w:cs="Arial" w:eastAsia="Arial" w:hAnsi="Arial"/>
          <w:sz w:val="14"/>
          <w:szCs w:val="14"/>
          <w:color w:val="auto"/>
        </w:rPr>
      </w:pPr>
      <w:r>
        <w:rPr>
          <w:rFonts w:ascii="Arial" w:cs="Arial" w:eastAsia="Arial" w:hAnsi="Arial"/>
          <w:sz w:val="14"/>
          <w:szCs w:val="14"/>
          <w:color w:val="auto"/>
        </w:rPr>
        <w:t>Based on the carrying value of our total investment portfolio gross of accumulated depreciation and general loan loss reserves.</w:t>
      </w:r>
    </w:p>
    <w:p>
      <w:pPr>
        <w:spacing w:after="0" w:line="13" w:lineRule="exact"/>
        <w:rPr>
          <w:rFonts w:ascii="Arial" w:cs="Arial" w:eastAsia="Arial" w:hAnsi="Arial"/>
          <w:sz w:val="14"/>
          <w:szCs w:val="14"/>
          <w:color w:val="auto"/>
        </w:rPr>
      </w:pPr>
    </w:p>
    <w:p>
      <w:pPr>
        <w:ind w:left="660" w:hanging="652"/>
        <w:spacing w:after="0" w:line="255" w:lineRule="auto"/>
        <w:tabs>
          <w:tab w:leader="none" w:pos="660" w:val="left"/>
        </w:tabs>
        <w:numPr>
          <w:ilvl w:val="0"/>
          <w:numId w:val="23"/>
        </w:numPr>
        <w:rPr>
          <w:rFonts w:ascii="Arial" w:cs="Arial" w:eastAsia="Arial" w:hAnsi="Arial"/>
          <w:sz w:val="14"/>
          <w:szCs w:val="14"/>
          <w:color w:val="auto"/>
        </w:rPr>
      </w:pPr>
      <w:r>
        <w:rPr>
          <w:rFonts w:ascii="Arial" w:cs="Arial" w:eastAsia="Arial" w:hAnsi="Arial"/>
          <w:sz w:val="14"/>
          <w:szCs w:val="14"/>
          <w:color w:val="auto"/>
        </w:rPr>
        <w:t>Strategic investments include $30.9 million of international assets. Additionally, international and strategic investments include $93.8 million of European assets, including $70.3 million in Germany and $23.5 million in the United Kingdom.</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During the three months ended March 31, 2014, we funded investments totaling $229.5 million. Also during the three months ended March 31, 2014, we received $267.7 million of proceeds from our portfolios, comprised of $102.9 million from repayments and sales of loans, $47.7 million from sales of operating properties and $41.1 million of proceeds across other segments. We also sold a net lease asset to a newly formed unconsolidated venture and received $76.0 million in net proceeds. As of March 31, 2014, we had unrestricted cash of $409.6 million, which will be used primarily to fund future investment activity.</w:t>
      </w:r>
    </w:p>
    <w:p>
      <w:pPr>
        <w:spacing w:after="0" w:line="148"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As of March 31, 2014, we had $23.6 million of debt maturities due before December 31, 2014. Over the next 12 months, we currently expect to fund in the range of $200 million to $275 million of capital expenditures within our portfolio. The majority of these amounts relate to land, multifamily and residential development and the amount spent will depend on the pace of our development activities as well as the extent to which we strategically partner with others to complete these projects. Our capital sources to meet expected cash uses through the next 12 months will primarily include cash on hand, loan repayments from borrowers, proceeds from asset sales and raising capital through debt refinancings or equity capital transactions. As of March 31, 2014, we had unencumbered assets with a carrying value of approximately $2.9 billion.</w:t>
      </w:r>
    </w:p>
    <w:p>
      <w:pPr>
        <w:spacing w:after="0" w:line="13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cannot predict with certainty the specific transactions we will undertake to generate sufficient liquidity to meet our obligations as they come due. We will adjust our plans as appropriate in response to changes in our expectations and changes in market conditions. While economic trends have been improving, it is not possible for us to predict whether the improving trends will continue or to quantify the impact of these or other trends on our financial results.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b w:val="1"/>
          <w:bCs w:val="1"/>
          <w:i w:val="1"/>
          <w:iCs w:val="1"/>
          <w:color w:val="auto"/>
        </w:rPr>
        <w:t>Contractual Obligations</w:t>
      </w:r>
      <w:r>
        <w:rPr>
          <w:rFonts w:ascii="Arial" w:cs="Arial" w:eastAsia="Arial" w:hAnsi="Arial"/>
          <w:sz w:val="18"/>
          <w:szCs w:val="18"/>
          <w:color w:val="auto"/>
        </w:rPr>
        <w:t>—The following table outlines the contractual obligations related to our long-term debt agreements and operating lease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obligations as of March 31, 2014 (see Note 8 of the Notes to the Consolidated Financial Statements).</w:t>
      </w:r>
    </w:p>
    <w:p>
      <w:pPr>
        <w:spacing w:after="0" w:line="176" w:lineRule="exact"/>
        <w:rPr>
          <w:sz w:val="20"/>
          <w:szCs w:val="20"/>
          <w:color w:val="auto"/>
        </w:rPr>
      </w:pPr>
    </w:p>
    <w:tbl>
      <w:tblPr>
        <w:tblLayout w:type="fixed"/>
        <w:tblInd w:w="300" w:type="dxa"/>
        <w:tblCellMar>
          <w:top w:w="0" w:type="dxa"/>
          <w:left w:w="0" w:type="dxa"/>
          <w:bottom w:w="0" w:type="dxa"/>
          <w:right w:w="0" w:type="dxa"/>
        </w:tblCellMar>
      </w:tblPr>
      <w:tr>
        <w:trPr>
          <w:trHeight w:val="192"/>
        </w:trPr>
        <w:tc>
          <w:tcPr>
            <w:tcW w:w="28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5"/>
          </w:tcPr>
          <w:p>
            <w:pPr>
              <w:ind w:left="280"/>
              <w:spacing w:after="0"/>
              <w:rPr>
                <w:sz w:val="20"/>
                <w:szCs w:val="20"/>
                <w:color w:val="auto"/>
              </w:rPr>
            </w:pPr>
            <w:r>
              <w:rPr>
                <w:rFonts w:ascii="Arial" w:cs="Arial" w:eastAsia="Arial" w:hAnsi="Arial"/>
                <w:sz w:val="14"/>
                <w:szCs w:val="14"/>
                <w:b w:val="1"/>
                <w:bCs w:val="1"/>
                <w:color w:val="auto"/>
              </w:rPr>
              <w:t>Amounts Due By Period</w:t>
            </w: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3"/>
                <w:szCs w:val="13"/>
                <w:color w:val="auto"/>
              </w:rPr>
            </w:pPr>
          </w:p>
        </w:tc>
        <w:tc>
          <w:tcPr>
            <w:tcW w:w="114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1"/>
              </w:rPr>
              <w:t>Less Than 1</w:t>
            </w:r>
          </w:p>
        </w:tc>
        <w:tc>
          <w:tcPr>
            <w:tcW w:w="240" w:type="dxa"/>
            <w:vAlign w:val="bottom"/>
          </w:tcPr>
          <w:p>
            <w:pPr>
              <w:spacing w:after="0"/>
              <w:rPr>
                <w:sz w:val="13"/>
                <w:szCs w:val="13"/>
                <w:color w:val="auto"/>
              </w:rPr>
            </w:pPr>
          </w:p>
        </w:tc>
        <w:tc>
          <w:tcPr>
            <w:tcW w:w="960" w:type="dxa"/>
            <w:vAlign w:val="bottom"/>
          </w:tcPr>
          <w:p>
            <w:pPr>
              <w:jc w:val="right"/>
              <w:ind w:right="396"/>
              <w:spacing w:after="0" w:line="153" w:lineRule="exact"/>
              <w:rPr>
                <w:sz w:val="20"/>
                <w:szCs w:val="20"/>
                <w:color w:val="auto"/>
              </w:rPr>
            </w:pPr>
            <w:r>
              <w:rPr>
                <w:rFonts w:ascii="Arial" w:cs="Arial" w:eastAsia="Arial" w:hAnsi="Arial"/>
                <w:sz w:val="14"/>
                <w:szCs w:val="14"/>
                <w:b w:val="1"/>
                <w:bCs w:val="1"/>
                <w:color w:val="auto"/>
              </w:rPr>
              <w:t>1 - 3</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80" w:type="dxa"/>
            <w:vAlign w:val="bottom"/>
          </w:tcPr>
          <w:p>
            <w:pPr>
              <w:jc w:val="right"/>
              <w:ind w:right="434"/>
              <w:spacing w:after="0" w:line="153" w:lineRule="exact"/>
              <w:rPr>
                <w:sz w:val="20"/>
                <w:szCs w:val="20"/>
                <w:color w:val="auto"/>
              </w:rPr>
            </w:pPr>
            <w:r>
              <w:rPr>
                <w:rFonts w:ascii="Arial" w:cs="Arial" w:eastAsia="Arial" w:hAnsi="Arial"/>
                <w:sz w:val="14"/>
                <w:szCs w:val="14"/>
                <w:b w:val="1"/>
                <w:bCs w:val="1"/>
                <w:color w:val="auto"/>
              </w:rPr>
              <w:t>3 - 5</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ind w:left="160"/>
              <w:spacing w:after="0" w:line="153" w:lineRule="exact"/>
              <w:rPr>
                <w:sz w:val="20"/>
                <w:szCs w:val="20"/>
                <w:color w:val="auto"/>
              </w:rPr>
            </w:pPr>
            <w:r>
              <w:rPr>
                <w:rFonts w:ascii="Arial" w:cs="Arial" w:eastAsia="Arial" w:hAnsi="Arial"/>
                <w:sz w:val="14"/>
                <w:szCs w:val="14"/>
                <w:b w:val="1"/>
                <w:bCs w:val="1"/>
                <w:color w:val="auto"/>
              </w:rPr>
              <w:t>5 - 10</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jc w:val="right"/>
              <w:ind w:right="274"/>
              <w:spacing w:after="0" w:line="153" w:lineRule="exact"/>
              <w:rPr>
                <w:sz w:val="20"/>
                <w:szCs w:val="20"/>
                <w:color w:val="auto"/>
              </w:rPr>
            </w:pPr>
            <w:r>
              <w:rPr>
                <w:rFonts w:ascii="Arial" w:cs="Arial" w:eastAsia="Arial" w:hAnsi="Arial"/>
                <w:sz w:val="14"/>
                <w:szCs w:val="14"/>
                <w:b w:val="1"/>
                <w:bCs w:val="1"/>
                <w:color w:val="auto"/>
              </w:rPr>
              <w:t>After 10</w:t>
            </w:r>
          </w:p>
        </w:tc>
        <w:tc>
          <w:tcPr>
            <w:tcW w:w="0" w:type="dxa"/>
            <w:vAlign w:val="bottom"/>
          </w:tcPr>
          <w:p>
            <w:pPr>
              <w:spacing w:after="0"/>
              <w:rPr>
                <w:sz w:val="1"/>
                <w:szCs w:val="1"/>
                <w:color w:val="auto"/>
              </w:rPr>
            </w:pPr>
          </w:p>
        </w:tc>
      </w:tr>
      <w:tr>
        <w:trPr>
          <w:trHeight w:val="192"/>
        </w:trPr>
        <w:tc>
          <w:tcPr>
            <w:tcW w:w="28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8"/>
              </w:rPr>
              <w:t>Year</w:t>
            </w: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Years</w:t>
            </w:r>
          </w:p>
        </w:tc>
        <w:tc>
          <w:tcPr>
            <w:tcW w:w="4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Years</w:t>
            </w: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Years</w:t>
            </w: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Years</w:t>
            </w:r>
          </w:p>
        </w:tc>
        <w:tc>
          <w:tcPr>
            <w:tcW w:w="0" w:type="dxa"/>
            <w:vAlign w:val="bottom"/>
          </w:tcPr>
          <w:p>
            <w:pPr>
              <w:spacing w:after="0"/>
              <w:rPr>
                <w:sz w:val="1"/>
                <w:szCs w:val="1"/>
                <w:color w:val="auto"/>
              </w:rPr>
            </w:pPr>
          </w:p>
        </w:tc>
      </w:tr>
      <w:tr>
        <w:trPr>
          <w:trHeight w:val="196"/>
        </w:trPr>
        <w:tc>
          <w:tcPr>
            <w:tcW w:w="2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Long-Term Debt Obligations</w:t>
            </w: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860" w:type="dxa"/>
            <w:vAlign w:val="bottom"/>
          </w:tcPr>
          <w:p>
            <w:pPr>
              <w:ind w:left="20"/>
              <w:spacing w:after="0"/>
              <w:rPr>
                <w:sz w:val="20"/>
                <w:szCs w:val="20"/>
                <w:color w:val="auto"/>
              </w:rPr>
            </w:pPr>
            <w:r>
              <w:rPr>
                <w:rFonts w:ascii="Arial" w:cs="Arial" w:eastAsia="Arial" w:hAnsi="Arial"/>
                <w:sz w:val="18"/>
                <w:szCs w:val="18"/>
                <w:color w:val="auto"/>
              </w:rPr>
              <w:t>Secured credit facilities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1,751,517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6"/>
              <w:spacing w:after="0"/>
              <w:rPr>
                <w:sz w:val="20"/>
                <w:szCs w:val="20"/>
                <w:color w:val="auto"/>
              </w:rPr>
            </w:pPr>
            <w:r>
              <w:rPr>
                <w:rFonts w:ascii="Arial" w:cs="Arial" w:eastAsia="Arial" w:hAnsi="Arial"/>
                <w:sz w:val="18"/>
                <w:szCs w:val="18"/>
                <w:color w:val="auto"/>
              </w:rPr>
              <w:t>418,145</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4"/>
              <w:spacing w:after="0"/>
              <w:rPr>
                <w:sz w:val="20"/>
                <w:szCs w:val="20"/>
                <w:color w:val="auto"/>
              </w:rPr>
            </w:pPr>
            <w:r>
              <w:rPr>
                <w:rFonts w:ascii="Arial" w:cs="Arial" w:eastAsia="Arial" w:hAnsi="Arial"/>
                <w:sz w:val="18"/>
                <w:szCs w:val="18"/>
                <w:color w:val="auto"/>
                <w:w w:val="92"/>
              </w:rPr>
              <w:t>1,333,372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Unsecured notes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2,006,890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1,131,890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875,000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860" w:type="dxa"/>
            <w:vAlign w:val="bottom"/>
          </w:tcPr>
          <w:p>
            <w:pPr>
              <w:ind w:left="20"/>
              <w:spacing w:after="0"/>
              <w:rPr>
                <w:sz w:val="20"/>
                <w:szCs w:val="20"/>
                <w:color w:val="auto"/>
              </w:rPr>
            </w:pPr>
            <w:r>
              <w:rPr>
                <w:rFonts w:ascii="Arial" w:cs="Arial" w:eastAsia="Arial" w:hAnsi="Arial"/>
                <w:sz w:val="18"/>
                <w:szCs w:val="18"/>
                <w:color w:val="auto"/>
              </w:rPr>
              <w:t>Secured term loans</w:t>
            </w:r>
          </w:p>
        </w:tc>
        <w:tc>
          <w:tcPr>
            <w:tcW w:w="30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278,726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31,929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ind w:right="16"/>
              <w:spacing w:after="0"/>
              <w:rPr>
                <w:sz w:val="20"/>
                <w:szCs w:val="20"/>
                <w:color w:val="auto"/>
              </w:rPr>
            </w:pPr>
            <w:r>
              <w:rPr>
                <w:rFonts w:ascii="Arial" w:cs="Arial" w:eastAsia="Arial" w:hAnsi="Arial"/>
                <w:sz w:val="18"/>
                <w:szCs w:val="18"/>
                <w:color w:val="auto"/>
              </w:rPr>
              <w:t>18,258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26,603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198,656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3,280</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debt obligations</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100,000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37"/>
        </w:trPr>
        <w:tc>
          <w:tcPr>
            <w:tcW w:w="2860" w:type="dxa"/>
            <w:vAlign w:val="bottom"/>
          </w:tcPr>
          <w:p>
            <w:pPr>
              <w:ind w:left="160"/>
              <w:spacing w:after="0"/>
              <w:rPr>
                <w:sz w:val="20"/>
                <w:szCs w:val="20"/>
                <w:color w:val="auto"/>
              </w:rPr>
            </w:pPr>
            <w:r>
              <w:rPr>
                <w:rFonts w:ascii="Arial" w:cs="Arial" w:eastAsia="Arial" w:hAnsi="Arial"/>
                <w:sz w:val="18"/>
                <w:szCs w:val="18"/>
                <w:color w:val="auto"/>
              </w:rPr>
              <w:t>Total principal maturities</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4,137,133</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31,929</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1,568,293</w:t>
            </w: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w w:val="92"/>
              </w:rPr>
              <w:t>2,234,975</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198,656</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103,280</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Interest Payable(1)</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777,115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213,811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394,228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114,417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33,615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21,044</w:t>
            </w:r>
          </w:p>
        </w:tc>
        <w:tc>
          <w:tcPr>
            <w:tcW w:w="0" w:type="dxa"/>
            <w:vAlign w:val="bottom"/>
          </w:tcPr>
          <w:p>
            <w:pPr>
              <w:spacing w:after="0"/>
              <w:rPr>
                <w:sz w:val="1"/>
                <w:szCs w:val="1"/>
                <w:color w:val="auto"/>
              </w:rPr>
            </w:pPr>
          </w:p>
        </w:tc>
      </w:tr>
      <w:tr>
        <w:trPr>
          <w:trHeight w:val="243"/>
        </w:trPr>
        <w:tc>
          <w:tcPr>
            <w:tcW w:w="2860" w:type="dxa"/>
            <w:vAlign w:val="bottom"/>
          </w:tcPr>
          <w:p>
            <w:pPr>
              <w:ind w:left="20"/>
              <w:spacing w:after="0"/>
              <w:rPr>
                <w:sz w:val="20"/>
                <w:szCs w:val="20"/>
                <w:color w:val="auto"/>
              </w:rPr>
            </w:pPr>
            <w:r>
              <w:rPr>
                <w:rFonts w:ascii="Arial" w:cs="Arial" w:eastAsia="Arial" w:hAnsi="Arial"/>
                <w:sz w:val="18"/>
                <w:szCs w:val="18"/>
                <w:b w:val="1"/>
                <w:bCs w:val="1"/>
                <w:color w:val="auto"/>
              </w:rPr>
              <w:t>Operating Lease Obligations</w:t>
            </w:r>
          </w:p>
        </w:tc>
        <w:tc>
          <w:tcPr>
            <w:tcW w:w="30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36,067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5,671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ind w:right="16"/>
              <w:spacing w:after="0"/>
              <w:rPr>
                <w:sz w:val="20"/>
                <w:szCs w:val="20"/>
                <w:color w:val="auto"/>
              </w:rPr>
            </w:pPr>
            <w:r>
              <w:rPr>
                <w:rFonts w:ascii="Arial" w:cs="Arial" w:eastAsia="Arial" w:hAnsi="Arial"/>
                <w:sz w:val="18"/>
                <w:szCs w:val="18"/>
                <w:color w:val="auto"/>
              </w:rPr>
              <w:t>10,682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10,719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6,809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2,186</w:t>
            </w:r>
          </w:p>
        </w:tc>
        <w:tc>
          <w:tcPr>
            <w:tcW w:w="0" w:type="dxa"/>
            <w:vAlign w:val="bottom"/>
          </w:tcPr>
          <w:p>
            <w:pPr>
              <w:spacing w:after="0"/>
              <w:rPr>
                <w:sz w:val="1"/>
                <w:szCs w:val="1"/>
                <w:color w:val="auto"/>
              </w:rPr>
            </w:pPr>
          </w:p>
        </w:tc>
      </w:tr>
      <w:tr>
        <w:trPr>
          <w:trHeight w:val="27"/>
        </w:trPr>
        <w:tc>
          <w:tcPr>
            <w:tcW w:w="28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8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Total(2)</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4,950,315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251,411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1,973,203</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w w:val="92"/>
              </w:rPr>
              <w:t>2,360,111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239,080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126,510</w:t>
            </w: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Notes:</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51" w:lineRule="exact"/>
        <w:rPr>
          <w:sz w:val="20"/>
          <w:szCs w:val="20"/>
          <w:color w:val="auto"/>
        </w:rPr>
      </w:pPr>
    </w:p>
    <w:p>
      <w:pPr>
        <w:ind w:left="660" w:hanging="652"/>
        <w:spacing w:after="0"/>
        <w:tabs>
          <w:tab w:leader="none" w:pos="6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All variable-rate debt assumes a 3-month LIBOR rate of 0.24% and 1-month LIBOR rate of 0.15%.</w:t>
      </w:r>
    </w:p>
    <w:p>
      <w:pPr>
        <w:spacing w:after="0" w:line="13" w:lineRule="exact"/>
        <w:rPr>
          <w:rFonts w:ascii="Arial" w:cs="Arial" w:eastAsia="Arial" w:hAnsi="Arial"/>
          <w:sz w:val="14"/>
          <w:szCs w:val="14"/>
          <w:color w:val="auto"/>
        </w:rPr>
      </w:pPr>
    </w:p>
    <w:p>
      <w:pPr>
        <w:ind w:left="660" w:hanging="652"/>
        <w:spacing w:after="0" w:line="255" w:lineRule="auto"/>
        <w:tabs>
          <w:tab w:leader="none" w:pos="6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We also have issued letters of credit totaling $3.7 million in connection with our investments. See Unfunded Commitments below, for a discussion of certain unfunded commitments related to our lending and net lease businesses.</w:t>
      </w:r>
    </w:p>
    <w:p>
      <w:pPr>
        <w:spacing w:after="0" w:line="132" w:lineRule="exact"/>
        <w:rPr>
          <w:sz w:val="20"/>
          <w:szCs w:val="20"/>
          <w:color w:val="auto"/>
        </w:rPr>
      </w:pPr>
    </w:p>
    <w:p>
      <w:pPr>
        <w:jc w:val="both"/>
        <w:ind w:firstLine="405"/>
        <w:spacing w:after="0" w:line="258" w:lineRule="auto"/>
        <w:rPr>
          <w:sz w:val="20"/>
          <w:szCs w:val="20"/>
          <w:color w:val="auto"/>
        </w:rPr>
      </w:pPr>
      <w:r>
        <w:rPr>
          <w:rFonts w:ascii="Arial" w:cs="Arial" w:eastAsia="Arial" w:hAnsi="Arial"/>
          <w:sz w:val="18"/>
          <w:szCs w:val="18"/>
          <w:b w:val="1"/>
          <w:bCs w:val="1"/>
          <w:color w:val="auto"/>
        </w:rPr>
        <w:t>February 2013 Secured Credit Facility</w:t>
      </w:r>
      <w:r>
        <w:rPr>
          <w:rFonts w:ascii="Arial" w:cs="Arial" w:eastAsia="Arial" w:hAnsi="Arial"/>
          <w:sz w:val="18"/>
          <w:szCs w:val="18"/>
          <w:color w:val="auto"/>
        </w:rPr>
        <w:t>—On February 11, 2013, we entered into a $1.71 billion senior secured credit facility due October 15, 2017</w:t>
      </w:r>
      <w:r>
        <w:rPr>
          <w:rFonts w:ascii="Arial" w:cs="Arial" w:eastAsia="Arial" w:hAnsi="Arial"/>
          <w:sz w:val="18"/>
          <w:szCs w:val="18"/>
          <w:b w:val="1"/>
          <w:bCs w:val="1"/>
          <w:color w:val="auto"/>
        </w:rPr>
        <w:t xml:space="preserve"> </w:t>
      </w:r>
      <w:r>
        <w:rPr>
          <w:rFonts w:ascii="Arial" w:cs="Arial" w:eastAsia="Arial" w:hAnsi="Arial"/>
          <w:sz w:val="18"/>
          <w:szCs w:val="18"/>
          <w:color w:val="auto"/>
        </w:rPr>
        <w:t>(the “February 2013 Secured Credit Facility”) that amended and restated our $1.82 billion senior secured credit facility, dated October 15, 2012 (the “October 2012 Secured Credit Facility”). The February 2013 Credit Facility amended the October 2012 Secured Credit Facility by: (i) reducing the interest rate from LIBOR plus 4.50%, with a 1.25% LIBOR floor, to LIBOR plus 3.50%, with a 1.00% LIBOR floor; and (ii) extending the call protection period for the lenders from October 15, 2013 to December 31, 2013.</w:t>
      </w:r>
    </w:p>
    <w:p>
      <w:pPr>
        <w:spacing w:after="0" w:line="147"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Borrowings under the February 2013 Secured Credit Facility are collateralized by a first lien on a fixed pool of assets, with required minimum collateral coverage of not less than 125% of outstanding borrowings. If collateral coverage is less than 137.5% of outstanding borrowings, 100% of the proceeds from principal repayments and sales of collateral will be applied to repay outstanding borrowings under the February 2013 Secured Credit Facility. For so long as collateral coverage is between 137.5% and 150% of outstanding borrowings, 50% of proceeds from principal repayments and sales of collateral will be applied to repay outstanding borrowings under the February 2013 Secured Credit Facility and for so long as collateral coverage is greater than 150% of outstanding borrowings, we may retain all proceeds from principal repayments and sales of collateral. We retain proceeds from interest, rent, lease payments and fee income in all cases. At March 31, 2014, our collateral coverage on the February 2013 Secured Credit Facility exceeded 137.5%.</w:t>
      </w:r>
    </w:p>
    <w:p>
      <w:pPr>
        <w:spacing w:after="0" w:line="127"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In connection with the February 2013 Secured Credit Facility transaction, we incurred $17.1 million of lender fees, of which $14.4 million was capitalized in "Debt Obligations, net" on our Consolidated Balance Sheets and $2.7 million was recorded as a loss in "Gain (loss) on early extinguishment of debt, net" on our Consolidated Statements of Operations as it related to the lenders who did not participate in the new facility. We also incurred $3.8 million in third party fees, of which $3.6 million was recognized in “Other expense” on our Consolidated Statements of Operations, as it related primarily to those lenders from the original facility that modified their debt under the new facility, and $0.2 million was recorded in “Deferred expenses and other assets, net” on our Consolidated Balance Sheets, as it related to the new lenders.</w:t>
      </w:r>
    </w:p>
    <w:p>
      <w:pPr>
        <w:spacing w:after="0" w:line="153"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Through March 31, 2014, we have made cumulative amortization repayments of $373.6 million on the February 2013 Secured Credit Facility bringing the outstanding balance to $1.33 billion. Repayments of the February 2013 Secured Credit Facility prior to the scheduled maturity date have resulted in losses on early extinguishment of debt of $0.9 million for the three months ended March 31, 2014 related to the accelerated amortization of discounts and unamortized deferred financing fees on the portion of the facility that was repaid. The remaining $25.6 million of unamortized fees and discounts from the October 2012 Secured Credit Facility outstanding at the time of refinancing will continue to be amortized into interest expense over the remaining term of the February 2013 Secured Credit Facility.</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both"/>
        <w:ind w:firstLine="432"/>
        <w:spacing w:after="0" w:line="292" w:lineRule="auto"/>
        <w:rPr>
          <w:sz w:val="20"/>
          <w:szCs w:val="20"/>
          <w:color w:val="auto"/>
        </w:rPr>
      </w:pPr>
      <w:r>
        <w:rPr>
          <w:rFonts w:ascii="Arial" w:cs="Arial" w:eastAsia="Arial" w:hAnsi="Arial"/>
          <w:sz w:val="16"/>
          <w:szCs w:val="16"/>
          <w:b w:val="1"/>
          <w:bCs w:val="1"/>
          <w:color w:val="auto"/>
        </w:rPr>
        <w:t>March 2012 Secured Credit Facilities</w:t>
      </w:r>
      <w:r>
        <w:rPr>
          <w:rFonts w:ascii="Arial" w:cs="Arial" w:eastAsia="Arial" w:hAnsi="Arial"/>
          <w:sz w:val="16"/>
          <w:szCs w:val="16"/>
          <w:color w:val="auto"/>
        </w:rPr>
        <w:t>—In March 2012, we entered into an $880.0 million senior secured credit agreement providing for two tranches</w:t>
      </w:r>
      <w:r>
        <w:rPr>
          <w:rFonts w:ascii="Arial" w:cs="Arial" w:eastAsia="Arial" w:hAnsi="Arial"/>
          <w:sz w:val="16"/>
          <w:szCs w:val="16"/>
          <w:b w:val="1"/>
          <w:bCs w:val="1"/>
          <w:color w:val="auto"/>
        </w:rPr>
        <w:t xml:space="preserve"> </w:t>
      </w:r>
      <w:r>
        <w:rPr>
          <w:rFonts w:ascii="Arial" w:cs="Arial" w:eastAsia="Arial" w:hAnsi="Arial"/>
          <w:sz w:val="16"/>
          <w:szCs w:val="16"/>
          <w:color w:val="auto"/>
        </w:rPr>
        <w:t>of term loans: a $410.0 million 2012 A-1 tranche due March 2016, which bears interest at a rate of LIBOR + 4.00% (the "2012 Tranche A-1 Facility"), and a $470.0 million 2012 A-2 tranche due March 2017, which bears interest at a rate of LIBOR + 5.75% (the "2012 Tranche A-2 Facility," together the "March 2012 Secured Credit Facilities"). The 2012 A-1 and A-2 tranches were issued at 98.0% of par and 98.5% of par, respectively, and both tranches include a LIBOR floor of 1.25%. Proceeds from the March 2012 Secured Credit Facilities, together with cash on hand, were used to repurchase and repay at maturity $606.7 million aggregate principal amount of our convertible notes due October 2012, to fully repay the $244.0 million balance on our unsecured credit facility due June 2012, and to repay, upon maturity, $90.3 million outstanding principal balance of our 5.50% senior unsecured notes.</w:t>
      </w:r>
    </w:p>
    <w:p>
      <w:pPr>
        <w:spacing w:after="0" w:line="166"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The March 2012 Secured Credit Facilities are collateralized by a first lien on a fixed pool of assets. Proceeds from principal repayments and sales of collateral are applied to amortize the March 2012 Secured Credit Facilities. Proceeds received for interest, rent, lease payments and fee income are retained by us. The 2012 Tranche A-1 Facility required amortization payments of $41.0 million to be made every six months beginning December 31, 2012. The 2012 Tranche A-1 Facility was fully repaid in August 2013. Proceeds from principal repayments and sales of collateral will be used to amortize the 2012 Tranche A-2 Facility. We may make optional prepayments on each tranche of term loans, subject to prepayment fees. Repayments of the 2012 Tranche A-1 Facility prior to scheduled amortization dates resulted in losses on early extinguishment of debt of $3.0 million during the three months ended March 31, 2013 related to the accelerated amortization of discounts and unamortized deferred financing fees on the portion of the facility that was repaid.</w:t>
      </w:r>
    </w:p>
    <w:p>
      <w:pPr>
        <w:spacing w:after="0" w:line="16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Additionally, through March 31, 2014, we made cumulative amortization repayments of $51.9 million on the 2012 Tranche A-2 Facility. Repayments of the 2012 Tranche A-2 Facility prior to maturity resulted in losses on early extinguishment of debt of $0.3 million related to the accelerated amortization of discounts and unamortized deferred financing fees on the portion of the facility that was repaid.</w:t>
      </w:r>
    </w:p>
    <w:p>
      <w:pPr>
        <w:spacing w:after="0" w:line="177" w:lineRule="exact"/>
        <w:rPr>
          <w:sz w:val="20"/>
          <w:szCs w:val="20"/>
          <w:color w:val="auto"/>
        </w:rPr>
      </w:pPr>
    </w:p>
    <w:p>
      <w:pPr>
        <w:jc w:val="both"/>
        <w:ind w:firstLine="432"/>
        <w:spacing w:after="0" w:line="282" w:lineRule="auto"/>
        <w:rPr>
          <w:sz w:val="20"/>
          <w:szCs w:val="20"/>
          <w:color w:val="auto"/>
        </w:rPr>
      </w:pPr>
      <w:r>
        <w:rPr>
          <w:rFonts w:ascii="Arial" w:cs="Arial" w:eastAsia="Arial" w:hAnsi="Arial"/>
          <w:sz w:val="18"/>
          <w:szCs w:val="18"/>
          <w:b w:val="1"/>
          <w:bCs w:val="1"/>
          <w:color w:val="auto"/>
        </w:rPr>
        <w:t>Encumbered/Unencumbered Assets</w:t>
      </w:r>
      <w:r>
        <w:rPr>
          <w:rFonts w:ascii="Arial" w:cs="Arial" w:eastAsia="Arial" w:hAnsi="Arial"/>
          <w:sz w:val="18"/>
          <w:szCs w:val="18"/>
          <w:color w:val="auto"/>
        </w:rPr>
        <w:t>—As of March 31, 2014 and December 31, 2013, the carrying value of our encumbered and unencumbered assets</w:t>
      </w:r>
      <w:r>
        <w:rPr>
          <w:rFonts w:ascii="Arial" w:cs="Arial" w:eastAsia="Arial" w:hAnsi="Arial"/>
          <w:sz w:val="18"/>
          <w:szCs w:val="18"/>
          <w:b w:val="1"/>
          <w:bCs w:val="1"/>
          <w:color w:val="auto"/>
        </w:rPr>
        <w:t xml:space="preserve"> </w:t>
      </w:r>
      <w:r>
        <w:rPr>
          <w:rFonts w:ascii="Arial" w:cs="Arial" w:eastAsia="Arial" w:hAnsi="Arial"/>
          <w:sz w:val="18"/>
          <w:szCs w:val="18"/>
          <w:color w:val="auto"/>
        </w:rPr>
        <w:t>by asset type are as follows ($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gridSpan w:val="3"/>
          </w:tcPr>
          <w:p>
            <w:pPr>
              <w:jc w:val="right"/>
              <w:ind w:right="159"/>
              <w:spacing w:after="0"/>
              <w:rPr>
                <w:sz w:val="20"/>
                <w:szCs w:val="20"/>
                <w:color w:val="auto"/>
              </w:rPr>
            </w:pPr>
            <w:r>
              <w:rPr>
                <w:rFonts w:ascii="Arial" w:cs="Arial" w:eastAsia="Arial" w:hAnsi="Arial"/>
                <w:sz w:val="14"/>
                <w:szCs w:val="14"/>
                <w:b w:val="1"/>
                <w:bCs w:val="1"/>
                <w:color w:val="auto"/>
                <w:w w:val="85"/>
              </w:rPr>
              <w:t>As of</w:t>
            </w: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6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2400" w:type="dxa"/>
            <w:vAlign w:val="bottom"/>
            <w:tcBorders>
              <w:bottom w:val="single" w:sz="8" w:color="auto"/>
            </w:tcBorders>
            <w:gridSpan w:val="4"/>
          </w:tcPr>
          <w:p>
            <w:pPr>
              <w:jc w:val="right"/>
              <w:ind w:right="734"/>
              <w:spacing w:after="0"/>
              <w:rPr>
                <w:sz w:val="20"/>
                <w:szCs w:val="20"/>
                <w:color w:val="auto"/>
              </w:rPr>
            </w:pPr>
            <w:r>
              <w:rPr>
                <w:rFonts w:ascii="Arial" w:cs="Arial" w:eastAsia="Arial" w:hAnsi="Arial"/>
                <w:sz w:val="14"/>
                <w:szCs w:val="14"/>
                <w:b w:val="1"/>
                <w:bCs w:val="1"/>
                <w:color w:val="auto"/>
              </w:rPr>
              <w:t>March 31, 2014</w:t>
            </w:r>
          </w:p>
        </w:tc>
        <w:tc>
          <w:tcPr>
            <w:tcW w:w="1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2500" w:type="dxa"/>
            <w:vAlign w:val="bottom"/>
            <w:tcBorders>
              <w:bottom w:val="single" w:sz="8" w:color="auto"/>
            </w:tcBorders>
            <w:gridSpan w:val="4"/>
          </w:tcPr>
          <w:p>
            <w:pPr>
              <w:jc w:val="right"/>
              <w:ind w:right="734"/>
              <w:spacing w:after="0"/>
              <w:rPr>
                <w:sz w:val="20"/>
                <w:szCs w:val="20"/>
                <w:color w:val="auto"/>
              </w:rPr>
            </w:pPr>
            <w:r>
              <w:rPr>
                <w:rFonts w:ascii="Arial" w:cs="Arial" w:eastAsia="Arial" w:hAnsi="Arial"/>
                <w:sz w:val="14"/>
                <w:szCs w:val="14"/>
                <w:b w:val="1"/>
                <w:bCs w:val="1"/>
                <w:color w:val="auto"/>
              </w:rPr>
              <w:t>December 31, 2013</w:t>
            </w:r>
          </w:p>
        </w:tc>
        <w:tc>
          <w:tcPr>
            <w:tcW w:w="0" w:type="dxa"/>
            <w:vAlign w:val="bottom"/>
          </w:tcPr>
          <w:p>
            <w:pPr>
              <w:spacing w:after="0"/>
              <w:rPr>
                <w:sz w:val="1"/>
                <w:szCs w:val="1"/>
                <w:color w:val="auto"/>
              </w:rPr>
            </w:pPr>
          </w:p>
        </w:tc>
      </w:tr>
      <w:tr>
        <w:trPr>
          <w:trHeight w:val="152"/>
        </w:trPr>
        <w:tc>
          <w:tcPr>
            <w:tcW w:w="5620" w:type="dxa"/>
            <w:vAlign w:val="bottom"/>
          </w:tcPr>
          <w:p>
            <w:pPr>
              <w:spacing w:after="0"/>
              <w:rPr>
                <w:sz w:val="13"/>
                <w:szCs w:val="13"/>
                <w:color w:val="auto"/>
              </w:rPr>
            </w:pPr>
          </w:p>
        </w:tc>
        <w:tc>
          <w:tcPr>
            <w:tcW w:w="13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5"/>
              </w:rPr>
              <w:t>Encumbered Assets</w:t>
            </w:r>
          </w:p>
        </w:tc>
        <w:tc>
          <w:tcPr>
            <w:tcW w:w="12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jc w:val="right"/>
              <w:ind w:right="14"/>
              <w:spacing w:after="0" w:line="153" w:lineRule="exact"/>
              <w:rPr>
                <w:sz w:val="20"/>
                <w:szCs w:val="20"/>
                <w:color w:val="auto"/>
              </w:rPr>
            </w:pPr>
            <w:r>
              <w:rPr>
                <w:rFonts w:ascii="Arial" w:cs="Arial" w:eastAsia="Arial" w:hAnsi="Arial"/>
                <w:sz w:val="14"/>
                <w:szCs w:val="14"/>
                <w:b w:val="1"/>
                <w:bCs w:val="1"/>
                <w:color w:val="auto"/>
                <w:w w:val="94"/>
              </w:rPr>
              <w:t>Unencumbered</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5"/>
              </w:rPr>
              <w:t>Encumbered Assets</w:t>
            </w:r>
          </w:p>
        </w:tc>
        <w:tc>
          <w:tcPr>
            <w:tcW w:w="12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jc w:val="right"/>
              <w:ind w:right="134"/>
              <w:spacing w:after="0" w:line="153" w:lineRule="exact"/>
              <w:rPr>
                <w:sz w:val="20"/>
                <w:szCs w:val="20"/>
                <w:color w:val="auto"/>
              </w:rPr>
            </w:pPr>
            <w:r>
              <w:rPr>
                <w:rFonts w:ascii="Arial" w:cs="Arial" w:eastAsia="Arial" w:hAnsi="Arial"/>
                <w:sz w:val="14"/>
                <w:szCs w:val="14"/>
                <w:b w:val="1"/>
                <w:bCs w:val="1"/>
                <w:color w:val="auto"/>
                <w:w w:val="94"/>
              </w:rPr>
              <w:t>Unencumbered</w:t>
            </w:r>
          </w:p>
        </w:tc>
        <w:tc>
          <w:tcPr>
            <w:tcW w:w="0" w:type="dxa"/>
            <w:vAlign w:val="bottom"/>
          </w:tcPr>
          <w:p>
            <w:pPr>
              <w:spacing w:after="0"/>
              <w:rPr>
                <w:sz w:val="1"/>
                <w:szCs w:val="1"/>
                <w:color w:val="auto"/>
              </w:rPr>
            </w:pPr>
          </w:p>
        </w:tc>
      </w:tr>
      <w:tr>
        <w:trPr>
          <w:trHeight w:val="192"/>
        </w:trPr>
        <w:tc>
          <w:tcPr>
            <w:tcW w:w="562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Assets</w:t>
            </w: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 estate, net</w:t>
            </w:r>
          </w:p>
        </w:tc>
        <w:tc>
          <w:tcPr>
            <w:tcW w:w="34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1,589,847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1,124,123</w:t>
            </w:r>
          </w:p>
        </w:tc>
        <w:tc>
          <w:tcPr>
            <w:tcW w:w="560" w:type="dxa"/>
            <w:vAlign w:val="bottom"/>
            <w:tcBorders>
              <w:bottom w:val="single" w:sz="8" w:color="CCEEFF"/>
            </w:tcBorders>
            <w:gridSpan w:val="3"/>
            <w:shd w:val="clear" w:color="auto" w:fill="CCEEFF"/>
          </w:tcPr>
          <w:p>
            <w:pPr>
              <w:jc w:val="right"/>
              <w:ind w:right="139"/>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1,644,463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1,151,718</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Real estate available and held for sale</w:t>
            </w:r>
          </w:p>
        </w:tc>
        <w:tc>
          <w:tcPr>
            <w:tcW w:w="34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129,005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205,686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152,604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207,913</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Loans receivable and other lending investments, net(1)</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836,572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670,918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860,557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538,752</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Other investments</w:t>
            </w:r>
          </w:p>
        </w:tc>
        <w:tc>
          <w:tcPr>
            <w:tcW w:w="34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21,034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184,063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24,093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183,116</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other assets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757,467</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907,995</w:t>
            </w:r>
          </w:p>
        </w:tc>
        <w:tc>
          <w:tcPr>
            <w:tcW w:w="0" w:type="dxa"/>
            <w:vAlign w:val="bottom"/>
          </w:tcPr>
          <w:p>
            <w:pPr>
              <w:spacing w:after="0"/>
              <w:rPr>
                <w:sz w:val="1"/>
                <w:szCs w:val="1"/>
                <w:color w:val="auto"/>
              </w:rPr>
            </w:pPr>
          </w:p>
        </w:tc>
      </w:tr>
      <w:tr>
        <w:trPr>
          <w:trHeight w:val="257"/>
        </w:trPr>
        <w:tc>
          <w:tcPr>
            <w:tcW w:w="5620" w:type="dxa"/>
            <w:vAlign w:val="bottom"/>
          </w:tcPr>
          <w:p>
            <w:pPr>
              <w:ind w:left="18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bottom w:val="single" w:sz="8" w:color="auto"/>
            </w:tcBorders>
          </w:tcPr>
          <w:p>
            <w:pPr>
              <w:jc w:val="right"/>
              <w:ind w:right="156"/>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2,576,458</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2,942,257</w:t>
            </w:r>
          </w:p>
        </w:tc>
        <w:tc>
          <w:tcPr>
            <w:tcW w:w="1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2,681,717</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2,989,494</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51" w:lineRule="exact"/>
        <w:rPr>
          <w:sz w:val="20"/>
          <w:szCs w:val="20"/>
          <w:color w:val="auto"/>
        </w:rPr>
      </w:pPr>
    </w:p>
    <w:p>
      <w:pPr>
        <w:ind w:left="660" w:hanging="652"/>
        <w:spacing w:after="0"/>
        <w:tabs>
          <w:tab w:leader="none" w:pos="6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As of March 31, 2014 and December 31, 2013, the amounts presented exclude general reserves for loan losses of $31.0 million and $29.2 million, respectively.</w:t>
      </w:r>
    </w:p>
    <w:p>
      <w:pPr>
        <w:spacing w:after="0" w:line="164"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b w:val="1"/>
          <w:bCs w:val="1"/>
          <w:color w:val="auto"/>
        </w:rPr>
        <w:t>Debt Covenants</w:t>
      </w:r>
      <w:r>
        <w:rPr>
          <w:rFonts w:ascii="Arial" w:cs="Arial" w:eastAsia="Arial" w:hAnsi="Arial"/>
          <w:sz w:val="18"/>
          <w:szCs w:val="18"/>
          <w:color w:val="auto"/>
        </w:rPr>
        <w:t>—Our outstanding unsecured debt securities contain corporate level covenants that include a covenant to maintain a ratio of</w:t>
      </w:r>
      <w:r>
        <w:rPr>
          <w:rFonts w:ascii="Arial" w:cs="Arial" w:eastAsia="Arial" w:hAnsi="Arial"/>
          <w:sz w:val="18"/>
          <w:szCs w:val="18"/>
          <w:b w:val="1"/>
          <w:bCs w:val="1"/>
          <w:color w:val="auto"/>
        </w:rPr>
        <w:t xml:space="preserve"> </w:t>
      </w:r>
      <w:r>
        <w:rPr>
          <w:rFonts w:ascii="Arial" w:cs="Arial" w:eastAsia="Arial" w:hAnsi="Arial"/>
          <w:sz w:val="18"/>
          <w:szCs w:val="18"/>
          <w:color w:val="auto"/>
        </w:rPr>
        <w:t>unencumbered assets to unsecured indebtedness of at least 1.2x and a restriction on debt incurrence based upon the effect of the debt incurrence on our fixed charge coverage ratio. If any of our covenants are breached and not cured within applicable cure periods, the breach could result in acceleration of our debt securities unless a waiver or modification is agreed upon with the requisite percentage of the bondholders. While we expect that our ability to incur new indebtedness under the fixed charge coverage ratio will be limited for the foreseeable future, which may put limitations on our ability to make new investments, we will continue to be permitted to incur indebtedness for the purpose of refinancing existing indebtedness and for other permitted purposes under the indentures.</w:t>
      </w:r>
    </w:p>
    <w:p>
      <w:pPr>
        <w:spacing w:after="0" w:line="193"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Our March 2012 Secured Credit Facilities and February 2013 Secured Credit Facility are collectively defined as the "Secured Credit Facilities." Our Secured Credit Facilities contain certain covenants, including covenants relating to collateral coverage, dividend payments, restrictions on fundamental changes, transactions with affiliates, matters relating to the liens granted to the lenders and the delivery of information to the lenders. In particular, we are required to maintain collateral coverage of 1.25x outstanding borrowings. In addition, for so long as we maintain our qualification as a REIT, the Secured Credit Facilities permit</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us to distribute 100% of our REIT taxable income on an annual basis and the February 2013 Secured Credit Facility permits us to distribute to our shareholders real estate assets, or interests therein, having an aggregate equity value not to exceed $200 million, so long as such assets are not collateral for the February 2013 Secured Credit Facility. We may not pay common dividends if we cease to qualify as a REIT (except that the February 2013 Secured Credit Facility permits us to distribute certain real estate assets as described in the preceding sentence).</w:t>
      </w:r>
    </w:p>
    <w:p>
      <w:pPr>
        <w:spacing w:after="0" w:line="187"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Our Secured Credit Facilities contain cross default provisions that would allow the lenders to declare an event of default and accelerate our indebtedness to them if we fail to pay amounts due in respect of our other recourse indebtedness in excess of specified thresholds or if the lenders under such other indebtedness are otherwise permitted to accelerate such indebtedness for any reason. The indentures governing our unsecured public debt securities permit the bondholders to declare an event of default and accelerate our indebtedness to them if our other recourse indebtedness in excess of specified thresholds is not paid at final maturity or if such indebtedness is accelerated.</w:t>
      </w:r>
    </w:p>
    <w:p>
      <w:pPr>
        <w:spacing w:after="0" w:line="144" w:lineRule="exact"/>
        <w:rPr>
          <w:sz w:val="20"/>
          <w:szCs w:val="20"/>
          <w:color w:val="auto"/>
        </w:rPr>
      </w:pPr>
    </w:p>
    <w:p>
      <w:pPr>
        <w:jc w:val="both"/>
        <w:ind w:firstLine="432"/>
        <w:spacing w:after="0" w:line="266" w:lineRule="auto"/>
        <w:rPr>
          <w:sz w:val="20"/>
          <w:szCs w:val="20"/>
          <w:color w:val="auto"/>
        </w:rPr>
      </w:pPr>
      <w:r>
        <w:rPr>
          <w:rFonts w:ascii="Arial" w:cs="Arial" w:eastAsia="Arial" w:hAnsi="Arial"/>
          <w:sz w:val="18"/>
          <w:szCs w:val="18"/>
          <w:b w:val="1"/>
          <w:bCs w:val="1"/>
          <w:color w:val="auto"/>
        </w:rPr>
        <w:t>Derivatives</w:t>
      </w:r>
      <w:r>
        <w:rPr>
          <w:rFonts w:ascii="Arial" w:cs="Arial" w:eastAsia="Arial" w:hAnsi="Arial"/>
          <w:sz w:val="18"/>
          <w:szCs w:val="18"/>
          <w:color w:val="auto"/>
        </w:rPr>
        <w:t>—Our use of derivative financial instruments is primarily limited to the utilization of interest rate swaps, interest rate caps 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instruments to manage interest rate risk exposure and foreign exchange contracts to manage our risk to changes in foreign currencies (see Note 10 of the Notes to the Consolidated Financial Statements).</w:t>
      </w:r>
    </w:p>
    <w:p>
      <w:pPr>
        <w:spacing w:after="0" w:line="176" w:lineRule="exact"/>
        <w:rPr>
          <w:sz w:val="20"/>
          <w:szCs w:val="20"/>
          <w:color w:val="auto"/>
        </w:rPr>
      </w:pPr>
    </w:p>
    <w:p>
      <w:pPr>
        <w:jc w:val="both"/>
        <w:ind w:firstLine="432"/>
        <w:spacing w:after="0" w:line="314" w:lineRule="auto"/>
        <w:rPr>
          <w:sz w:val="20"/>
          <w:szCs w:val="20"/>
          <w:color w:val="auto"/>
        </w:rPr>
      </w:pPr>
      <w:r>
        <w:rPr>
          <w:rFonts w:ascii="Arial" w:cs="Arial" w:eastAsia="Arial" w:hAnsi="Arial"/>
          <w:sz w:val="16"/>
          <w:szCs w:val="16"/>
          <w:b w:val="1"/>
          <w:bCs w:val="1"/>
          <w:color w:val="auto"/>
        </w:rPr>
        <w:t>Off-Balance Sheet Arrangements</w:t>
      </w:r>
      <w:r>
        <w:rPr>
          <w:rFonts w:ascii="Arial" w:cs="Arial" w:eastAsia="Arial" w:hAnsi="Arial"/>
          <w:sz w:val="16"/>
          <w:szCs w:val="16"/>
          <w:color w:val="auto"/>
        </w:rPr>
        <w:t>—We are not dependent on the use of any off-balance sheet financing arrangements for liquidity. We have made</w:t>
      </w:r>
      <w:r>
        <w:rPr>
          <w:rFonts w:ascii="Arial" w:cs="Arial" w:eastAsia="Arial" w:hAnsi="Arial"/>
          <w:sz w:val="16"/>
          <w:szCs w:val="16"/>
          <w:b w:val="1"/>
          <w:bCs w:val="1"/>
          <w:color w:val="auto"/>
        </w:rPr>
        <w:t xml:space="preserve"> </w:t>
      </w:r>
      <w:r>
        <w:rPr>
          <w:rFonts w:ascii="Arial" w:cs="Arial" w:eastAsia="Arial" w:hAnsi="Arial"/>
          <w:sz w:val="16"/>
          <w:szCs w:val="16"/>
          <w:color w:val="auto"/>
        </w:rPr>
        <w:t>investments in various unconsolidated ventures. See Item 1—"Financial Statements—Note 6" for further details of our unconsolidated investments. Our maximum exposure to loss from these investments is limited to the carrying value of our investments and any unfunded commitments (see below).</w:t>
      </w:r>
    </w:p>
    <w:p>
      <w:pPr>
        <w:spacing w:after="0" w:line="142"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b w:val="1"/>
          <w:bCs w:val="1"/>
          <w:color w:val="auto"/>
        </w:rPr>
        <w:t>Unfunded Commitments</w:t>
      </w:r>
      <w:r>
        <w:rPr>
          <w:rFonts w:ascii="Arial" w:cs="Arial" w:eastAsia="Arial" w:hAnsi="Arial"/>
          <w:sz w:val="17"/>
          <w:szCs w:val="17"/>
          <w:color w:val="auto"/>
        </w:rPr>
        <w:t>—We generally fund construction and development loans and build-outs of space in net lease assets over a period of time if</w:t>
      </w:r>
      <w:r>
        <w:rPr>
          <w:rFonts w:ascii="Arial" w:cs="Arial" w:eastAsia="Arial" w:hAnsi="Arial"/>
          <w:sz w:val="17"/>
          <w:szCs w:val="17"/>
          <w:b w:val="1"/>
          <w:bCs w:val="1"/>
          <w:color w:val="auto"/>
        </w:rPr>
        <w:t xml:space="preserve"> </w:t>
      </w:r>
      <w:r>
        <w:rPr>
          <w:rFonts w:ascii="Arial" w:cs="Arial" w:eastAsia="Arial" w:hAnsi="Arial"/>
          <w:sz w:val="17"/>
          <w:szCs w:val="17"/>
          <w:color w:val="auto"/>
        </w:rPr>
        <w:t>and when the borrowers and tenants meet established milestones and other performance criteria. We refer to these arrangements as Performance-Based Commitments. In addition, we sometimes establish a maximum amount of additional funding which we will make available to a borrower or tenant for an expansion or addition to a project if we approve of the expansion or addition in our sole discretion. We refer to these arrangements as Discretionary Fundings. Finally, we have committed to invest capital in several real estate funds and other ventures. These arrangements are referred to as Strategic Investments. As of March 31, 2014, the maximum amounts of the fundings we may make under each category, assuming all performance hurdles and milestones are met under the Performance-Based Commitments, that we approve all Discretionary Fundings and that 100% of our capital committed to Strategic Investments is drawn down, are as follows (in thousands):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Loans and Other</w:t>
            </w:r>
          </w:p>
        </w:tc>
        <w:tc>
          <w:tcPr>
            <w:tcW w:w="220" w:type="dxa"/>
            <w:vAlign w:val="bottom"/>
          </w:tcPr>
          <w:p>
            <w:pPr>
              <w:spacing w:after="0"/>
              <w:rPr>
                <w:sz w:val="13"/>
                <w:szCs w:val="13"/>
                <w:color w:val="auto"/>
              </w:rPr>
            </w:pPr>
          </w:p>
        </w:tc>
        <w:tc>
          <w:tcPr>
            <w:tcW w:w="1140" w:type="dxa"/>
            <w:vAlign w:val="bottom"/>
            <w:vMerge w:val="restart"/>
          </w:tcPr>
          <w:p>
            <w:pPr>
              <w:jc w:val="right"/>
              <w:ind w:right="254"/>
              <w:spacing w:after="0"/>
              <w:rPr>
                <w:sz w:val="20"/>
                <w:szCs w:val="20"/>
                <w:color w:val="auto"/>
              </w:rPr>
            </w:pPr>
            <w:r>
              <w:rPr>
                <w:rFonts w:ascii="Arial" w:cs="Arial" w:eastAsia="Arial" w:hAnsi="Arial"/>
                <w:sz w:val="14"/>
                <w:szCs w:val="14"/>
                <w:b w:val="1"/>
                <w:bCs w:val="1"/>
                <w:color w:val="auto"/>
              </w:rPr>
              <w:t>Real Estate</w:t>
            </w:r>
          </w:p>
        </w:tc>
        <w:tc>
          <w:tcPr>
            <w:tcW w:w="10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gridSpan w:val="2"/>
          </w:tcPr>
          <w:p>
            <w:pPr>
              <w:ind w:left="200"/>
              <w:spacing w:after="0"/>
              <w:rPr>
                <w:sz w:val="20"/>
                <w:szCs w:val="20"/>
                <w:color w:val="auto"/>
              </w:rPr>
            </w:pPr>
            <w:r>
              <w:rPr>
                <w:rFonts w:ascii="Arial" w:cs="Arial" w:eastAsia="Arial" w:hAnsi="Arial"/>
                <w:sz w:val="14"/>
                <w:szCs w:val="14"/>
                <w:b w:val="1"/>
                <w:bCs w:val="1"/>
                <w:color w:val="auto"/>
              </w:rPr>
              <w:t>Strategic</w:t>
            </w:r>
          </w:p>
        </w:tc>
        <w:tc>
          <w:tcPr>
            <w:tcW w:w="320" w:type="dxa"/>
            <w:vAlign w:val="bottom"/>
          </w:tcPr>
          <w:p>
            <w:pPr>
              <w:spacing w:after="0"/>
              <w:rPr>
                <w:sz w:val="13"/>
                <w:szCs w:val="13"/>
                <w:color w:val="auto"/>
              </w:rPr>
            </w:pPr>
          </w:p>
        </w:tc>
        <w:tc>
          <w:tcPr>
            <w:tcW w:w="1040" w:type="dxa"/>
            <w:vAlign w:val="bottom"/>
            <w:vMerge w:val="restart"/>
          </w:tcPr>
          <w:p>
            <w:pPr>
              <w:jc w:val="right"/>
              <w:ind w:right="43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62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Lending Investments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Investments</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Performance-Based Commitments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233,015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51,759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284,774</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Discretionary Fundings</w:t>
            </w:r>
          </w:p>
        </w:tc>
        <w:tc>
          <w:tcPr>
            <w:tcW w:w="14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Strategic Investments</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46,382</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46,382</w:t>
            </w:r>
          </w:p>
        </w:tc>
        <w:tc>
          <w:tcPr>
            <w:tcW w:w="0" w:type="dxa"/>
            <w:vAlign w:val="bottom"/>
          </w:tcPr>
          <w:p>
            <w:pPr>
              <w:spacing w:after="0"/>
              <w:rPr>
                <w:sz w:val="1"/>
                <w:szCs w:val="1"/>
                <w:color w:val="auto"/>
              </w:rPr>
            </w:pPr>
          </w:p>
        </w:tc>
      </w:tr>
      <w:tr>
        <w:trPr>
          <w:trHeight w:val="257"/>
        </w:trPr>
        <w:tc>
          <w:tcPr>
            <w:tcW w:w="5620" w:type="dxa"/>
            <w:vAlign w:val="bottom"/>
          </w:tcPr>
          <w:p>
            <w:pPr>
              <w:ind w:left="18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233,015</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51,759</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46,382</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331,156</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8"/>
          <w:szCs w:val="18"/>
          <w:b w:val="1"/>
          <w:bCs w:val="1"/>
          <w:color w:val="auto"/>
        </w:rPr>
        <w:t>Stock Repurchase Programs</w:t>
      </w:r>
      <w:r>
        <w:rPr>
          <w:rFonts w:ascii="Arial" w:cs="Arial" w:eastAsia="Arial" w:hAnsi="Arial"/>
          <w:sz w:val="18"/>
          <w:szCs w:val="18"/>
          <w:color w:val="auto"/>
        </w:rPr>
        <w:t>—On May 15, 2012, the Company's Board of Directors approved a stock repurchase program that authorized the</w:t>
      </w:r>
      <w:r>
        <w:rPr>
          <w:rFonts w:ascii="Arial" w:cs="Arial" w:eastAsia="Arial" w:hAnsi="Arial"/>
          <w:sz w:val="18"/>
          <w:szCs w:val="18"/>
          <w:b w:val="1"/>
          <w:bCs w:val="1"/>
          <w:color w:val="auto"/>
        </w:rPr>
        <w:t xml:space="preserve"> </w:t>
      </w:r>
      <w:r>
        <w:rPr>
          <w:rFonts w:ascii="Arial" w:cs="Arial" w:eastAsia="Arial" w:hAnsi="Arial"/>
          <w:sz w:val="18"/>
          <w:szCs w:val="18"/>
          <w:color w:val="auto"/>
        </w:rPr>
        <w:t>repurchase of up to $20.0 million of its Common Stock from time to time in open market and privately negotiated purchases, including pursuant to one or more trading plans. In September 2013, the Company's Board of Directors approved an increase in the repurchase limit to $50.0 million from the $16.0 million that remained from the previously approved program. There were no stock repurchases during the three months ended March 31, 2014. As of March 31, 2014, the Company had remaining authorization to repurchase up to $29.0 million of Common Stock out of the $50.0 million authorized by its Board in 2013.</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83"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The preparation of financial statements in accordance with GAAP requires management to make estimates and judgments in certain circumstances that affect amounts reported as assets, liabilities, revenues and expenses. We have established detailed policies and control procedures intended to ensure that valuation methods, including any judgments made as part of such methods, are well controlled, reviewed and applied consistently from period to period. We base our estimates on historical corporate and industry experience and various other assumptions that we believe to be appropriate under the circumstances. For all of these estimates, we caution that future events rarely develop exactly as forecasted, and, therefore, routinely require adjustment.</w:t>
      </w:r>
    </w:p>
    <w:p>
      <w:pPr>
        <w:spacing w:after="0" w:line="77"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auto"/>
        </w:rPr>
        <w:t>A summary of our critical accounting estimates is included in our Annual Report on Form 10-K for the year ended December 31, 2013 in Management's Discussion and Analysis of Financial Condition. There have been no significant changes to our critical accounting estimates as of March 31, 2014.</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b w:val="1"/>
          <w:bCs w:val="1"/>
          <w:i w:val="1"/>
          <w:iCs w:val="1"/>
          <w:color w:val="auto"/>
        </w:rPr>
        <w:t>New Accounting Pronouncements</w:t>
      </w:r>
      <w:r>
        <w:rPr>
          <w:rFonts w:ascii="Arial" w:cs="Arial" w:eastAsia="Arial" w:hAnsi="Arial"/>
          <w:sz w:val="18"/>
          <w:szCs w:val="18"/>
          <w:color w:val="auto"/>
        </w:rPr>
        <w:t>—For a discussion of the impact of new accounting pronouncements on our financial condition or results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operations, see Note 3 of the Notes to the Consolidated Financial Statements.</w:t>
      </w:r>
    </w:p>
    <w:p>
      <w:pPr>
        <w:spacing w:after="0" w:line="12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89" w:lineRule="exact"/>
        <w:rPr>
          <w:sz w:val="20"/>
          <w:szCs w:val="20"/>
          <w:color w:val="auto"/>
        </w:rPr>
      </w:pPr>
    </w:p>
    <w:p>
      <w:pPr>
        <w:jc w:val="both"/>
        <w:ind w:right="20" w:firstLine="432"/>
        <w:spacing w:after="0" w:line="259" w:lineRule="auto"/>
        <w:rPr>
          <w:sz w:val="20"/>
          <w:szCs w:val="20"/>
          <w:color w:val="auto"/>
        </w:rPr>
      </w:pPr>
      <w:r>
        <w:rPr>
          <w:rFonts w:ascii="Arial" w:cs="Arial" w:eastAsia="Arial" w:hAnsi="Arial"/>
          <w:sz w:val="18"/>
          <w:szCs w:val="18"/>
          <w:color w:val="auto"/>
        </w:rPr>
        <w:t>There have been no material changes in Quantitative and Qualitative Disclosures About Market Risk for the first three months months of 2014 as compared to the disclosures included in our Annual Report on Form 10-K for the year ended December 31, 2013. See discussion of quantitative and qualitative disclosures about market risk under Item 7a—"Quantitative and Qualitative Disclosures about Market Risk," included in our Annual Report on Form 10-K for the year ended December 31, 2013.</w:t>
      </w:r>
    </w:p>
    <w:p>
      <w:pPr>
        <w:spacing w:after="0" w:line="14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89"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The Company maintains disclosure controls and procedures that are designed to ensure that information required to be disclosed in the Company's Exchange Act reports is recorded, processed, summarized and reported within the time periods specified in the Securities and Exchange Commission's rules and forms, and that such information is accumulated and communicated to the Company's management, including its Chief Executive Officer and Chief Financial Officer, as appropriate, to allow timely decisions regarding required disclosure. The Company has formed a disclosure committee that is responsible for considering the materiality of information and determining the disclosure obligations of the Company on a timely basis. The disclosure committee reports directly to the Company's Chief Executive Officer and Chief Financial Officer.</w:t>
      </w:r>
    </w:p>
    <w:p>
      <w:pPr>
        <w:spacing w:after="0" w:line="138"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As of the end of the period covered by this report, the Company carried out an evaluation, under the supervision and with the participation of the disclosure committee and other members of management, including its Chief Executive Officer and Chief Financial Officer, of the effectiveness of the Company's disclosure controls and procedures pursuant to Exchange Act Rule 13a-15(b) or Rule 15d-15. Based upon that evaluation, the Chief Executive Officer and Chief Financial Officer concluded that the Company's disclosure controls and procedures are effective to provide reasonable assurance that the information required to be disclosed by the Company in the reports that it files or submits under the Exchange Act is (i) recorded, processed, summarized and reported within the time periods specified in SEC rules and forms and (ii) accumulated and communicated to management, including the Chief Executive Officer and Chief Financial Officer, as appropriate, to allow timely decisions regarding disclosure.</w:t>
      </w:r>
    </w:p>
    <w:p>
      <w:pPr>
        <w:spacing w:after="0" w:line="13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There have been no changes during the last fiscal quarter in the Company's internal control over financial reporting that has materially affected, or is reasonably likely to materially affect, the Company's internal control over financial reporting.</w:t>
      </w:r>
    </w:p>
    <w:p>
      <w:pPr>
        <w:spacing w:after="0" w:line="130"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color w:val="auto"/>
        </w:rPr>
        <w:t>Notwithstanding the foregoing, a control system, no matter how well designed and operated, can provide only reasonable, not absolute, assurance that it will detect or uncover failures within the Company to disclose material information otherwise required to be set forth in the Company's periodic reports.</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14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89"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Company and/or one or more of its subsidiaries is party to various pending litigation matters that are considered ordinary routine litigation incidental to its business as a finance and investment company focused on the commercial real estate industry, including loan foreclosure and foreclosure-related proceedings. In addition to such matters, the Company is a party to the following legal proceeding:</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Shareholder Action</w:t>
      </w:r>
    </w:p>
    <w:p>
      <w:pPr>
        <w:spacing w:after="0" w:line="185"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On March 7, 2014, a shareholder action purporting to assert derivative, class and individual claims was filed in the Circuit Court for Baltimore City, Maryland naming the Company, a number of our current and former senior executives (including our chief executive officer) and current and former directors as defendants. The complaint seeks unspecified damages and other relief and alleges breach of fiduciary duty, breach of contract and other causes of action arising out of shares of our common stock issued by the Company to our senior executives pursuant to restricted stock unit awards granted in December 2008 and modified in July 2011. We believe the claims have no merit and we intend to defend the action vigorously.</w:t>
      </w:r>
    </w:p>
    <w:p>
      <w:pPr>
        <w:spacing w:after="0" w:line="12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See the Company's Annual Report on Form 10-K for the fiscal year ended December 31, 2013.</w:t>
      </w:r>
    </w:p>
    <w:p>
      <w:pPr>
        <w:spacing w:after="0" w:line="18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8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18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Exhibit</w:t>
      </w:r>
    </w:p>
    <w:p>
      <w:pPr>
        <w:spacing w:after="0" w:line="39" w:lineRule="exact"/>
        <w:rPr>
          <w:sz w:val="20"/>
          <w:szCs w:val="20"/>
          <w:color w:val="auto"/>
        </w:rPr>
      </w:pPr>
    </w:p>
    <w:p>
      <w:pPr>
        <w:ind w:left="620"/>
        <w:spacing w:after="0"/>
        <w:rPr>
          <w:sz w:val="20"/>
          <w:szCs w:val="20"/>
          <w:color w:val="auto"/>
        </w:rPr>
      </w:pPr>
      <w:r>
        <w:rPr>
          <w:rFonts w:ascii="Arial" w:cs="Arial" w:eastAsia="Arial" w:hAnsi="Arial"/>
          <w:sz w:val="16"/>
          <w:szCs w:val="16"/>
          <w:b w:val="1"/>
          <w:bCs w:val="1"/>
          <w:color w:val="auto"/>
        </w:rPr>
        <w:t>Number</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 TO EXHIBITS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80"/>
        <w:spacing w:after="0"/>
        <w:rPr>
          <w:sz w:val="20"/>
          <w:szCs w:val="20"/>
          <w:color w:val="auto"/>
        </w:rPr>
      </w:pPr>
      <w:r>
        <w:rPr>
          <w:rFonts w:ascii="Arial" w:cs="Arial" w:eastAsia="Arial" w:hAnsi="Arial"/>
          <w:sz w:val="16"/>
          <w:szCs w:val="16"/>
          <w:b w:val="1"/>
          <w:bCs w:val="1"/>
          <w:color w:val="auto"/>
        </w:rPr>
        <w:t>Document Description</w:t>
      </w:r>
    </w:p>
    <w:p>
      <w:pPr>
        <w:spacing w:after="0" w:line="90" w:lineRule="exact"/>
        <w:rPr>
          <w:sz w:val="20"/>
          <w:szCs w:val="20"/>
          <w:color w:val="auto"/>
        </w:rPr>
      </w:pPr>
    </w:p>
    <w:p>
      <w:pPr>
        <w:sectPr>
          <w:pgSz w:w="11900" w:h="16838" w:orient="portrait"/>
          <w:cols w:equalWidth="0" w:num="2">
            <w:col w:w="4100" w:space="720"/>
            <w:col w:w="6600"/>
          </w:cols>
          <w:pgMar w:left="240" w:top="125" w:right="239" w:bottom="1440" w:gutter="0" w:footer="0" w:header="0"/>
          <w:type w:val="continuous"/>
        </w:sectPr>
      </w:pPr>
    </w:p>
    <w:p>
      <w:pPr>
        <w:ind w:left="1180"/>
        <w:spacing w:after="0"/>
        <w:rPr>
          <w:sz w:val="20"/>
          <w:szCs w:val="20"/>
          <w:color w:val="auto"/>
        </w:rPr>
      </w:pPr>
      <w:r>
        <w:rPr>
          <w:rFonts w:ascii="Arial" w:cs="Arial" w:eastAsia="Arial" w:hAnsi="Arial"/>
          <w:sz w:val="18"/>
          <w:szCs w:val="18"/>
          <w:color w:val="auto"/>
        </w:rPr>
        <w:t>31.0  Certifications pursuant to Section 302 of the Sarbanes-Oxley Act</w:t>
      </w:r>
    </w:p>
    <w:p>
      <w:pPr>
        <w:spacing w:after="0" w:line="63"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32.0  Certifications pursuant to Section 906 of the Sarbanes-Oxley Act.</w:t>
      </w:r>
    </w:p>
    <w:p>
      <w:pPr>
        <w:spacing w:after="0" w:line="63" w:lineRule="exact"/>
        <w:rPr>
          <w:sz w:val="20"/>
          <w:szCs w:val="20"/>
          <w:color w:val="auto"/>
        </w:rPr>
      </w:pPr>
    </w:p>
    <w:p>
      <w:pPr>
        <w:ind w:left="1620" w:right="380" w:hanging="396"/>
        <w:spacing w:after="0" w:line="272" w:lineRule="auto"/>
        <w:tabs>
          <w:tab w:leader="none" w:pos="16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following financial information from the Company's Quarterly Report on Form 10-Q for the period ended March 31, 2014 is formatted in XBRL ("eXtensible Business Reporting Language"): (i) the Consolidated Balance Sheets (unaudited) as of March 31, 2014 and December 31, 2013, (ii) the Consolidated Statements of Operations (unaudited) for the three months ended March 31, 2014 and 2013, (iii) the Consolidated Statements of Comprehensive Income (Loss) (unaudited) for the three months ended March 31, 2014 and 2013, (iv) the Consolidated Statement of Changes in Equity (unaudited) for the three months ended March 31, 2014 and 2013, (v) the Consolidated Statements of Cash Flows (unaudited) for the three months ended March 31, 2014 and 2013 and (vi) the Notes to the Consolidated Financial Statements (unaudited).*</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Notes:</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24" w:lineRule="exact"/>
        <w:rPr>
          <w:sz w:val="20"/>
          <w:szCs w:val="20"/>
          <w:color w:val="auto"/>
        </w:rPr>
      </w:pPr>
    </w:p>
    <w:p>
      <w:pPr>
        <w:ind w:left="660" w:hanging="652"/>
        <w:spacing w:after="0" w:line="312" w:lineRule="auto"/>
        <w:tabs>
          <w:tab w:leader="none" w:pos="660" w:val="left"/>
        </w:tabs>
        <w:numPr>
          <w:ilvl w:val="0"/>
          <w:numId w:val="27"/>
        </w:numPr>
        <w:rPr>
          <w:rFonts w:ascii="Arial" w:cs="Arial" w:eastAsia="Arial" w:hAnsi="Arial"/>
          <w:sz w:val="13"/>
          <w:szCs w:val="13"/>
          <w:color w:val="auto"/>
        </w:rPr>
      </w:pPr>
      <w:r>
        <w:rPr>
          <w:rFonts w:ascii="Arial" w:cs="Arial" w:eastAsia="Arial" w:hAnsi="Arial"/>
          <w:sz w:val="13"/>
          <w:szCs w:val="13"/>
          <w:color w:val="auto"/>
        </w:rPr>
        <w:t>In accordance with Rule 406T of Regulation S-T, the XBRL related information in Exhibit 101 is deemed not filed or part of a registration statement or prospectus for purposes of sections 11 or 12 of the Securities Act of 1933, is deemed not filed for purposes of section 18 of the Exchange Act of 1934 and otherwise is not subject to liability under these sections.</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5" w:right="239" w:bottom="1440" w:gutter="0" w:footer="0" w:header="0"/>
          <w:type w:val="continuous"/>
        </w:sectPr>
      </w:pPr>
    </w:p>
    <w:bookmarkStart w:id="45" w:name="page46"/>
    <w:bookmarkEnd w:id="4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83"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p>
    <w:p>
      <w:pPr>
        <w:spacing w:after="0" w:line="251"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iSTAR FINANCIAL INC.</w:t>
      </w:r>
    </w:p>
    <w:p>
      <w:pPr>
        <w:spacing w:after="0" w:line="23" w:lineRule="exact"/>
        <w:rPr>
          <w:sz w:val="20"/>
          <w:szCs w:val="20"/>
          <w:color w:val="auto"/>
        </w:rPr>
      </w:pPr>
    </w:p>
    <w:p>
      <w:pPr>
        <w:ind w:left="6020"/>
        <w:spacing w:after="0"/>
        <w:rPr>
          <w:sz w:val="20"/>
          <w:szCs w:val="20"/>
          <w:color w:val="auto"/>
        </w:rPr>
      </w:pPr>
      <w:r>
        <w:rPr>
          <w:rFonts w:ascii="Arial" w:cs="Arial" w:eastAsia="Arial" w:hAnsi="Arial"/>
          <w:sz w:val="18"/>
          <w:szCs w:val="18"/>
          <w:i w:val="1"/>
          <w:iCs w:val="1"/>
          <w:color w:val="auto"/>
        </w:rPr>
        <w:t>Registrant</w:t>
      </w:r>
    </w:p>
    <w:p>
      <w:pPr>
        <w:spacing w:after="0" w:line="49" w:lineRule="exact"/>
        <w:rPr>
          <w:sz w:val="20"/>
          <w:szCs w:val="20"/>
          <w:color w:val="auto"/>
        </w:rPr>
      </w:pPr>
    </w:p>
    <w:p>
      <w:pPr>
        <w:ind w:left="280"/>
        <w:spacing w:after="0"/>
        <w:tabs>
          <w:tab w:leader="none" w:pos="7860" w:val="left"/>
        </w:tabs>
        <w:rPr>
          <w:sz w:val="20"/>
          <w:szCs w:val="20"/>
          <w:color w:val="auto"/>
        </w:rPr>
      </w:pPr>
      <w:r>
        <w:rPr>
          <w:rFonts w:ascii="Arial" w:cs="Arial" w:eastAsia="Arial" w:hAnsi="Arial"/>
          <w:sz w:val="18"/>
          <w:szCs w:val="18"/>
          <w:color w:val="auto"/>
        </w:rPr>
        <w:t>Date: May 5, 2014</w:t>
      </w:r>
      <w:r>
        <w:rPr>
          <w:sz w:val="20"/>
          <w:szCs w:val="20"/>
          <w:color w:val="auto"/>
        </w:rPr>
        <w:tab/>
      </w:r>
      <w:r>
        <w:rPr>
          <w:rFonts w:ascii="Arial" w:cs="Arial" w:eastAsia="Arial" w:hAnsi="Arial"/>
          <w:sz w:val="17"/>
          <w:szCs w:val="17"/>
          <w:color w:val="auto"/>
        </w:rPr>
        <w:t>/s/ JAY SUGARMAN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347345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57" w:lineRule="exact"/>
        <w:rPr>
          <w:sz w:val="20"/>
          <w:szCs w:val="20"/>
          <w:color w:val="auto"/>
        </w:rPr>
      </w:pPr>
    </w:p>
    <w:p>
      <w:pPr>
        <w:jc w:val="center"/>
        <w:ind w:left="5940"/>
        <w:spacing w:after="0"/>
        <w:rPr>
          <w:sz w:val="20"/>
          <w:szCs w:val="20"/>
          <w:color w:val="auto"/>
        </w:rPr>
      </w:pPr>
      <w:r>
        <w:rPr>
          <w:rFonts w:ascii="Arial" w:cs="Arial" w:eastAsia="Arial" w:hAnsi="Arial"/>
          <w:sz w:val="18"/>
          <w:szCs w:val="18"/>
          <w:color w:val="auto"/>
        </w:rPr>
        <w:t>Jay Sugarman</w:t>
      </w:r>
    </w:p>
    <w:p>
      <w:pPr>
        <w:spacing w:after="0" w:line="23" w:lineRule="exact"/>
        <w:rPr>
          <w:sz w:val="20"/>
          <w:szCs w:val="20"/>
          <w:color w:val="auto"/>
        </w:rPr>
      </w:pPr>
    </w:p>
    <w:p>
      <w:pPr>
        <w:jc w:val="center"/>
        <w:ind w:left="5980"/>
        <w:spacing w:after="0"/>
        <w:rPr>
          <w:sz w:val="20"/>
          <w:szCs w:val="20"/>
          <w:color w:val="auto"/>
        </w:rPr>
      </w:pPr>
      <w:r>
        <w:rPr>
          <w:rFonts w:ascii="Arial" w:cs="Arial" w:eastAsia="Arial" w:hAnsi="Arial"/>
          <w:sz w:val="18"/>
          <w:szCs w:val="18"/>
          <w:i w:val="1"/>
          <w:iCs w:val="1"/>
          <w:color w:val="auto"/>
        </w:rPr>
        <w:t>Chairman of the Board of Directors and Chief</w:t>
      </w:r>
    </w:p>
    <w:p>
      <w:pPr>
        <w:spacing w:after="0" w:line="9" w:lineRule="exact"/>
        <w:rPr>
          <w:sz w:val="20"/>
          <w:szCs w:val="20"/>
          <w:color w:val="auto"/>
        </w:rPr>
      </w:pPr>
    </w:p>
    <w:p>
      <w:pPr>
        <w:jc w:val="center"/>
        <w:ind w:left="5940"/>
        <w:spacing w:after="0"/>
        <w:rPr>
          <w:sz w:val="20"/>
          <w:szCs w:val="20"/>
          <w:color w:val="auto"/>
        </w:rPr>
      </w:pPr>
      <w:r>
        <w:rPr>
          <w:rFonts w:ascii="Arial" w:cs="Arial" w:eastAsia="Arial" w:hAnsi="Arial"/>
          <w:sz w:val="18"/>
          <w:szCs w:val="18"/>
          <w:i w:val="1"/>
          <w:iCs w:val="1"/>
          <w:color w:val="auto"/>
        </w:rPr>
        <w:t>Executive Officer (principal executive officer)</w:t>
      </w:r>
    </w:p>
    <w:p>
      <w:pPr>
        <w:spacing w:after="0" w:line="49"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iSTAR FINANCIAL INC.</w:t>
      </w:r>
    </w:p>
    <w:p>
      <w:pPr>
        <w:spacing w:after="0" w:line="23" w:lineRule="exact"/>
        <w:rPr>
          <w:sz w:val="20"/>
          <w:szCs w:val="20"/>
          <w:color w:val="auto"/>
        </w:rPr>
      </w:pPr>
    </w:p>
    <w:p>
      <w:pPr>
        <w:ind w:left="6020"/>
        <w:spacing w:after="0"/>
        <w:rPr>
          <w:sz w:val="20"/>
          <w:szCs w:val="20"/>
          <w:color w:val="auto"/>
        </w:rPr>
      </w:pPr>
      <w:r>
        <w:rPr>
          <w:rFonts w:ascii="Arial" w:cs="Arial" w:eastAsia="Arial" w:hAnsi="Arial"/>
          <w:sz w:val="18"/>
          <w:szCs w:val="18"/>
          <w:i w:val="1"/>
          <w:iCs w:val="1"/>
          <w:color w:val="auto"/>
        </w:rPr>
        <w:t>Registrant</w:t>
      </w:r>
    </w:p>
    <w:p>
      <w:pPr>
        <w:spacing w:after="0" w:line="49" w:lineRule="exact"/>
        <w:rPr>
          <w:sz w:val="20"/>
          <w:szCs w:val="20"/>
          <w:color w:val="auto"/>
        </w:rPr>
      </w:pPr>
    </w:p>
    <w:p>
      <w:pPr>
        <w:ind w:left="280"/>
        <w:spacing w:after="0"/>
        <w:tabs>
          <w:tab w:leader="none" w:pos="7760" w:val="left"/>
        </w:tabs>
        <w:rPr>
          <w:sz w:val="20"/>
          <w:szCs w:val="20"/>
          <w:color w:val="auto"/>
        </w:rPr>
      </w:pPr>
      <w:r>
        <w:rPr>
          <w:rFonts w:ascii="Arial" w:cs="Arial" w:eastAsia="Arial" w:hAnsi="Arial"/>
          <w:sz w:val="18"/>
          <w:szCs w:val="18"/>
          <w:color w:val="auto"/>
        </w:rPr>
        <w:t>Date: May 5, 2014</w:t>
      </w:r>
      <w:r>
        <w:rPr>
          <w:sz w:val="20"/>
          <w:szCs w:val="20"/>
          <w:color w:val="auto"/>
        </w:rPr>
        <w:tab/>
      </w:r>
      <w:r>
        <w:rPr>
          <w:rFonts w:ascii="Arial" w:cs="Arial" w:eastAsia="Arial" w:hAnsi="Arial"/>
          <w:sz w:val="17"/>
          <w:szCs w:val="17"/>
          <w:color w:val="auto"/>
        </w:rPr>
        <w:t>/s/ DAVID M. DISTASO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34734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57" w:lineRule="exact"/>
        <w:rPr>
          <w:sz w:val="20"/>
          <w:szCs w:val="20"/>
          <w:color w:val="auto"/>
        </w:rPr>
      </w:pPr>
    </w:p>
    <w:p>
      <w:pPr>
        <w:jc w:val="center"/>
        <w:ind w:left="5940"/>
        <w:spacing w:after="0"/>
        <w:rPr>
          <w:sz w:val="20"/>
          <w:szCs w:val="20"/>
          <w:color w:val="auto"/>
        </w:rPr>
      </w:pPr>
      <w:r>
        <w:rPr>
          <w:rFonts w:ascii="Arial" w:cs="Arial" w:eastAsia="Arial" w:hAnsi="Arial"/>
          <w:sz w:val="18"/>
          <w:szCs w:val="18"/>
          <w:color w:val="auto"/>
        </w:rPr>
        <w:t>David M. DiStaso</w:t>
      </w:r>
    </w:p>
    <w:p>
      <w:pPr>
        <w:spacing w:after="0" w:line="23" w:lineRule="exact"/>
        <w:rPr>
          <w:sz w:val="20"/>
          <w:szCs w:val="20"/>
          <w:color w:val="auto"/>
        </w:rPr>
      </w:pPr>
    </w:p>
    <w:p>
      <w:pPr>
        <w:jc w:val="center"/>
        <w:ind w:left="5980"/>
        <w:spacing w:after="0"/>
        <w:rPr>
          <w:sz w:val="20"/>
          <w:szCs w:val="20"/>
          <w:color w:val="auto"/>
        </w:rPr>
      </w:pPr>
      <w:r>
        <w:rPr>
          <w:rFonts w:ascii="Arial" w:cs="Arial" w:eastAsia="Arial" w:hAnsi="Arial"/>
          <w:sz w:val="18"/>
          <w:szCs w:val="18"/>
          <w:i w:val="1"/>
          <w:iCs w:val="1"/>
          <w:color w:val="auto"/>
        </w:rPr>
        <w:t>Chief Financial Officer (principal financial and</w:t>
      </w:r>
    </w:p>
    <w:p>
      <w:pPr>
        <w:spacing w:after="0" w:line="9" w:lineRule="exact"/>
        <w:rPr>
          <w:sz w:val="20"/>
          <w:szCs w:val="20"/>
          <w:color w:val="auto"/>
        </w:rPr>
      </w:pPr>
    </w:p>
    <w:p>
      <w:pPr>
        <w:jc w:val="center"/>
        <w:ind w:left="5940"/>
        <w:spacing w:after="0"/>
        <w:rPr>
          <w:sz w:val="20"/>
          <w:szCs w:val="20"/>
          <w:color w:val="auto"/>
        </w:rPr>
      </w:pPr>
      <w:r>
        <w:rPr>
          <w:rFonts w:ascii="Arial" w:cs="Arial" w:eastAsia="Arial" w:hAnsi="Arial"/>
          <w:sz w:val="18"/>
          <w:szCs w:val="18"/>
          <w:i w:val="1"/>
          <w:iCs w:val="1"/>
          <w:color w:val="auto"/>
        </w:rPr>
        <w:t>accounting officer)</w:t>
      </w: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125" w:right="25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31.0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Jay Sugarman, certify that:</w:t>
      </w:r>
    </w:p>
    <w:p>
      <w:pPr>
        <w:spacing w:after="0" w:line="171" w:lineRule="exact"/>
        <w:rPr>
          <w:sz w:val="20"/>
          <w:szCs w:val="20"/>
          <w:color w:val="auto"/>
        </w:rPr>
      </w:pPr>
    </w:p>
    <w:p>
      <w:pPr>
        <w:ind w:left="520" w:hanging="188"/>
        <w:spacing w:after="0"/>
        <w:tabs>
          <w:tab w:leader="none" w:pos="5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iStar Financial Inc.;</w:t>
      </w:r>
    </w:p>
    <w:p>
      <w:pPr>
        <w:spacing w:after="0" w:line="171" w:lineRule="exact"/>
        <w:rPr>
          <w:rFonts w:ascii="Arial" w:cs="Arial" w:eastAsia="Arial" w:hAnsi="Arial"/>
          <w:sz w:val="18"/>
          <w:szCs w:val="18"/>
          <w:color w:val="auto"/>
        </w:rPr>
      </w:pPr>
    </w:p>
    <w:p>
      <w:pPr>
        <w:jc w:val="both"/>
        <w:ind w:right="440" w:firstLine="332"/>
        <w:spacing w:after="0" w:line="342" w:lineRule="auto"/>
        <w:tabs>
          <w:tab w:leader="none" w:pos="504" w:val="left"/>
        </w:tabs>
        <w:numPr>
          <w:ilvl w:val="0"/>
          <w:numId w:val="2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400" w:firstLine="332"/>
        <w:spacing w:after="0" w:line="277" w:lineRule="auto"/>
        <w:tabs>
          <w:tab w:leader="none" w:pos="504"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right="260" w:firstLine="332"/>
        <w:spacing w:after="0" w:line="264" w:lineRule="auto"/>
        <w:tabs>
          <w:tab w:leader="none" w:pos="504"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340" w:right="300" w:firstLine="316"/>
        <w:spacing w:after="0" w:line="264" w:lineRule="auto"/>
        <w:tabs>
          <w:tab w:leader="none" w:pos="909"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340" w:right="560" w:firstLine="316"/>
        <w:spacing w:after="0" w:line="264" w:lineRule="auto"/>
        <w:tabs>
          <w:tab w:leader="none" w:pos="919"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340" w:right="840" w:firstLine="316"/>
        <w:spacing w:after="0" w:line="342" w:lineRule="auto"/>
        <w:tabs>
          <w:tab w:leader="none" w:pos="909" w:val="left"/>
        </w:tabs>
        <w:numPr>
          <w:ilvl w:val="1"/>
          <w:numId w:val="2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340" w:right="100" w:firstLine="316"/>
        <w:spacing w:after="0" w:line="264" w:lineRule="auto"/>
        <w:tabs>
          <w:tab w:leader="none" w:pos="919" w:val="left"/>
        </w:tabs>
        <w:numPr>
          <w:ilvl w:val="1"/>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right="340" w:firstLine="332"/>
        <w:spacing w:after="0" w:line="308" w:lineRule="auto"/>
        <w:tabs>
          <w:tab w:leader="none" w:pos="504"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340" w:right="200" w:firstLine="316"/>
        <w:spacing w:after="0" w:line="277" w:lineRule="auto"/>
        <w:tabs>
          <w:tab w:leader="none" w:pos="909" w:val="left"/>
        </w:tabs>
        <w:numPr>
          <w:ilvl w:val="1"/>
          <w:numId w:val="2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340" w:right="180" w:firstLine="316"/>
        <w:spacing w:after="0" w:line="277" w:lineRule="auto"/>
        <w:tabs>
          <w:tab w:leader="none" w:pos="919"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600" w:type="dxa"/>
            <w:vAlign w:val="bottom"/>
          </w:tcPr>
          <w:p>
            <w:pPr>
              <w:spacing w:after="0"/>
              <w:rPr>
                <w:sz w:val="20"/>
                <w:szCs w:val="20"/>
                <w:color w:val="auto"/>
              </w:rPr>
            </w:pPr>
            <w:r>
              <w:rPr>
                <w:rFonts w:ascii="Arial" w:cs="Arial" w:eastAsia="Arial" w:hAnsi="Arial"/>
                <w:sz w:val="18"/>
                <w:szCs w:val="18"/>
                <w:color w:val="auto"/>
              </w:rPr>
              <w:t>Date:  May 5, 2014</w:t>
            </w:r>
          </w:p>
        </w:tc>
        <w:tc>
          <w:tcPr>
            <w:tcW w:w="7780" w:type="dxa"/>
            <w:vAlign w:val="bottom"/>
            <w:gridSpan w:val="3"/>
          </w:tcPr>
          <w:p>
            <w:pPr>
              <w:ind w:left="2120"/>
              <w:spacing w:after="0"/>
              <w:rPr>
                <w:sz w:val="20"/>
                <w:szCs w:val="20"/>
                <w:color w:val="auto"/>
              </w:rPr>
            </w:pPr>
            <w:r>
              <w:rPr>
                <w:rFonts w:ascii="Arial" w:cs="Arial" w:eastAsia="Arial" w:hAnsi="Arial"/>
                <w:sz w:val="18"/>
                <w:szCs w:val="18"/>
                <w:color w:val="auto"/>
              </w:rPr>
              <w:t>By:    /s/ JAY SUGARMAN</w:t>
            </w:r>
          </w:p>
        </w:tc>
      </w:tr>
      <w:tr>
        <w:trPr>
          <w:trHeight w:val="27"/>
        </w:trPr>
        <w:tc>
          <w:tcPr>
            <w:tcW w:w="36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400" w:type="dxa"/>
            <w:vAlign w:val="bottom"/>
            <w:tcBorders>
              <w:bottom w:val="single" w:sz="8" w:color="auto"/>
            </w:tcBorders>
          </w:tcPr>
          <w:p>
            <w:pPr>
              <w:spacing w:after="0"/>
              <w:rPr>
                <w:sz w:val="2"/>
                <w:szCs w:val="2"/>
                <w:color w:val="auto"/>
              </w:rPr>
            </w:pPr>
          </w:p>
        </w:tc>
      </w:tr>
      <w:tr>
        <w:trPr>
          <w:trHeight w:val="237"/>
        </w:trPr>
        <w:tc>
          <w:tcPr>
            <w:tcW w:w="360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720" w:type="dxa"/>
            <w:vAlign w:val="bottom"/>
          </w:tcPr>
          <w:p>
            <w:pPr>
              <w:ind w:left="20"/>
              <w:spacing w:after="0"/>
              <w:rPr>
                <w:sz w:val="20"/>
                <w:szCs w:val="20"/>
                <w:color w:val="auto"/>
              </w:rPr>
            </w:pPr>
            <w:r>
              <w:rPr>
                <w:rFonts w:ascii="Arial" w:cs="Arial" w:eastAsia="Arial" w:hAnsi="Arial"/>
                <w:sz w:val="18"/>
                <w:szCs w:val="18"/>
                <w:color w:val="auto"/>
              </w:rPr>
              <w:t>Name:</w:t>
            </w:r>
          </w:p>
        </w:tc>
        <w:tc>
          <w:tcPr>
            <w:tcW w:w="4400" w:type="dxa"/>
            <w:vAlign w:val="bottom"/>
          </w:tcPr>
          <w:p>
            <w:pPr>
              <w:ind w:left="220"/>
              <w:spacing w:after="0"/>
              <w:rPr>
                <w:sz w:val="20"/>
                <w:szCs w:val="20"/>
                <w:color w:val="auto"/>
              </w:rPr>
            </w:pPr>
            <w:r>
              <w:rPr>
                <w:rFonts w:ascii="Arial" w:cs="Arial" w:eastAsia="Arial" w:hAnsi="Arial"/>
                <w:sz w:val="18"/>
                <w:szCs w:val="18"/>
                <w:color w:val="auto"/>
              </w:rPr>
              <w:t>Jay Sugarman</w:t>
            </w:r>
          </w:p>
        </w:tc>
      </w:tr>
      <w:tr>
        <w:trPr>
          <w:trHeight w:val="270"/>
        </w:trPr>
        <w:tc>
          <w:tcPr>
            <w:tcW w:w="3600" w:type="dxa"/>
            <w:vAlign w:val="bottom"/>
          </w:tcPr>
          <w:p>
            <w:pPr>
              <w:spacing w:after="0"/>
              <w:rPr>
                <w:sz w:val="23"/>
                <w:szCs w:val="23"/>
                <w:color w:val="auto"/>
              </w:rPr>
            </w:pPr>
          </w:p>
        </w:tc>
        <w:tc>
          <w:tcPr>
            <w:tcW w:w="2660" w:type="dxa"/>
            <w:vAlign w:val="bottom"/>
          </w:tcPr>
          <w:p>
            <w:pPr>
              <w:spacing w:after="0"/>
              <w:rPr>
                <w:sz w:val="23"/>
                <w:szCs w:val="23"/>
                <w:color w:val="auto"/>
              </w:rPr>
            </w:pPr>
          </w:p>
        </w:tc>
        <w:tc>
          <w:tcPr>
            <w:tcW w:w="720" w:type="dxa"/>
            <w:vAlign w:val="bottom"/>
          </w:tcPr>
          <w:p>
            <w:pPr>
              <w:ind w:left="20"/>
              <w:spacing w:after="0"/>
              <w:rPr>
                <w:sz w:val="20"/>
                <w:szCs w:val="20"/>
                <w:color w:val="auto"/>
              </w:rPr>
            </w:pPr>
            <w:r>
              <w:rPr>
                <w:rFonts w:ascii="Arial" w:cs="Arial" w:eastAsia="Arial" w:hAnsi="Arial"/>
                <w:sz w:val="18"/>
                <w:szCs w:val="18"/>
                <w:color w:val="auto"/>
              </w:rPr>
              <w:t>Title:</w:t>
            </w:r>
          </w:p>
        </w:tc>
        <w:tc>
          <w:tcPr>
            <w:tcW w:w="4400" w:type="dxa"/>
            <w:vAlign w:val="bottom"/>
          </w:tcPr>
          <w:p>
            <w:pPr>
              <w:ind w:left="220"/>
              <w:spacing w:after="0"/>
              <w:rPr>
                <w:sz w:val="20"/>
                <w:szCs w:val="20"/>
                <w:color w:val="auto"/>
              </w:rPr>
            </w:pPr>
            <w:r>
              <w:rPr>
                <w:rFonts w:ascii="Arial" w:cs="Arial" w:eastAsia="Arial" w:hAnsi="Arial"/>
                <w:sz w:val="18"/>
                <w:szCs w:val="18"/>
                <w:i w:val="1"/>
                <w:iCs w:val="1"/>
                <w:color w:val="auto"/>
              </w:rPr>
              <w:t>Chief Executive Officer</w:t>
            </w:r>
          </w:p>
        </w:tc>
      </w:tr>
    </w:tbl>
    <w:p>
      <w:pPr>
        <w:sectPr>
          <w:pgSz w:w="11900" w:h="16838" w:orient="portrait"/>
          <w:cols w:equalWidth="0" w:num="1">
            <w:col w:w="11420"/>
          </w:cols>
          <w:pgMar w:left="240" w:top="202" w:right="239"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David DiStaso, certify that:</w:t>
      </w:r>
    </w:p>
    <w:p>
      <w:pPr>
        <w:spacing w:after="0" w:line="171" w:lineRule="exact"/>
        <w:rPr>
          <w:sz w:val="20"/>
          <w:szCs w:val="20"/>
          <w:color w:val="auto"/>
        </w:rPr>
      </w:pPr>
    </w:p>
    <w:p>
      <w:pPr>
        <w:ind w:left="520" w:hanging="188"/>
        <w:spacing w:after="0"/>
        <w:tabs>
          <w:tab w:leader="none" w:pos="5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iStar Financial Inc.;</w:t>
      </w:r>
    </w:p>
    <w:p>
      <w:pPr>
        <w:spacing w:after="0" w:line="171" w:lineRule="exact"/>
        <w:rPr>
          <w:rFonts w:ascii="Arial" w:cs="Arial" w:eastAsia="Arial" w:hAnsi="Arial"/>
          <w:sz w:val="18"/>
          <w:szCs w:val="18"/>
          <w:color w:val="auto"/>
        </w:rPr>
      </w:pPr>
    </w:p>
    <w:p>
      <w:pPr>
        <w:jc w:val="both"/>
        <w:ind w:right="440" w:firstLine="332"/>
        <w:spacing w:after="0" w:line="342" w:lineRule="auto"/>
        <w:tabs>
          <w:tab w:leader="none" w:pos="504" w:val="left"/>
        </w:tabs>
        <w:numPr>
          <w:ilvl w:val="0"/>
          <w:numId w:val="2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400" w:firstLine="332"/>
        <w:spacing w:after="0" w:line="277" w:lineRule="auto"/>
        <w:tabs>
          <w:tab w:leader="none" w:pos="504"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right="260" w:firstLine="332"/>
        <w:spacing w:after="0" w:line="264" w:lineRule="auto"/>
        <w:tabs>
          <w:tab w:leader="none" w:pos="504"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340" w:right="300" w:firstLine="316"/>
        <w:spacing w:after="0" w:line="264" w:lineRule="auto"/>
        <w:tabs>
          <w:tab w:leader="none" w:pos="909"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340" w:right="560" w:firstLine="316"/>
        <w:spacing w:after="0" w:line="264" w:lineRule="auto"/>
        <w:tabs>
          <w:tab w:leader="none" w:pos="919"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340" w:right="840" w:firstLine="316"/>
        <w:spacing w:after="0" w:line="342" w:lineRule="auto"/>
        <w:tabs>
          <w:tab w:leader="none" w:pos="909" w:val="left"/>
        </w:tabs>
        <w:numPr>
          <w:ilvl w:val="1"/>
          <w:numId w:val="2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340" w:right="100" w:firstLine="316"/>
        <w:spacing w:after="0" w:line="264" w:lineRule="auto"/>
        <w:tabs>
          <w:tab w:leader="none" w:pos="919" w:val="left"/>
        </w:tabs>
        <w:numPr>
          <w:ilvl w:val="1"/>
          <w:numId w:val="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right="340" w:firstLine="332"/>
        <w:spacing w:after="0" w:line="308" w:lineRule="auto"/>
        <w:tabs>
          <w:tab w:leader="none" w:pos="504"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340" w:right="200" w:firstLine="316"/>
        <w:spacing w:after="0" w:line="277" w:lineRule="auto"/>
        <w:tabs>
          <w:tab w:leader="none" w:pos="909" w:val="left"/>
        </w:tabs>
        <w:numPr>
          <w:ilvl w:val="1"/>
          <w:numId w:val="2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340" w:right="180" w:firstLine="316"/>
        <w:spacing w:after="0" w:line="277" w:lineRule="auto"/>
        <w:tabs>
          <w:tab w:leader="none" w:pos="919"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600" w:type="dxa"/>
            <w:vAlign w:val="bottom"/>
          </w:tcPr>
          <w:p>
            <w:pPr>
              <w:spacing w:after="0"/>
              <w:rPr>
                <w:sz w:val="20"/>
                <w:szCs w:val="20"/>
                <w:color w:val="auto"/>
              </w:rPr>
            </w:pPr>
            <w:r>
              <w:rPr>
                <w:rFonts w:ascii="Arial" w:cs="Arial" w:eastAsia="Arial" w:hAnsi="Arial"/>
                <w:sz w:val="18"/>
                <w:szCs w:val="18"/>
                <w:color w:val="auto"/>
              </w:rPr>
              <w:t>Date:  May 5, 2014</w:t>
            </w:r>
          </w:p>
        </w:tc>
        <w:tc>
          <w:tcPr>
            <w:tcW w:w="7780" w:type="dxa"/>
            <w:vAlign w:val="bottom"/>
            <w:gridSpan w:val="3"/>
          </w:tcPr>
          <w:p>
            <w:pPr>
              <w:ind w:left="2120"/>
              <w:spacing w:after="0"/>
              <w:rPr>
                <w:sz w:val="20"/>
                <w:szCs w:val="20"/>
                <w:color w:val="auto"/>
              </w:rPr>
            </w:pPr>
            <w:r>
              <w:rPr>
                <w:rFonts w:ascii="Arial" w:cs="Arial" w:eastAsia="Arial" w:hAnsi="Arial"/>
                <w:sz w:val="18"/>
                <w:szCs w:val="18"/>
                <w:color w:val="auto"/>
              </w:rPr>
              <w:t>By:    /s/ DAVID M. DISTASO</w:t>
            </w:r>
          </w:p>
        </w:tc>
        <w:tc>
          <w:tcPr>
            <w:tcW w:w="0" w:type="dxa"/>
            <w:vAlign w:val="bottom"/>
          </w:tcPr>
          <w:p>
            <w:pPr>
              <w:spacing w:after="0"/>
              <w:rPr>
                <w:sz w:val="1"/>
                <w:szCs w:val="1"/>
                <w:color w:val="auto"/>
              </w:rPr>
            </w:pPr>
          </w:p>
        </w:tc>
      </w:tr>
      <w:tr>
        <w:trPr>
          <w:trHeight w:val="27"/>
        </w:trPr>
        <w:tc>
          <w:tcPr>
            <w:tcW w:w="36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0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720" w:type="dxa"/>
            <w:vAlign w:val="bottom"/>
          </w:tcPr>
          <w:p>
            <w:pPr>
              <w:ind w:left="20"/>
              <w:spacing w:after="0"/>
              <w:rPr>
                <w:sz w:val="20"/>
                <w:szCs w:val="20"/>
                <w:color w:val="auto"/>
              </w:rPr>
            </w:pPr>
            <w:r>
              <w:rPr>
                <w:rFonts w:ascii="Arial" w:cs="Arial" w:eastAsia="Arial" w:hAnsi="Arial"/>
                <w:sz w:val="18"/>
                <w:szCs w:val="18"/>
                <w:color w:val="auto"/>
              </w:rPr>
              <w:t>Name:</w:t>
            </w:r>
          </w:p>
        </w:tc>
        <w:tc>
          <w:tcPr>
            <w:tcW w:w="4400" w:type="dxa"/>
            <w:vAlign w:val="bottom"/>
          </w:tcPr>
          <w:p>
            <w:pPr>
              <w:ind w:left="220"/>
              <w:spacing w:after="0"/>
              <w:rPr>
                <w:sz w:val="20"/>
                <w:szCs w:val="20"/>
                <w:color w:val="auto"/>
              </w:rPr>
            </w:pPr>
            <w:r>
              <w:rPr>
                <w:rFonts w:ascii="Arial" w:cs="Arial" w:eastAsia="Arial" w:hAnsi="Arial"/>
                <w:sz w:val="18"/>
                <w:szCs w:val="18"/>
                <w:color w:val="auto"/>
              </w:rPr>
              <w:t>David M. DiStaso</w:t>
            </w:r>
          </w:p>
        </w:tc>
        <w:tc>
          <w:tcPr>
            <w:tcW w:w="0" w:type="dxa"/>
            <w:vAlign w:val="bottom"/>
          </w:tcPr>
          <w:p>
            <w:pPr>
              <w:spacing w:after="0"/>
              <w:rPr>
                <w:sz w:val="1"/>
                <w:szCs w:val="1"/>
                <w:color w:val="auto"/>
              </w:rPr>
            </w:pPr>
          </w:p>
        </w:tc>
      </w:tr>
      <w:tr>
        <w:trPr>
          <w:trHeight w:val="256"/>
        </w:trPr>
        <w:tc>
          <w:tcPr>
            <w:tcW w:w="3600" w:type="dxa"/>
            <w:vAlign w:val="bottom"/>
          </w:tcPr>
          <w:p>
            <w:pPr>
              <w:spacing w:after="0"/>
              <w:rPr>
                <w:sz w:val="22"/>
                <w:szCs w:val="22"/>
                <w:color w:val="auto"/>
              </w:rPr>
            </w:pPr>
          </w:p>
        </w:tc>
        <w:tc>
          <w:tcPr>
            <w:tcW w:w="2660" w:type="dxa"/>
            <w:vAlign w:val="bottom"/>
          </w:tcPr>
          <w:p>
            <w:pPr>
              <w:spacing w:after="0"/>
              <w:rPr>
                <w:sz w:val="22"/>
                <w:szCs w:val="22"/>
                <w:color w:val="auto"/>
              </w:rPr>
            </w:pPr>
          </w:p>
        </w:tc>
        <w:tc>
          <w:tcPr>
            <w:tcW w:w="720" w:type="dxa"/>
            <w:vAlign w:val="bottom"/>
            <w:vMerge w:val="restart"/>
          </w:tcPr>
          <w:p>
            <w:pPr>
              <w:ind w:left="20"/>
              <w:spacing w:after="0"/>
              <w:rPr>
                <w:sz w:val="20"/>
                <w:szCs w:val="20"/>
                <w:color w:val="auto"/>
              </w:rPr>
            </w:pPr>
            <w:r>
              <w:rPr>
                <w:rFonts w:ascii="Arial" w:cs="Arial" w:eastAsia="Arial" w:hAnsi="Arial"/>
                <w:sz w:val="18"/>
                <w:szCs w:val="18"/>
                <w:color w:val="auto"/>
              </w:rPr>
              <w:t>Title:</w:t>
            </w:r>
          </w:p>
        </w:tc>
        <w:tc>
          <w:tcPr>
            <w:tcW w:w="4400" w:type="dxa"/>
            <w:vAlign w:val="bottom"/>
          </w:tcPr>
          <w:p>
            <w:pPr>
              <w:ind w:left="220"/>
              <w:spacing w:after="0"/>
              <w:rPr>
                <w:sz w:val="20"/>
                <w:szCs w:val="20"/>
                <w:color w:val="auto"/>
              </w:rPr>
            </w:pPr>
            <w:r>
              <w:rPr>
                <w:rFonts w:ascii="Arial" w:cs="Arial" w:eastAsia="Arial" w:hAnsi="Arial"/>
                <w:sz w:val="18"/>
                <w:szCs w:val="18"/>
                <w:i w:val="1"/>
                <w:iCs w:val="1"/>
                <w:color w:val="auto"/>
              </w:rPr>
              <w:t>Chief Financial Officer (principal</w:t>
            </w:r>
          </w:p>
        </w:tc>
        <w:tc>
          <w:tcPr>
            <w:tcW w:w="0" w:type="dxa"/>
            <w:vAlign w:val="bottom"/>
          </w:tcPr>
          <w:p>
            <w:pPr>
              <w:spacing w:after="0"/>
              <w:rPr>
                <w:sz w:val="1"/>
                <w:szCs w:val="1"/>
                <w:color w:val="auto"/>
              </w:rPr>
            </w:pPr>
          </w:p>
        </w:tc>
      </w:tr>
      <w:tr>
        <w:trPr>
          <w:trHeight w:val="122"/>
        </w:trPr>
        <w:tc>
          <w:tcPr>
            <w:tcW w:w="3600" w:type="dxa"/>
            <w:vAlign w:val="bottom"/>
          </w:tcPr>
          <w:p>
            <w:pPr>
              <w:spacing w:after="0"/>
              <w:rPr>
                <w:sz w:val="10"/>
                <w:szCs w:val="10"/>
                <w:color w:val="auto"/>
              </w:rPr>
            </w:pPr>
          </w:p>
        </w:tc>
        <w:tc>
          <w:tcPr>
            <w:tcW w:w="266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4400" w:type="dxa"/>
            <w:vAlign w:val="bottom"/>
            <w:vMerge w:val="restart"/>
          </w:tcPr>
          <w:p>
            <w:pPr>
              <w:ind w:left="220"/>
              <w:spacing w:after="0"/>
              <w:rPr>
                <w:sz w:val="20"/>
                <w:szCs w:val="20"/>
                <w:color w:val="auto"/>
              </w:rPr>
            </w:pPr>
            <w:r>
              <w:rPr>
                <w:rFonts w:ascii="Arial" w:cs="Arial" w:eastAsia="Arial" w:hAnsi="Arial"/>
                <w:sz w:val="18"/>
                <w:szCs w:val="18"/>
                <w:i w:val="1"/>
                <w:iCs w:val="1"/>
                <w:color w:val="auto"/>
              </w:rPr>
              <w:t>financial and accounting officer)</w:t>
            </w:r>
          </w:p>
        </w:tc>
        <w:tc>
          <w:tcPr>
            <w:tcW w:w="0" w:type="dxa"/>
            <w:vAlign w:val="bottom"/>
          </w:tcPr>
          <w:p>
            <w:pPr>
              <w:spacing w:after="0"/>
              <w:rPr>
                <w:sz w:val="1"/>
                <w:szCs w:val="1"/>
                <w:color w:val="auto"/>
              </w:rPr>
            </w:pPr>
          </w:p>
        </w:tc>
      </w:tr>
      <w:tr>
        <w:trPr>
          <w:trHeight w:val="108"/>
        </w:trPr>
        <w:tc>
          <w:tcPr>
            <w:tcW w:w="3600" w:type="dxa"/>
            <w:vAlign w:val="bottom"/>
          </w:tcPr>
          <w:p>
            <w:pPr>
              <w:spacing w:after="0"/>
              <w:rPr>
                <w:sz w:val="9"/>
                <w:szCs w:val="9"/>
                <w:color w:val="auto"/>
              </w:rPr>
            </w:pPr>
          </w:p>
        </w:tc>
        <w:tc>
          <w:tcPr>
            <w:tcW w:w="266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02" w:right="2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32.0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undersigned, the Chief Executive Officer of iStar Financial Inc. (the "Company"), hereby certifies on the date hereof, pursuant to 18 U.S.C. 1350, as adopted pursuant to Section 906 of The Sarbanes-Oxley Act of 2002, that the Quarterly Report on Form 10-Q for the quarter ended March 31, 2014 (the "Form 10-Q"), filed concurrently herewith by the Company, fully complies with the requirements of Section 13(a) or 15(d) of the Securities Exchange Act of 1934, as amended, and that the information contained in the Form 10-Q fairly presents, in all material respects, the financial condition and results of operations of the Company.</w:t>
      </w:r>
    </w:p>
    <w:p>
      <w:pPr>
        <w:spacing w:after="0" w:line="215"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600" w:type="dxa"/>
            <w:vAlign w:val="bottom"/>
          </w:tcPr>
          <w:p>
            <w:pPr>
              <w:spacing w:after="0"/>
              <w:rPr>
                <w:sz w:val="20"/>
                <w:szCs w:val="20"/>
                <w:color w:val="auto"/>
              </w:rPr>
            </w:pPr>
            <w:r>
              <w:rPr>
                <w:rFonts w:ascii="Arial" w:cs="Arial" w:eastAsia="Arial" w:hAnsi="Arial"/>
                <w:sz w:val="18"/>
                <w:szCs w:val="18"/>
                <w:color w:val="auto"/>
              </w:rPr>
              <w:t>Date:  May 5, 2014</w:t>
            </w:r>
          </w:p>
        </w:tc>
        <w:tc>
          <w:tcPr>
            <w:tcW w:w="7780" w:type="dxa"/>
            <w:vAlign w:val="bottom"/>
            <w:gridSpan w:val="3"/>
          </w:tcPr>
          <w:p>
            <w:pPr>
              <w:ind w:left="2120"/>
              <w:spacing w:after="0"/>
              <w:rPr>
                <w:sz w:val="20"/>
                <w:szCs w:val="20"/>
                <w:color w:val="auto"/>
              </w:rPr>
            </w:pPr>
            <w:r>
              <w:rPr>
                <w:rFonts w:ascii="Arial" w:cs="Arial" w:eastAsia="Arial" w:hAnsi="Arial"/>
                <w:sz w:val="18"/>
                <w:szCs w:val="18"/>
                <w:color w:val="auto"/>
              </w:rPr>
              <w:t>By:    /s/ JAY SUGARMAN</w:t>
            </w:r>
          </w:p>
        </w:tc>
      </w:tr>
      <w:tr>
        <w:trPr>
          <w:trHeight w:val="27"/>
        </w:trPr>
        <w:tc>
          <w:tcPr>
            <w:tcW w:w="36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400" w:type="dxa"/>
            <w:vAlign w:val="bottom"/>
            <w:tcBorders>
              <w:bottom w:val="single" w:sz="8" w:color="auto"/>
            </w:tcBorders>
          </w:tcPr>
          <w:p>
            <w:pPr>
              <w:spacing w:after="0"/>
              <w:rPr>
                <w:sz w:val="2"/>
                <w:szCs w:val="2"/>
                <w:color w:val="auto"/>
              </w:rPr>
            </w:pPr>
          </w:p>
        </w:tc>
      </w:tr>
      <w:tr>
        <w:trPr>
          <w:trHeight w:val="237"/>
        </w:trPr>
        <w:tc>
          <w:tcPr>
            <w:tcW w:w="360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720" w:type="dxa"/>
            <w:vAlign w:val="bottom"/>
          </w:tcPr>
          <w:p>
            <w:pPr>
              <w:ind w:left="20"/>
              <w:spacing w:after="0"/>
              <w:rPr>
                <w:sz w:val="20"/>
                <w:szCs w:val="20"/>
                <w:color w:val="auto"/>
              </w:rPr>
            </w:pPr>
            <w:r>
              <w:rPr>
                <w:rFonts w:ascii="Arial" w:cs="Arial" w:eastAsia="Arial" w:hAnsi="Arial"/>
                <w:sz w:val="18"/>
                <w:szCs w:val="18"/>
                <w:color w:val="auto"/>
              </w:rPr>
              <w:t>Name:</w:t>
            </w:r>
          </w:p>
        </w:tc>
        <w:tc>
          <w:tcPr>
            <w:tcW w:w="4400" w:type="dxa"/>
            <w:vAlign w:val="bottom"/>
          </w:tcPr>
          <w:p>
            <w:pPr>
              <w:ind w:left="220"/>
              <w:spacing w:after="0"/>
              <w:rPr>
                <w:sz w:val="20"/>
                <w:szCs w:val="20"/>
                <w:color w:val="auto"/>
              </w:rPr>
            </w:pPr>
            <w:r>
              <w:rPr>
                <w:rFonts w:ascii="Arial" w:cs="Arial" w:eastAsia="Arial" w:hAnsi="Arial"/>
                <w:sz w:val="18"/>
                <w:szCs w:val="18"/>
                <w:color w:val="auto"/>
              </w:rPr>
              <w:t>Jay Sugarman</w:t>
            </w:r>
          </w:p>
        </w:tc>
      </w:tr>
      <w:tr>
        <w:trPr>
          <w:trHeight w:val="270"/>
        </w:trPr>
        <w:tc>
          <w:tcPr>
            <w:tcW w:w="3600" w:type="dxa"/>
            <w:vAlign w:val="bottom"/>
          </w:tcPr>
          <w:p>
            <w:pPr>
              <w:spacing w:after="0"/>
              <w:rPr>
                <w:sz w:val="23"/>
                <w:szCs w:val="23"/>
                <w:color w:val="auto"/>
              </w:rPr>
            </w:pPr>
          </w:p>
        </w:tc>
        <w:tc>
          <w:tcPr>
            <w:tcW w:w="2660" w:type="dxa"/>
            <w:vAlign w:val="bottom"/>
          </w:tcPr>
          <w:p>
            <w:pPr>
              <w:spacing w:after="0"/>
              <w:rPr>
                <w:sz w:val="23"/>
                <w:szCs w:val="23"/>
                <w:color w:val="auto"/>
              </w:rPr>
            </w:pPr>
          </w:p>
        </w:tc>
        <w:tc>
          <w:tcPr>
            <w:tcW w:w="720" w:type="dxa"/>
            <w:vAlign w:val="bottom"/>
          </w:tcPr>
          <w:p>
            <w:pPr>
              <w:ind w:left="20"/>
              <w:spacing w:after="0"/>
              <w:rPr>
                <w:sz w:val="20"/>
                <w:szCs w:val="20"/>
                <w:color w:val="auto"/>
              </w:rPr>
            </w:pPr>
            <w:r>
              <w:rPr>
                <w:rFonts w:ascii="Arial" w:cs="Arial" w:eastAsia="Arial" w:hAnsi="Arial"/>
                <w:sz w:val="18"/>
                <w:szCs w:val="18"/>
                <w:color w:val="auto"/>
              </w:rPr>
              <w:t>Title:</w:t>
            </w:r>
          </w:p>
        </w:tc>
        <w:tc>
          <w:tcPr>
            <w:tcW w:w="4400" w:type="dxa"/>
            <w:vAlign w:val="bottom"/>
          </w:tcPr>
          <w:p>
            <w:pPr>
              <w:ind w:left="220"/>
              <w:spacing w:after="0"/>
              <w:rPr>
                <w:sz w:val="20"/>
                <w:szCs w:val="20"/>
                <w:color w:val="auto"/>
              </w:rPr>
            </w:pPr>
            <w:r>
              <w:rPr>
                <w:rFonts w:ascii="Arial" w:cs="Arial" w:eastAsia="Arial" w:hAnsi="Arial"/>
                <w:sz w:val="18"/>
                <w:szCs w:val="18"/>
                <w:i w:val="1"/>
                <w:iCs w:val="1"/>
                <w:color w:val="auto"/>
              </w:rPr>
              <w:t>Chief Executive Officer</w:t>
            </w:r>
          </w:p>
        </w:tc>
      </w:tr>
    </w:tbl>
    <w:p>
      <w:pPr>
        <w:sectPr>
          <w:pgSz w:w="11900" w:h="16838" w:orient="portrait"/>
          <w:cols w:equalWidth="0" w:num="1">
            <w:col w:w="11420"/>
          </w:cols>
          <w:pgMar w:left="240" w:top="202" w:right="239" w:bottom="1440" w:gutter="0" w:footer="0" w:header="0"/>
        </w:sectPr>
      </w:pPr>
    </w:p>
    <w:bookmarkStart w:id="49" w:name="page50"/>
    <w:bookmarkEnd w:id="49"/>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undersigned, the Chief Financial Officer of iStar Financial Inc. (the "Company"), hereby certifies on the date hereof, pursuant to 18 U.S.C. 1350, as adopted pursuant to Section 906 of The Sarbanes-Oxley Act of 2002, that the Quarterly Report on Form 10-Q for the quarter ended March 31, 2014 (the "Form 10-Q"), filed concurrently herewith by the Company, fully complies with the requirements of Section 13(a) or 15(d) of the Securities Exchange Act of 1934, as amended, and that the information contained in the Form 10-Q fairly presents, in all material respects, the financial condition and results of operations of the Company.</w:t>
      </w:r>
    </w:p>
    <w:p>
      <w:pPr>
        <w:spacing w:after="0" w:line="215"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600" w:type="dxa"/>
            <w:vAlign w:val="bottom"/>
          </w:tcPr>
          <w:p>
            <w:pPr>
              <w:spacing w:after="0"/>
              <w:rPr>
                <w:sz w:val="20"/>
                <w:szCs w:val="20"/>
                <w:color w:val="auto"/>
              </w:rPr>
            </w:pPr>
            <w:r>
              <w:rPr>
                <w:rFonts w:ascii="Arial" w:cs="Arial" w:eastAsia="Arial" w:hAnsi="Arial"/>
                <w:sz w:val="18"/>
                <w:szCs w:val="18"/>
                <w:color w:val="auto"/>
              </w:rPr>
              <w:t>Date:  May 5, 2014</w:t>
            </w:r>
          </w:p>
        </w:tc>
        <w:tc>
          <w:tcPr>
            <w:tcW w:w="7780" w:type="dxa"/>
            <w:vAlign w:val="bottom"/>
            <w:gridSpan w:val="3"/>
          </w:tcPr>
          <w:p>
            <w:pPr>
              <w:ind w:left="2120"/>
              <w:spacing w:after="0"/>
              <w:rPr>
                <w:sz w:val="20"/>
                <w:szCs w:val="20"/>
                <w:color w:val="auto"/>
              </w:rPr>
            </w:pPr>
            <w:r>
              <w:rPr>
                <w:rFonts w:ascii="Arial" w:cs="Arial" w:eastAsia="Arial" w:hAnsi="Arial"/>
                <w:sz w:val="18"/>
                <w:szCs w:val="18"/>
                <w:color w:val="auto"/>
              </w:rPr>
              <w:t>By:    /s/ DAVID M. DISTASO</w:t>
            </w:r>
          </w:p>
        </w:tc>
        <w:tc>
          <w:tcPr>
            <w:tcW w:w="0" w:type="dxa"/>
            <w:vAlign w:val="bottom"/>
          </w:tcPr>
          <w:p>
            <w:pPr>
              <w:spacing w:after="0"/>
              <w:rPr>
                <w:sz w:val="1"/>
                <w:szCs w:val="1"/>
                <w:color w:val="auto"/>
              </w:rPr>
            </w:pPr>
          </w:p>
        </w:tc>
      </w:tr>
      <w:tr>
        <w:trPr>
          <w:trHeight w:val="27"/>
        </w:trPr>
        <w:tc>
          <w:tcPr>
            <w:tcW w:w="36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0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720" w:type="dxa"/>
            <w:vAlign w:val="bottom"/>
          </w:tcPr>
          <w:p>
            <w:pPr>
              <w:ind w:left="20"/>
              <w:spacing w:after="0"/>
              <w:rPr>
                <w:sz w:val="20"/>
                <w:szCs w:val="20"/>
                <w:color w:val="auto"/>
              </w:rPr>
            </w:pPr>
            <w:r>
              <w:rPr>
                <w:rFonts w:ascii="Arial" w:cs="Arial" w:eastAsia="Arial" w:hAnsi="Arial"/>
                <w:sz w:val="18"/>
                <w:szCs w:val="18"/>
                <w:color w:val="auto"/>
              </w:rPr>
              <w:t>Name:</w:t>
            </w:r>
          </w:p>
        </w:tc>
        <w:tc>
          <w:tcPr>
            <w:tcW w:w="4400" w:type="dxa"/>
            <w:vAlign w:val="bottom"/>
          </w:tcPr>
          <w:p>
            <w:pPr>
              <w:ind w:left="220"/>
              <w:spacing w:after="0"/>
              <w:rPr>
                <w:sz w:val="20"/>
                <w:szCs w:val="20"/>
                <w:color w:val="auto"/>
              </w:rPr>
            </w:pPr>
            <w:r>
              <w:rPr>
                <w:rFonts w:ascii="Arial" w:cs="Arial" w:eastAsia="Arial" w:hAnsi="Arial"/>
                <w:sz w:val="18"/>
                <w:szCs w:val="18"/>
                <w:color w:val="auto"/>
              </w:rPr>
              <w:t>David M. DiStaso</w:t>
            </w:r>
          </w:p>
        </w:tc>
        <w:tc>
          <w:tcPr>
            <w:tcW w:w="0" w:type="dxa"/>
            <w:vAlign w:val="bottom"/>
          </w:tcPr>
          <w:p>
            <w:pPr>
              <w:spacing w:after="0"/>
              <w:rPr>
                <w:sz w:val="1"/>
                <w:szCs w:val="1"/>
                <w:color w:val="auto"/>
              </w:rPr>
            </w:pPr>
          </w:p>
        </w:tc>
      </w:tr>
      <w:tr>
        <w:trPr>
          <w:trHeight w:val="256"/>
        </w:trPr>
        <w:tc>
          <w:tcPr>
            <w:tcW w:w="3600" w:type="dxa"/>
            <w:vAlign w:val="bottom"/>
          </w:tcPr>
          <w:p>
            <w:pPr>
              <w:spacing w:after="0"/>
              <w:rPr>
                <w:sz w:val="22"/>
                <w:szCs w:val="22"/>
                <w:color w:val="auto"/>
              </w:rPr>
            </w:pPr>
          </w:p>
        </w:tc>
        <w:tc>
          <w:tcPr>
            <w:tcW w:w="2660" w:type="dxa"/>
            <w:vAlign w:val="bottom"/>
          </w:tcPr>
          <w:p>
            <w:pPr>
              <w:spacing w:after="0"/>
              <w:rPr>
                <w:sz w:val="22"/>
                <w:szCs w:val="22"/>
                <w:color w:val="auto"/>
              </w:rPr>
            </w:pPr>
          </w:p>
        </w:tc>
        <w:tc>
          <w:tcPr>
            <w:tcW w:w="720" w:type="dxa"/>
            <w:vAlign w:val="bottom"/>
            <w:vMerge w:val="restart"/>
          </w:tcPr>
          <w:p>
            <w:pPr>
              <w:ind w:left="20"/>
              <w:spacing w:after="0"/>
              <w:rPr>
                <w:sz w:val="20"/>
                <w:szCs w:val="20"/>
                <w:color w:val="auto"/>
              </w:rPr>
            </w:pPr>
            <w:r>
              <w:rPr>
                <w:rFonts w:ascii="Arial" w:cs="Arial" w:eastAsia="Arial" w:hAnsi="Arial"/>
                <w:sz w:val="18"/>
                <w:szCs w:val="18"/>
                <w:color w:val="auto"/>
              </w:rPr>
              <w:t>Title:</w:t>
            </w:r>
          </w:p>
        </w:tc>
        <w:tc>
          <w:tcPr>
            <w:tcW w:w="4400" w:type="dxa"/>
            <w:vAlign w:val="bottom"/>
          </w:tcPr>
          <w:p>
            <w:pPr>
              <w:ind w:left="220"/>
              <w:spacing w:after="0"/>
              <w:rPr>
                <w:sz w:val="20"/>
                <w:szCs w:val="20"/>
                <w:color w:val="auto"/>
              </w:rPr>
            </w:pPr>
            <w:r>
              <w:rPr>
                <w:rFonts w:ascii="Arial" w:cs="Arial" w:eastAsia="Arial" w:hAnsi="Arial"/>
                <w:sz w:val="18"/>
                <w:szCs w:val="18"/>
                <w:i w:val="1"/>
                <w:iCs w:val="1"/>
                <w:color w:val="auto"/>
              </w:rPr>
              <w:t>Chief Financial Officer (principal</w:t>
            </w:r>
          </w:p>
        </w:tc>
        <w:tc>
          <w:tcPr>
            <w:tcW w:w="0" w:type="dxa"/>
            <w:vAlign w:val="bottom"/>
          </w:tcPr>
          <w:p>
            <w:pPr>
              <w:spacing w:after="0"/>
              <w:rPr>
                <w:sz w:val="1"/>
                <w:szCs w:val="1"/>
                <w:color w:val="auto"/>
              </w:rPr>
            </w:pPr>
          </w:p>
        </w:tc>
      </w:tr>
      <w:tr>
        <w:trPr>
          <w:trHeight w:val="122"/>
        </w:trPr>
        <w:tc>
          <w:tcPr>
            <w:tcW w:w="3600" w:type="dxa"/>
            <w:vAlign w:val="bottom"/>
          </w:tcPr>
          <w:p>
            <w:pPr>
              <w:spacing w:after="0"/>
              <w:rPr>
                <w:sz w:val="10"/>
                <w:szCs w:val="10"/>
                <w:color w:val="auto"/>
              </w:rPr>
            </w:pPr>
          </w:p>
        </w:tc>
        <w:tc>
          <w:tcPr>
            <w:tcW w:w="266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4400" w:type="dxa"/>
            <w:vAlign w:val="bottom"/>
            <w:vMerge w:val="restart"/>
          </w:tcPr>
          <w:p>
            <w:pPr>
              <w:ind w:left="220"/>
              <w:spacing w:after="0"/>
              <w:rPr>
                <w:sz w:val="20"/>
                <w:szCs w:val="20"/>
                <w:color w:val="auto"/>
              </w:rPr>
            </w:pPr>
            <w:r>
              <w:rPr>
                <w:rFonts w:ascii="Arial" w:cs="Arial" w:eastAsia="Arial" w:hAnsi="Arial"/>
                <w:sz w:val="18"/>
                <w:szCs w:val="18"/>
                <w:i w:val="1"/>
                <w:iCs w:val="1"/>
                <w:color w:val="auto"/>
              </w:rPr>
              <w:t>financial and accounting officer)</w:t>
            </w:r>
          </w:p>
        </w:tc>
        <w:tc>
          <w:tcPr>
            <w:tcW w:w="0" w:type="dxa"/>
            <w:vAlign w:val="bottom"/>
          </w:tcPr>
          <w:p>
            <w:pPr>
              <w:spacing w:after="0"/>
              <w:rPr>
                <w:sz w:val="1"/>
                <w:szCs w:val="1"/>
                <w:color w:val="auto"/>
              </w:rPr>
            </w:pPr>
          </w:p>
        </w:tc>
      </w:tr>
      <w:tr>
        <w:trPr>
          <w:trHeight w:val="108"/>
        </w:trPr>
        <w:tc>
          <w:tcPr>
            <w:tcW w:w="3600" w:type="dxa"/>
            <w:vAlign w:val="bottom"/>
          </w:tcPr>
          <w:p>
            <w:pPr>
              <w:spacing w:after="0"/>
              <w:rPr>
                <w:sz w:val="9"/>
                <w:szCs w:val="9"/>
                <w:color w:val="auto"/>
              </w:rPr>
            </w:pPr>
          </w:p>
        </w:tc>
        <w:tc>
          <w:tcPr>
            <w:tcW w:w="266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20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o"/>
      <w:numFmt w:val="bullet"/>
      <w:start w:val="1"/>
    </w:lvl>
  </w:abstractNum>
  <w:abstractNum w:abstractNumId="2">
    <w:nsid w:val="6B68079A"/>
    <w:multiLevelType w:val="hybridMultilevel"/>
    <w:lvl w:ilvl="0">
      <w:lvlJc w:val="left"/>
      <w:lvlText w:val="(%1)"/>
      <w:numFmt w:val="decimal"/>
      <w:start w:val="1"/>
    </w:lvl>
  </w:abstractNum>
  <w:abstractNum w:abstractNumId="3">
    <w:nsid w:val="4E6AFB66"/>
    <w:multiLevelType w:val="hybridMultilevel"/>
    <w:lvl w:ilvl="0">
      <w:lvlJc w:val="left"/>
      <w:lvlText w:val="(%1)"/>
      <w:numFmt w:val="decimal"/>
      <w:start w:val="1"/>
    </w:lvl>
  </w:abstractNum>
  <w:abstractNum w:abstractNumId="4">
    <w:nsid w:val="25E45D32"/>
    <w:multiLevelType w:val="hybridMultilevel"/>
    <w:lvl w:ilvl="0">
      <w:lvlJc w:val="left"/>
      <w:lvlText w:val="(%1)"/>
      <w:numFmt w:val="decimal"/>
      <w:start w:val="1"/>
    </w:lvl>
  </w:abstractNum>
  <w:abstractNum w:abstractNumId="5">
    <w:nsid w:val="519B500D"/>
    <w:multiLevelType w:val="hybridMultilevel"/>
    <w:lvl w:ilvl="0">
      <w:lvlJc w:val="left"/>
      <w:lvlText w:val="(%1)"/>
      <w:numFmt w:val="decimal"/>
      <w:start w:val="1"/>
    </w:lvl>
  </w:abstractNum>
  <w:abstractNum w:abstractNumId="6">
    <w:nsid w:val="431BD7B7"/>
    <w:multiLevelType w:val="hybridMultilevel"/>
    <w:lvl w:ilvl="0">
      <w:lvlJc w:val="left"/>
      <w:lvlText w:val="(%1)"/>
      <w:numFmt w:val="decimal"/>
      <w:start w:val="1"/>
    </w:lvl>
  </w:abstractNum>
  <w:abstractNum w:abstractNumId="7">
    <w:nsid w:val="3F2DBA31"/>
    <w:multiLevelType w:val="hybridMultilevel"/>
    <w:lvl w:ilvl="0">
      <w:lvlJc w:val="left"/>
      <w:lvlText w:val="(%1)"/>
      <w:numFmt w:val="decimal"/>
      <w:start w:val="1"/>
    </w:lvl>
  </w:abstractNum>
  <w:abstractNum w:abstractNumId="8">
    <w:nsid w:val="7C83E458"/>
    <w:multiLevelType w:val="hybridMultilevel"/>
    <w:lvl w:ilvl="0">
      <w:lvlJc w:val="left"/>
      <w:lvlText w:val="(%1)"/>
      <w:numFmt w:val="decimal"/>
      <w:start w:val="1"/>
    </w:lvl>
  </w:abstractNum>
  <w:abstractNum w:abstractNumId="9">
    <w:nsid w:val="257130A3"/>
    <w:multiLevelType w:val="hybridMultilevel"/>
    <w:lvl w:ilvl="0">
      <w:lvlJc w:val="left"/>
      <w:lvlText w:val="(%1)"/>
      <w:numFmt w:val="decimal"/>
      <w:start w:val="1"/>
    </w:lvl>
  </w:abstractNum>
  <w:abstractNum w:abstractNumId="10">
    <w:nsid w:val="62BBD95A"/>
    <w:multiLevelType w:val="hybridMultilevel"/>
    <w:lvl w:ilvl="0">
      <w:lvlJc w:val="left"/>
      <w:lvlText w:val="(%1)"/>
      <w:numFmt w:val="decimal"/>
      <w:start w:val="1"/>
    </w:lvl>
  </w:abstractNum>
  <w:abstractNum w:abstractNumId="11">
    <w:nsid w:val="436C6125"/>
    <w:multiLevelType w:val="hybridMultilevel"/>
    <w:lvl w:ilvl="0">
      <w:lvlJc w:val="left"/>
      <w:lvlText w:val="(%1)"/>
      <w:numFmt w:val="decimal"/>
      <w:start w:val="1"/>
    </w:lvl>
  </w:abstractNum>
  <w:abstractNum w:abstractNumId="12">
    <w:nsid w:val="628C895D"/>
    <w:multiLevelType w:val="hybridMultilevel"/>
    <w:lvl w:ilvl="0">
      <w:lvlJc w:val="left"/>
      <w:lvlText w:val="(%1)"/>
      <w:numFmt w:val="decimal"/>
      <w:start w:val="1"/>
    </w:lvl>
  </w:abstractNum>
  <w:abstractNum w:abstractNumId="13">
    <w:nsid w:val="333AB105"/>
    <w:multiLevelType w:val="hybridMultilevel"/>
    <w:lvl w:ilvl="0">
      <w:lvlJc w:val="left"/>
      <w:lvlText w:val="(%1)"/>
      <w:numFmt w:val="decimal"/>
      <w:start w:val="1"/>
    </w:lvl>
  </w:abstractNum>
  <w:abstractNum w:abstractNumId="14">
    <w:nsid w:val="721DA317"/>
    <w:multiLevelType w:val="hybridMultilevel"/>
    <w:lvl w:ilvl="0">
      <w:lvlJc w:val="left"/>
      <w:lvlText w:val="(%1)"/>
      <w:numFmt w:val="decimal"/>
      <w:start w:val="1"/>
    </w:lvl>
  </w:abstractNum>
  <w:abstractNum w:abstractNumId="15">
    <w:nsid w:val="2443A858"/>
    <w:multiLevelType w:val="hybridMultilevel"/>
    <w:lvl w:ilvl="0">
      <w:lvlJc w:val="left"/>
      <w:lvlText w:val="•"/>
      <w:numFmt w:val="bullet"/>
      <w:start w:val="1"/>
    </w:lvl>
  </w:abstractNum>
  <w:abstractNum w:abstractNumId="16">
    <w:nsid w:val="2D1D5AE9"/>
    <w:multiLevelType w:val="hybridMultilevel"/>
    <w:lvl w:ilvl="0">
      <w:lvlJc w:val="left"/>
      <w:lvlText w:val="(%1)"/>
      <w:numFmt w:val="decimal"/>
      <w:start w:val="1"/>
    </w:lvl>
  </w:abstractNum>
  <w:abstractNum w:abstractNumId="17">
    <w:nsid w:val="6763845E"/>
    <w:multiLevelType w:val="hybridMultilevel"/>
    <w:lvl w:ilvl="0">
      <w:lvlJc w:val="left"/>
      <w:lvlText w:val="(%1)"/>
      <w:numFmt w:val="decimal"/>
      <w:start w:val="1"/>
    </w:lvl>
  </w:abstractNum>
  <w:abstractNum w:abstractNumId="18">
    <w:nsid w:val="75A2A8D4"/>
    <w:multiLevelType w:val="hybridMultilevel"/>
    <w:lvl w:ilvl="0">
      <w:lvlJc w:val="left"/>
      <w:lvlText w:val="(%1)"/>
      <w:numFmt w:val="decimal"/>
      <w:start w:val="4"/>
    </w:lvl>
  </w:abstractNum>
  <w:abstractNum w:abstractNumId="19">
    <w:nsid w:val="8EDBDAB"/>
    <w:multiLevelType w:val="hybridMultilevel"/>
    <w:lvl w:ilvl="0">
      <w:lvlJc w:val="left"/>
      <w:lvlText w:val="(%1)"/>
      <w:numFmt w:val="decimal"/>
      <w:start w:val="1"/>
    </w:lvl>
  </w:abstractNum>
  <w:abstractNum w:abstractNumId="20">
    <w:nsid w:val="79838CB2"/>
    <w:multiLevelType w:val="hybridMultilevel"/>
    <w:lvl w:ilvl="0">
      <w:lvlJc w:val="left"/>
      <w:lvlText w:val="(%1)"/>
      <w:numFmt w:val="decimal"/>
      <w:start w:val="1"/>
    </w:lvl>
  </w:abstractNum>
  <w:abstractNum w:abstractNumId="21">
    <w:nsid w:val="4353D0CD"/>
    <w:multiLevelType w:val="hybridMultilevel"/>
    <w:lvl w:ilvl="0">
      <w:lvlJc w:val="left"/>
      <w:lvlText w:val="(%1)"/>
      <w:numFmt w:val="decimal"/>
      <w:start w:val="1"/>
    </w:lvl>
  </w:abstractNum>
  <w:abstractNum w:abstractNumId="22">
    <w:nsid w:val="B03E0C6"/>
    <w:multiLevelType w:val="hybridMultilevel"/>
    <w:lvl w:ilvl="0">
      <w:lvlJc w:val="left"/>
      <w:lvlText w:val="(%1)"/>
      <w:numFmt w:val="decimal"/>
      <w:start w:val="1"/>
    </w:lvl>
  </w:abstractNum>
  <w:abstractNum w:abstractNumId="23">
    <w:nsid w:val="189A769B"/>
    <w:multiLevelType w:val="hybridMultilevel"/>
    <w:lvl w:ilvl="0">
      <w:lvlJc w:val="left"/>
      <w:lvlText w:val="(%1)"/>
      <w:numFmt w:val="decimal"/>
      <w:start w:val="1"/>
    </w:lvl>
  </w:abstractNum>
  <w:abstractNum w:abstractNumId="24">
    <w:nsid w:val="54E49EB4"/>
    <w:multiLevelType w:val="hybridMultilevel"/>
    <w:lvl w:ilvl="0">
      <w:lvlJc w:val="left"/>
      <w:lvlText w:val="(%1)"/>
      <w:numFmt w:val="decimal"/>
      <w:start w:val="1"/>
    </w:lvl>
  </w:abstractNum>
  <w:abstractNum w:abstractNumId="25">
    <w:nsid w:val="71F32454"/>
    <w:multiLevelType w:val="hybridMultilevel"/>
    <w:lvl w:ilvl="0">
      <w:lvlJc w:val="left"/>
      <w:lvlText w:val="%1"/>
      <w:numFmt w:val="decimal"/>
      <w:start w:val="101"/>
    </w:lvl>
  </w:abstractNum>
  <w:abstractNum w:abstractNumId="26">
    <w:nsid w:val="2CA88611"/>
    <w:multiLevelType w:val="hybridMultilevel"/>
    <w:lvl w:ilvl="0">
      <w:lvlJc w:val="left"/>
      <w:lvlText w:val="*"/>
      <w:numFmt w:val="bullet"/>
      <w:start w:val="1"/>
    </w:lvl>
  </w:abstractNum>
  <w:abstractNum w:abstractNumId="27">
    <w:nsid w:val="836C40E"/>
    <w:multiLevelType w:val="hybridMultilevel"/>
    <w:lvl w:ilvl="0">
      <w:lvlJc w:val="left"/>
      <w:lvlText w:val="%1."/>
      <w:numFmt w:val="decimal"/>
      <w:start w:val="1"/>
    </w:lvl>
    <w:lvl w:ilvl="1">
      <w:lvlJc w:val="left"/>
      <w:lvlText w:val="(%2)"/>
      <w:numFmt w:val="lowerLetter"/>
      <w:start w:val="1"/>
    </w:lvl>
  </w:abstractNum>
  <w:abstractNum w:abstractNumId="28">
    <w:nsid w:val="2901D8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2019-12-06T22:17:02Z</dcterms:created>
  <dcterms:modified xsi:type="dcterms:W3CDTF">2019-12-06T22:17:02Z</dcterms:modified>
</cp:coreProperties>
</file>