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1" w:right="339" w:bottom="1440" w:gutter="0" w:footer="0" w:header="0"/>
        </w:sectPr>
      </w:pPr>
    </w:p>
    <w:p>
      <w:pPr>
        <w:spacing w:after="0" w:line="19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001-15371</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95-6881527</w:t>
      </w:r>
    </w:p>
    <w:p>
      <w:pPr>
        <w:spacing w:after="0" w:line="2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8" w:lineRule="exact"/>
        <w:rPr>
          <w:sz w:val="24"/>
          <w:szCs w:val="24"/>
          <w:color w:val="auto"/>
        </w:rPr>
      </w:pPr>
    </w:p>
    <w:p>
      <w:pPr>
        <w:sectPr>
          <w:pgSz w:w="11900" w:h="16838" w:orient="portrait"/>
          <w:cols w:equalWidth="0" w:num="3">
            <w:col w:w="3940" w:space="720"/>
            <w:col w:w="2680" w:space="720"/>
            <w:col w:w="3180"/>
          </w:cols>
          <w:pgMar w:left="320" w:top="751"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51" w:right="339" w:bottom="1440" w:gutter="0" w:footer="0" w:header="0"/>
          <w:type w:val="continuous"/>
        </w:sectPr>
      </w:pPr>
    </w:p>
    <w:p>
      <w:pPr>
        <w:spacing w:after="0" w:line="20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1114 Avenue of the Americas,</w:t>
      </w:r>
    </w:p>
    <w:p>
      <w:pPr>
        <w:spacing w:after="0" w:line="2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39th Floor</w:t>
      </w:r>
    </w:p>
    <w:p>
      <w:pPr>
        <w:spacing w:after="0" w:line="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2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51"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1"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720" w:firstLine="7"/>
        <w:spacing w:after="0" w:line="492" w:lineRule="auto"/>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c>
          <w:tcPr>
            <w:tcW w:w="0" w:type="dxa"/>
            <w:vAlign w:val="bottom"/>
          </w:tcPr>
          <w:p>
            <w:pPr>
              <w:spacing w:after="0"/>
              <w:rPr>
                <w:sz w:val="1"/>
                <w:szCs w:val="1"/>
                <w:color w:val="auto"/>
              </w:rPr>
            </w:pPr>
          </w:p>
        </w:tc>
      </w:tr>
      <w:tr>
        <w:trPr>
          <w:trHeight w:val="26"/>
        </w:trPr>
        <w:tc>
          <w:tcPr>
            <w:tcW w:w="36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w:t>
            </w:r>
          </w:p>
        </w:tc>
        <w:tc>
          <w:tcPr>
            <w:tcW w:w="24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20" w:type="dxa"/>
            <w:vAlign w:val="bottom"/>
            <w:vMerge w:val="continue"/>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bl>
    <w:p>
      <w:pPr>
        <w:spacing w:after="0" w:line="203"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2"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617855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25, 2026, Safehold Inc. (the “Company”) filed with the U.S. Securities and Exchange Commission (the “SEC”) an automatic shelf registration statement on Form S-3ASR (File No. 333-294583) (the “New Registration Statement”) to replace the automatic shelf registration statement on Form S-3ASR (File No. 333-271113) filed with the SEC on April 4, 2023 (the “Prior Registration Statement”). The Prior Registration Statement was terminated upon the effectiveness of the New Registration Statement on March 25, 2025.</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connection with the filing of the New Registration Statement, the Company filed (i) a prospectus supplement, dated March 25, 2026, to the prospectus forming part of the New Registration Statement covering the resale of up to 6,105,389 shares of the Company’s common stock, par value $0.01 per share (“Common Stock”), held by certain selling stockholders and (ii) a prospectus supplement, dated March 25, 2026, to the prospectus forming part of the New Registration Statement covering the resale of up to 4,248,435 shares of Common Stock held by certain other selling stockholders. The Company is filing this Current Report on Form 8-K to provide legal opinions of its counsel, Venable LLP, regarding the legality of the securities covered by the prospectus supplements described in clause (i) and clause (ii), which opinions are attached here to as Exhibits 5.1 and 5.2, respectively.</w:t>
      </w:r>
    </w:p>
    <w:p>
      <w:pPr>
        <w:spacing w:after="0" w:line="18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Exhibit 5.1</w:t>
      </w:r>
      <w:r>
        <w:rPr>
          <w:sz w:val="20"/>
          <w:szCs w:val="20"/>
          <w:color w:val="auto"/>
        </w:rPr>
        <w:tab/>
      </w:r>
      <w:r>
        <w:rPr>
          <w:rFonts w:ascii="Times New Roman" w:cs="Times New Roman" w:eastAsia="Times New Roman" w:hAnsi="Times New Roman"/>
          <w:sz w:val="17"/>
          <w:szCs w:val="17"/>
          <w:u w:val="single" w:color="auto"/>
          <w:color w:val="0000EE"/>
        </w:rPr>
        <w:t>Opinion of Venable LLP</w:t>
      </w: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Exhibit 5.2</w:t>
      </w:r>
      <w:r>
        <w:rPr>
          <w:sz w:val="20"/>
          <w:szCs w:val="20"/>
          <w:color w:val="auto"/>
        </w:rPr>
        <w:tab/>
      </w:r>
      <w:r>
        <w:rPr>
          <w:rFonts w:ascii="Times New Roman" w:cs="Times New Roman" w:eastAsia="Times New Roman" w:hAnsi="Times New Roman"/>
          <w:sz w:val="17"/>
          <w:szCs w:val="17"/>
          <w:u w:val="single" w:color="auto"/>
          <w:color w:val="0000EE"/>
        </w:rPr>
        <w:t>Opinion of Venable LLP</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Exhibit 23.1</w:t>
      </w:r>
      <w:r>
        <w:rPr>
          <w:sz w:val="20"/>
          <w:szCs w:val="20"/>
          <w:color w:val="auto"/>
        </w:rPr>
        <w:tab/>
      </w:r>
      <w:r>
        <w:rPr>
          <w:rFonts w:ascii="Times New Roman" w:cs="Times New Roman" w:eastAsia="Times New Roman" w:hAnsi="Times New Roman"/>
          <w:sz w:val="17"/>
          <w:szCs w:val="17"/>
          <w:u w:val="single" w:color="auto"/>
          <w:color w:val="0000EE"/>
        </w:rPr>
        <w:t>Consent of Venable LLP (contained in opinion filed as Exhibit 5.1 hereto)</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Exhibit 23.2</w:t>
      </w:r>
      <w:r>
        <w:rPr>
          <w:sz w:val="20"/>
          <w:szCs w:val="20"/>
          <w:color w:val="auto"/>
        </w:rPr>
        <w:tab/>
      </w:r>
      <w:r>
        <w:rPr>
          <w:rFonts w:ascii="Times New Roman" w:cs="Times New Roman" w:eastAsia="Times New Roman" w:hAnsi="Times New Roman"/>
          <w:sz w:val="17"/>
          <w:szCs w:val="17"/>
          <w:u w:val="single" w:color="auto"/>
          <w:color w:val="0000EE"/>
        </w:rPr>
        <w:t>Consent of Venable LLP (contained in opinion filed as Exhibit 5.2 hereto)</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File (the cover page tags are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Safehold Inc.</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Brett Asnas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Brett Asnas</w:t>
      </w:r>
    </w:p>
    <w:p>
      <w:pPr>
        <w:spacing w:after="0" w:line="2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196455" cy="796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25,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187"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Registration Statement on Form S-3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We have served as Maryland counsel to Safehold Inc., a Maryland corporation (the “Company”), in connection with certain matters of Maryland law arising out of the registration of 6,105,389 shares (the “Shares”) of the Company’s common stock, $0.01 par value per share (the “Common Stock”), to be sold from time to time by MSD EIV Private Vault, LLC and MSD Vault Investments, LLC, named as the selling stockholder of the Company under the caption “Selling Stockholder” in the Prospectus Supplement (as defined herein). The Shares are covered by the above-referenced Registration Statement and all amendments thereto (collectively, the “Registration Statement”), filed by the Company with the U.S. Securities and Exchange Commission (the “Commission”) under the Securities Act of 1933, as amended (the “Securities Act”). The Shares were issued in the merger of Safehold Inc., a Maryland corporation (“Old Safehold”), with and into the Company (formerly known as iStar Inc., a Maryland corporation) and in a private placement on August 8, 2023.</w:t>
      </w:r>
    </w:p>
    <w:p>
      <w:pPr>
        <w:spacing w:after="0" w:line="19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1.            The Registration Statement and the related form of prospectus included therein, substantially in the form to be transmitted to the Commission under the Securities Act;</w:t>
      </w:r>
    </w:p>
    <w:p>
      <w:pPr>
        <w:spacing w:after="0" w:line="163"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2.            The Prospectus Supplement, dated as of the date hereof (the “Prospectus Supplement”), in the form filed with the Commission pursuant to Rule 424(b)(5) under the Securities Act;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            The charter of the Company (the “Charter”), certified by the State Department of Assessments and Taxation of Maryland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“SDAT”);</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            The Second Amended and Restated Bylaws of the Company, certified as of the date hereof by an officer of the Company;</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5.            Resolutions (the “Resolutions”) adopted by the Board of Directors of the Company relating to, among other matters, the registration and issuance of the Shares, certified as of the date hereof by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847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8470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            The Agreement and Plan of Merger, dated as of August 10, 2022, by and among Old Safehold and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            A certificate of the SDAT as to the good standing of the Company, dated as of a recent date;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8.            A certificate executed by an officer of the Company, dated as of the date hereof; and</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9.            Such other documents and matters as we have deemed necessary or appropriate to express the opinion set forth below, subject to the assumptions, limitations and qualifications stated herein.</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1.            Each individual executing any of the Documents, whether on behalf of such individual or another person, is legally competent to do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Each individual executing any of the Documents on behalf of a party (other than the Company) is duly authorized to do so.</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6"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5.            The Shares have not been, and will not be, issued, sold or transferred in violation of the restrictions or limitations contained in Article VII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84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8470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1.            The Company is a corporation duly incorporated and existing under and by virtue of the laws of the State of Maryland and is in good standing with the SDAT.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The issuance of the Shares has been duly authorized and the Shares are validly issued, fully paid and nonassessable.</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5"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offering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Securities Act.</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96455" cy="821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25,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187"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Registration Statement on Form S-3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We have served as Maryland counsel to Safehold Inc., a Maryland corporation (the “Company”), in connection with certain matters of Maryland law arising out of the registration of 4,248,435 shares (the “Shares”) of the Company’s common stock, $0.01 par value per share (the “Common Stock”), to be sold from time to time by GIC Private Limited and SFTY Venture LLC, named as the selling stockholder of the Company under the caption “Selling Stockholder” in the Prospectus Supplement (as defined herein). The Shares are covered by the above-referenced Registration Statement and all amendments thereto (collectively, the “Registration Statement”), filed by the Company with the U.S. Securities and Exchange Commission (the “Commission”) under the Securities Act of 1933, as amended (the “Securities Act”). The Shares were issued in the merger of Safehold Inc., a Maryland corporation (“Old Safehold”), with and into the Company (formerly known as iStar Inc., a Maryland corporation).</w:t>
      </w:r>
    </w:p>
    <w:p>
      <w:pPr>
        <w:spacing w:after="0" w:line="187"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3"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1.            The Registration Statement and the related form of prospectus included therein, substantially in the form to be transmitted to the Commission under the Securities Act;</w:t>
      </w:r>
    </w:p>
    <w:p>
      <w:pPr>
        <w:spacing w:after="0" w:line="163" w:lineRule="exact"/>
        <w:rPr>
          <w:sz w:val="20"/>
          <w:szCs w:val="20"/>
          <w:color w:val="auto"/>
        </w:rPr>
      </w:pPr>
    </w:p>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2.            The Prospectus Supplement, dated as of the date hereof (the “Prospectus Supplement”), in the form filed with the Commission pursuant to Rule 424(b)(5) under the Securities Act;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            The charter of the Company (the “Charter”), certified by the State Department of Assessments and Taxation of Maryland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“SDAT”);</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            The Second Amended and Restated Bylaws of the Company, certified as of the date hereof by an officer of the Company;</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5.            Resolutions (the “Resolutions”) adopted by the Board of Directors of the Company relating to, among other matters, the registration and issuance of the Shares, certified as of the date hereof by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83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8305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            The Agreement and Plan of Merger, dated as of August 10, 2022, by and among Old Safehold and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            A certificate of the SDAT as to the good standing of the Company, dated as of a recent date;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8.            A certificate executed by an officer of the Company, dated as of the date hereof; and</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9.            Such other documents and matters as we have deemed necessary or appropriate to express the opinion set forth below, subject to the assumptions, limitations and qualifications stated herein.</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1.            Each individual executing any of the Documents, whether on behalf of such individual or another person, is legally competent to do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Each individual executing any of the Documents on behalf of a party (other than the Company) is duly authorized to do so.</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6"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5.            The Shares have not been, and will not be, issued, sold or transferred in violation of the restrictions or limitations contained in Article VII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830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8305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1.            The Company is a corporation duly incorporated and existing under and by virtue of the laws of the State of Maryland and is in good standing with the SDAT.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The issuance of the Shares has been duly authorized and the Shares are validly issued, fully paid and nonassessable.</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5"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offering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Securities Act.</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2026-03-25T16:26:19Z</dcterms:created>
  <dcterms:modified xsi:type="dcterms:W3CDTF">2026-03-25T16:26:19Z</dcterms:modified>
</cp:coreProperties>
</file>